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0"/>
          <w:szCs w:val="40"/>
        </w:rPr>
        <w:t xml:space="preserve">GAMMA — Defensa de graduación MBIA</w:t>
      </w:r>
    </w:p>
    <w:p>
      <w:pPr>
        <w:spacing w:after="60"/>
      </w:pPr>
      <w:r>
        <w:rPr>
          <w:color w:val="6B4226"/>
          <w:sz w:val="26"/>
          <w:szCs w:val="26"/>
        </w:rPr>
        <w:t xml:space="preserve">Guion y contenido de diapositivas</w:t>
      </w:r>
    </w:p>
    <w:p>
      <w:pPr>
        <w:spacing w:after="300"/>
      </w:pPr>
      <w:r>
        <w:rPr>
          <w:i/>
          <w:iCs/>
          <w:sz w:val="22"/>
          <w:szCs w:val="22"/>
        </w:rPr>
        <w:t xml:space="preserve">Metodología: qué se construyó y qué se entregó — tiempo objetivo: 11–13 minutos</w:t>
      </w:r>
    </w:p>
    <w:p>
      <w:pPr>
        <w:pStyle w:val="Heading1"/>
        <w:spacing w:after="200" w:before="400"/>
      </w:pPr>
      <w:r>
        <w:rPr>
          <w:b/>
          <w:bCs/>
          <w:color w:val="1F4E5F"/>
        </w:rPr>
        <w:t xml:space="preserve">Resumen de tiempos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blHeader/>
        </w:trPr>
        <w:tc>
          <w:tcPr>
            <w:tcW w:type="dxa" w:w="7000"/>
            <w:shd w:fill="1F4E5F" w:val="clear"/>
            <w:tcMar>
              <w:top w:type="dxa" w:w="100"/>
              <w:left w:type="dxa" w:w="150"/>
              <w:bottom w:type="dxa" w:w="100"/>
              <w:right w:type="dxa" w:w="150"/>
            </w:tcMar>
          </w:tcPr>
          <w:p>
            <w:r>
              <w:rPr>
                <w:b/>
                <w:bCs/>
                <w:color w:val="FFFFFF"/>
              </w:rPr>
              <w:t xml:space="preserve">Bloque</w:t>
            </w:r>
          </w:p>
        </w:tc>
        <w:tc>
          <w:tcPr>
            <w:tcW w:type="dxa" w:w="3000"/>
            <w:shd w:fill="1F4E5F" w:val="clear"/>
            <w:tcMar>
              <w:top w:type="dxa" w:w="100"/>
              <w:left w:type="dxa" w:w="150"/>
              <w:bottom w:type="dxa" w:w="100"/>
              <w:right w:type="dxa" w:w="150"/>
            </w:tcMar>
          </w:tcPr>
          <w:p>
            <w:r>
              <w:rPr>
                <w:b/>
                <w:bCs/>
                <w:color w:val="FFFFFF"/>
              </w:rPr>
              <w:t xml:space="preserve">Tiempo</w:t>
            </w:r>
          </w:p>
        </w:tc>
      </w:tr>
      <w:tr>
        <w:tc>
          <w:tcPr>
            <w:tcW w:type="dxa" w:w="7000"/>
            <w:shd w:fill="F2F2F2" w:val="clear"/>
            <w:tcMar>
              <w:top w:type="dxa" w:w="80"/>
              <w:left w:type="dxa" w:w="150"/>
              <w:bottom w:type="dxa" w:w="80"/>
              <w:right w:type="dxa" w:w="150"/>
            </w:tcMar>
          </w:tcPr>
          <w:p>
            <w:r>
              <w:rPr>
                <w:sz w:val="21"/>
                <w:szCs w:val="21"/>
              </w:rPr>
              <w:t xml:space="preserve">Diapositiva 1 — Apertura / transición</w:t>
            </w:r>
          </w:p>
        </w:tc>
        <w:tc>
          <w:tcPr>
            <w:tcW w:type="dxa" w:w="3000"/>
            <w:shd w:fill="F2F2F2" w:val="clear"/>
            <w:tcMar>
              <w:top w:type="dxa" w:w="80"/>
              <w:left w:type="dxa" w:w="150"/>
              <w:bottom w:type="dxa" w:w="80"/>
              <w:right w:type="dxa" w:w="150"/>
            </w:tcMar>
          </w:tcPr>
          <w:p>
            <w:r>
              <w:rPr>
                <w:sz w:val="21"/>
                <w:szCs w:val="21"/>
              </w:rPr>
              <w:t xml:space="preserve">0:15</w:t>
            </w:r>
          </w:p>
        </w:tc>
      </w:tr>
      <w:tr>
        <w:tc>
          <w:tcPr>
            <w:tcW w:type="dxa" w:w="7000"/>
            <w:shd w:fill="FFFFFF" w:val="clear"/>
            <w:tcMar>
              <w:top w:type="dxa" w:w="80"/>
              <w:left w:type="dxa" w:w="150"/>
              <w:bottom w:type="dxa" w:w="80"/>
              <w:right w:type="dxa" w:w="150"/>
            </w:tcMar>
          </w:tcPr>
          <w:p>
            <w:r>
              <w:rPr>
                <w:sz w:val="21"/>
                <w:szCs w:val="21"/>
              </w:rPr>
              <w:t xml:space="preserve">Diapositiva 2 — Arquitectura de integración</w:t>
            </w:r>
          </w:p>
        </w:tc>
        <w:tc>
          <w:tcPr>
            <w:tcW w:type="dxa" w:w="3000"/>
            <w:shd w:fill="FFFFFF" w:val="clear"/>
            <w:tcMar>
              <w:top w:type="dxa" w:w="80"/>
              <w:left w:type="dxa" w:w="150"/>
              <w:bottom w:type="dxa" w:w="80"/>
              <w:right w:type="dxa" w:w="150"/>
            </w:tcMar>
          </w:tcPr>
          <w:p>
            <w:r>
              <w:rPr>
                <w:sz w:val="21"/>
                <w:szCs w:val="21"/>
              </w:rPr>
              <w:t xml:space="preserve">1:00</w:t>
            </w:r>
          </w:p>
        </w:tc>
      </w:tr>
      <w:tr>
        <w:tc>
          <w:tcPr>
            <w:tcW w:type="dxa" w:w="7000"/>
            <w:shd w:fill="F2F2F2" w:val="clear"/>
            <w:tcMar>
              <w:top w:type="dxa" w:w="80"/>
              <w:left w:type="dxa" w:w="150"/>
              <w:bottom w:type="dxa" w:w="80"/>
              <w:right w:type="dxa" w:w="150"/>
            </w:tcMar>
          </w:tcPr>
          <w:p>
            <w:r>
              <w:rPr>
                <w:sz w:val="21"/>
                <w:szCs w:val="21"/>
              </w:rPr>
              <w:t xml:space="preserve">Diapositiva 3 — Preparación de los datos</w:t>
            </w:r>
          </w:p>
        </w:tc>
        <w:tc>
          <w:tcPr>
            <w:tcW w:type="dxa" w:w="3000"/>
            <w:shd w:fill="F2F2F2" w:val="clear"/>
            <w:tcMar>
              <w:top w:type="dxa" w:w="80"/>
              <w:left w:type="dxa" w:w="150"/>
              <w:bottom w:type="dxa" w:w="80"/>
              <w:right w:type="dxa" w:w="150"/>
            </w:tcMar>
          </w:tcPr>
          <w:p>
            <w:r>
              <w:rPr>
                <w:sz w:val="21"/>
                <w:szCs w:val="21"/>
              </w:rPr>
              <w:t xml:space="preserve">1:10</w:t>
            </w:r>
          </w:p>
        </w:tc>
      </w:tr>
      <w:tr>
        <w:tc>
          <w:tcPr>
            <w:tcW w:type="dxa" w:w="7000"/>
            <w:shd w:fill="FFFFFF" w:val="clear"/>
            <w:tcMar>
              <w:top w:type="dxa" w:w="80"/>
              <w:left w:type="dxa" w:w="150"/>
              <w:bottom w:type="dxa" w:w="80"/>
              <w:right w:type="dxa" w:w="150"/>
            </w:tcMar>
          </w:tcPr>
          <w:p>
            <w:r>
              <w:rPr>
                <w:sz w:val="21"/>
                <w:szCs w:val="21"/>
              </w:rPr>
              <w:t xml:space="preserve">Diapositiva 4 — Normalización de descripciones</w:t>
            </w:r>
          </w:p>
        </w:tc>
        <w:tc>
          <w:tcPr>
            <w:tcW w:type="dxa" w:w="3000"/>
            <w:shd w:fill="FFFFFF" w:val="clear"/>
            <w:tcMar>
              <w:top w:type="dxa" w:w="80"/>
              <w:left w:type="dxa" w:w="150"/>
              <w:bottom w:type="dxa" w:w="80"/>
              <w:right w:type="dxa" w:w="150"/>
            </w:tcMar>
          </w:tcPr>
          <w:p>
            <w:r>
              <w:rPr>
                <w:sz w:val="21"/>
                <w:szCs w:val="21"/>
              </w:rPr>
              <w:t xml:space="preserve">1:10</w:t>
            </w:r>
          </w:p>
        </w:tc>
      </w:tr>
      <w:tr>
        <w:tc>
          <w:tcPr>
            <w:tcW w:type="dxa" w:w="7000"/>
            <w:shd w:fill="F2F2F2" w:val="clear"/>
            <w:tcMar>
              <w:top w:type="dxa" w:w="80"/>
              <w:left w:type="dxa" w:w="150"/>
              <w:bottom w:type="dxa" w:w="80"/>
              <w:right w:type="dxa" w:w="150"/>
            </w:tcMar>
          </w:tcPr>
          <w:p>
            <w:r>
              <w:rPr>
                <w:sz w:val="21"/>
                <w:szCs w:val="21"/>
              </w:rPr>
              <w:t xml:space="preserve">Diapositiva 5 — Detección de duplicados</w:t>
            </w:r>
          </w:p>
        </w:tc>
        <w:tc>
          <w:tcPr>
            <w:tcW w:type="dxa" w:w="3000"/>
            <w:shd w:fill="F2F2F2" w:val="clear"/>
            <w:tcMar>
              <w:top w:type="dxa" w:w="80"/>
              <w:left w:type="dxa" w:w="150"/>
              <w:bottom w:type="dxa" w:w="80"/>
              <w:right w:type="dxa" w:w="150"/>
            </w:tcMar>
          </w:tcPr>
          <w:p>
            <w:r>
              <w:rPr>
                <w:sz w:val="21"/>
                <w:szCs w:val="21"/>
              </w:rPr>
              <w:t xml:space="preserve">1:00</w:t>
            </w:r>
          </w:p>
        </w:tc>
      </w:tr>
      <w:tr>
        <w:tc>
          <w:tcPr>
            <w:tcW w:type="dxa" w:w="7000"/>
            <w:shd w:fill="FFFFFF" w:val="clear"/>
            <w:tcMar>
              <w:top w:type="dxa" w:w="80"/>
              <w:left w:type="dxa" w:w="150"/>
              <w:bottom w:type="dxa" w:w="80"/>
              <w:right w:type="dxa" w:w="150"/>
            </w:tcMar>
          </w:tcPr>
          <w:p>
            <w:r>
              <w:rPr>
                <w:sz w:val="21"/>
                <w:szCs w:val="21"/>
              </w:rPr>
              <w:t xml:space="preserve">Diapositiva 6 — Diseño de la competencia de algoritmos</w:t>
            </w:r>
          </w:p>
        </w:tc>
        <w:tc>
          <w:tcPr>
            <w:tcW w:type="dxa" w:w="3000"/>
            <w:shd w:fill="FFFFFF" w:val="clear"/>
            <w:tcMar>
              <w:top w:type="dxa" w:w="80"/>
              <w:left w:type="dxa" w:w="150"/>
              <w:bottom w:type="dxa" w:w="80"/>
              <w:right w:type="dxa" w:w="150"/>
            </w:tcMar>
          </w:tcPr>
          <w:p>
            <w:r>
              <w:rPr>
                <w:sz w:val="21"/>
                <w:szCs w:val="21"/>
              </w:rPr>
              <w:t xml:space="preserve">1:10</w:t>
            </w:r>
          </w:p>
        </w:tc>
      </w:tr>
      <w:tr>
        <w:tc>
          <w:tcPr>
            <w:tcW w:type="dxa" w:w="7000"/>
            <w:shd w:fill="F2F2F2" w:val="clear"/>
            <w:tcMar>
              <w:top w:type="dxa" w:w="80"/>
              <w:left w:type="dxa" w:w="150"/>
              <w:bottom w:type="dxa" w:w="80"/>
              <w:right w:type="dxa" w:w="150"/>
            </w:tcMar>
          </w:tcPr>
          <w:p>
            <w:r>
              <w:rPr>
                <w:sz w:val="21"/>
                <w:szCs w:val="21"/>
              </w:rPr>
              <w:t xml:space="preserve">Diapositiva 7 — Arquitectura tecnológica</w:t>
            </w:r>
          </w:p>
        </w:tc>
        <w:tc>
          <w:tcPr>
            <w:tcW w:type="dxa" w:w="3000"/>
            <w:shd w:fill="F2F2F2" w:val="clear"/>
            <w:tcMar>
              <w:top w:type="dxa" w:w="80"/>
              <w:left w:type="dxa" w:w="150"/>
              <w:bottom w:type="dxa" w:w="80"/>
              <w:right w:type="dxa" w:w="150"/>
            </w:tcMar>
          </w:tcPr>
          <w:p>
            <w:r>
              <w:rPr>
                <w:sz w:val="21"/>
                <w:szCs w:val="21"/>
              </w:rPr>
              <w:t xml:space="preserve">0:50</w:t>
            </w:r>
          </w:p>
        </w:tc>
      </w:tr>
      <w:tr>
        <w:tc>
          <w:tcPr>
            <w:tcW w:type="dxa" w:w="7000"/>
            <w:shd w:fill="FFFFFF" w:val="clear"/>
            <w:tcMar>
              <w:top w:type="dxa" w:w="80"/>
              <w:left w:type="dxa" w:w="150"/>
              <w:bottom w:type="dxa" w:w="80"/>
              <w:right w:type="dxa" w:w="150"/>
            </w:tcMar>
          </w:tcPr>
          <w:p>
            <w:r>
              <w:rPr>
                <w:sz w:val="21"/>
                <w:szCs w:val="21"/>
              </w:rPr>
              <w:t xml:space="preserve">Diapositiva 8 — Resultados: modelo ganador vs. no ganadores</w:t>
            </w:r>
          </w:p>
        </w:tc>
        <w:tc>
          <w:tcPr>
            <w:tcW w:type="dxa" w:w="3000"/>
            <w:shd w:fill="FFFFFF" w:val="clear"/>
            <w:tcMar>
              <w:top w:type="dxa" w:w="80"/>
              <w:left w:type="dxa" w:w="150"/>
              <w:bottom w:type="dxa" w:w="80"/>
              <w:right w:type="dxa" w:w="150"/>
            </w:tcMar>
          </w:tcPr>
          <w:p>
            <w:r>
              <w:rPr>
                <w:sz w:val="21"/>
                <w:szCs w:val="21"/>
              </w:rPr>
              <w:t xml:space="preserve">1:30</w:t>
            </w:r>
          </w:p>
        </w:tc>
      </w:tr>
      <w:tr>
        <w:tc>
          <w:tcPr>
            <w:tcW w:type="dxa" w:w="7000"/>
            <w:shd w:fill="F2F2F2" w:val="clear"/>
            <w:tcMar>
              <w:top w:type="dxa" w:w="80"/>
              <w:left w:type="dxa" w:w="150"/>
              <w:bottom w:type="dxa" w:w="80"/>
              <w:right w:type="dxa" w:w="150"/>
            </w:tcMar>
          </w:tcPr>
          <w:p>
            <w:r>
              <w:rPr>
                <w:sz w:val="21"/>
                <w:szCs w:val="21"/>
              </w:rPr>
              <w:t xml:space="preserve">Diapositiva 9 — Desempeño del modelo seleccionado</w:t>
            </w:r>
          </w:p>
        </w:tc>
        <w:tc>
          <w:tcPr>
            <w:tcW w:type="dxa" w:w="3000"/>
            <w:shd w:fill="F2F2F2" w:val="clear"/>
            <w:tcMar>
              <w:top w:type="dxa" w:w="80"/>
              <w:left w:type="dxa" w:w="150"/>
              <w:bottom w:type="dxa" w:w="80"/>
              <w:right w:type="dxa" w:w="150"/>
            </w:tcMar>
          </w:tcPr>
          <w:p>
            <w:r>
              <w:rPr>
                <w:sz w:val="21"/>
                <w:szCs w:val="21"/>
              </w:rPr>
              <w:t xml:space="preserve">1:10</w:t>
            </w:r>
          </w:p>
        </w:tc>
      </w:tr>
      <w:tr>
        <w:tc>
          <w:tcPr>
            <w:tcW w:type="dxa" w:w="7000"/>
            <w:shd w:fill="FFFFFF" w:val="clear"/>
            <w:tcMar>
              <w:top w:type="dxa" w:w="80"/>
              <w:left w:type="dxa" w:w="150"/>
              <w:bottom w:type="dxa" w:w="80"/>
              <w:right w:type="dxa" w:w="150"/>
            </w:tcMar>
          </w:tcPr>
          <w:p>
            <w:r>
              <w:rPr>
                <w:sz w:val="21"/>
                <w:szCs w:val="21"/>
              </w:rPr>
              <w:t xml:space="preserve">Diapositiva 10 — Exactitud y cobertura según umbral de confianza</w:t>
            </w:r>
          </w:p>
        </w:tc>
        <w:tc>
          <w:tcPr>
            <w:tcW w:type="dxa" w:w="3000"/>
            <w:shd w:fill="FFFFFF" w:val="clear"/>
            <w:tcMar>
              <w:top w:type="dxa" w:w="80"/>
              <w:left w:type="dxa" w:w="150"/>
              <w:bottom w:type="dxa" w:w="80"/>
              <w:right w:type="dxa" w:w="150"/>
            </w:tcMar>
          </w:tcPr>
          <w:p>
            <w:r>
              <w:rPr>
                <w:sz w:val="21"/>
                <w:szCs w:val="21"/>
              </w:rPr>
              <w:t xml:space="preserve">1:00</w:t>
            </w:r>
          </w:p>
        </w:tc>
      </w:tr>
      <w:tr>
        <w:tc>
          <w:tcPr>
            <w:tcW w:type="dxa" w:w="7000"/>
            <w:shd w:fill="F2F2F2" w:val="clear"/>
            <w:tcMar>
              <w:top w:type="dxa" w:w="80"/>
              <w:left w:type="dxa" w:w="150"/>
              <w:bottom w:type="dxa" w:w="80"/>
              <w:right w:type="dxa" w:w="150"/>
            </w:tcMar>
          </w:tcPr>
          <w:p>
            <w:r>
              <w:rPr>
                <w:sz w:val="21"/>
                <w:szCs w:val="21"/>
              </w:rPr>
              <w:t xml:space="preserve">Diapositiva 11 — Cierre y transición</w:t>
            </w:r>
          </w:p>
        </w:tc>
        <w:tc>
          <w:tcPr>
            <w:tcW w:type="dxa" w:w="3000"/>
            <w:shd w:fill="F2F2F2" w:val="clear"/>
            <w:tcMar>
              <w:top w:type="dxa" w:w="80"/>
              <w:left w:type="dxa" w:w="150"/>
              <w:bottom w:type="dxa" w:w="80"/>
              <w:right w:type="dxa" w:w="150"/>
            </w:tcMar>
          </w:tcPr>
          <w:p>
            <w:r>
              <w:rPr>
                <w:sz w:val="21"/>
                <w:szCs w:val="21"/>
              </w:rPr>
              <w:t xml:space="preserve">0:20</w:t>
            </w:r>
          </w:p>
        </w:tc>
      </w:tr>
      <w:tr>
        <w:tc>
          <w:tcPr>
            <w:tcW w:type="dxa" w:w="7000"/>
            <w:shd w:fill="DCEEF2" w:val="clear"/>
            <w:tcMar>
              <w:top w:type="dxa" w:w="100"/>
              <w:left w:type="dxa" w:w="150"/>
              <w:bottom w:type="dxa" w:w="100"/>
              <w:right w:type="dxa" w:w="150"/>
            </w:tcMar>
          </w:tcPr>
          <w:p>
            <w:r>
              <w:rPr>
                <w:b/>
                <w:bCs/>
                <w:sz w:val="21"/>
                <w:szCs w:val="21"/>
              </w:rPr>
              <w:t xml:space="preserve">TOTAL (con colchón para respirar / transiciones)</w:t>
            </w:r>
          </w:p>
        </w:tc>
        <w:tc>
          <w:tcPr>
            <w:tcW w:type="dxa" w:w="3000"/>
            <w:shd w:fill="DCEEF2" w:val="clear"/>
            <w:tcMar>
              <w:top w:type="dxa" w:w="100"/>
              <w:left w:type="dxa" w:w="150"/>
              <w:bottom w:type="dxa" w:w="100"/>
              <w:right w:type="dxa" w:w="150"/>
            </w:tcMar>
          </w:tcPr>
          <w:p>
            <w:r>
              <w:rPr>
                <w:b/>
                <w:bCs/>
                <w:sz w:val="21"/>
                <w:szCs w:val="21"/>
              </w:rPr>
              <w:t xml:space="preserve">≈ 10:35</w:t>
            </w:r>
          </w:p>
        </w:tc>
      </w:tr>
    </w:tbl>
    <w:p>
      <w:pPr>
        <w:spacing w:after="300"/>
      </w:pPr>
    </w:p>
    <w:p>
      <w:pPr>
        <w:pStyle w:val="Heading2"/>
        <w:pBdr>
          <w:bottom w:val="single" w:color="1F4E5F" w:sz="8" w:space="4"/>
        </w:pBdr>
        <w:spacing w:after="100" w:before="400"/>
      </w:pPr>
      <w:r>
        <w:rPr>
          <w:b/>
          <w:bCs/>
          <w:color w:val="1F4E5F"/>
          <w:sz w:val="26"/>
          <w:szCs w:val="26"/>
        </w:rPr>
        <w:t xml:space="preserve">Diapositiva 1 — Apertura / transición</w:t>
      </w:r>
      <w:r>
        <w:rPr>
          <w:i/>
          <w:iCs/>
          <w:color w:val="8A2E4D"/>
          <w:sz w:val="22"/>
          <w:szCs w:val="22"/>
        </w:rPr>
        <w:t xml:space="preserve">   (0:15)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(Título de la subsección: "Metodología — Qué se construyó")</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Con base en la problemática ya caracterizada, se expondrá a continuación qué se construyó para atenderla y qué resultados se obtuvieron.</w:t>
            </w:r>
          </w:p>
        </w:tc>
      </w:tr>
    </w:tbl>
    <w:p>
      <w:pPr>
        <w:pStyle w:val="Heading2"/>
        <w:pBdr>
          <w:bottom w:val="single" w:color="1F4E5F" w:sz="8" w:space="4"/>
        </w:pBdr>
        <w:spacing w:after="100" w:before="400"/>
      </w:pPr>
      <w:r>
        <w:rPr>
          <w:b/>
          <w:bCs/>
          <w:color w:val="1F4E5F"/>
          <w:sz w:val="26"/>
          <w:szCs w:val="26"/>
        </w:rPr>
        <w:t xml:space="preserve">Diapositiva 2 — Arquitectura de integración</w:t>
      </w:r>
      <w:r>
        <w:rPr>
          <w:i/>
          <w:iCs/>
          <w:color w:val="8A2E4D"/>
          <w:sz w:val="22"/>
          <w:szCs w:val="22"/>
        </w:rPr>
        <w:t xml:space="preserve">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Arquitectura por capas (medallón) sobre PostgreSQL 16</w:t>
            </w:r>
          </w:p>
          <w:p>
            <w:pPr>
              <w:pStyle w:val="ListParagraph"/>
              <w:numPr>
                <w:ilvl w:val="0"/>
                <w:numId w:val="2"/>
              </w:numPr>
              <w:spacing w:after="60"/>
            </w:pPr>
            <w:r>
              <w:rPr>
                <w:sz w:val="21"/>
                <w:szCs w:val="21"/>
              </w:rPr>
              <w:t xml:space="preserve">Bronce: trazabilidad íntegra de ingesta, predicciones y decisiones</w:t>
            </w:r>
          </w:p>
          <w:p>
            <w:pPr>
              <w:pStyle w:val="ListParagraph"/>
              <w:numPr>
                <w:ilvl w:val="0"/>
                <w:numId w:val="2"/>
              </w:numPr>
              <w:spacing w:after="60"/>
            </w:pPr>
            <w:r>
              <w:rPr>
                <w:sz w:val="21"/>
                <w:szCs w:val="21"/>
              </w:rPr>
              <w:t xml:space="preserve">Plata: datos operacionales y de referencia ya normalizados</w:t>
            </w:r>
          </w:p>
          <w:p>
            <w:pPr>
              <w:pStyle w:val="ListParagraph"/>
              <w:numPr>
                <w:ilvl w:val="0"/>
                <w:numId w:val="2"/>
              </w:numPr>
              <w:spacing w:after="60"/>
            </w:pPr>
            <w:r>
              <w:rPr>
                <w:sz w:val="21"/>
                <w:szCs w:val="21"/>
              </w:rPr>
              <w:t xml:space="preserve">Oro: vistas agregadas para el tablero de indicadores</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El repositorio de datos se implementó siguiendo una arquitectura por capas, conocida como arquitectura medallón, sobre un motor PostgreSQL 16.</w:t>
            </w:r>
          </w:p>
          <w:p>
            <w:pPr>
              <w:spacing w:after="100"/>
            </w:pPr>
            <w:r>
              <w:rPr>
                <w:i/>
                <w:iCs/>
                <w:sz w:val="22"/>
                <w:szCs w:val="22"/>
              </w:rPr>
              <w:t xml:space="preserve">La capa bronce concentra la trazabilidad completa del sistema: registros de ingesta, predicciones, decisiones sobre duplicados y errores de aplicación. La capa plata contiene los datos ya normalizados —el maestro de materiales, los catálogos de referencia y las solicitudes— y la capa oro expone las vistas agregadas que alimentan el tablero de indicadores.</w:t>
            </w:r>
          </w:p>
          <w:p>
            <w:pPr>
              <w:spacing w:after="100"/>
            </w:pPr>
            <w:r>
              <w:rPr>
                <w:i/>
                <w:iCs/>
                <w:sz w:val="22"/>
                <w:szCs w:val="22"/>
              </w:rPr>
              <w:t xml:space="preserve">Se optó por un motor relacional, en lugar de una plataforma distribuida, dado que el volumen del catálogo —decenas de miles de registros— no justificaba la complejidad operativa de un entorno de procesamiento distribuido.</w:t>
            </w:r>
          </w:p>
        </w:tc>
      </w:tr>
    </w:tbl>
    <w:p>
      <w:pPr>
        <w:pStyle w:val="Heading2"/>
        <w:pBdr>
          <w:bottom w:val="single" w:color="1F4E5F" w:sz="8" w:space="4"/>
        </w:pBdr>
        <w:spacing w:after="100" w:before="400"/>
      </w:pPr>
      <w:r>
        <w:rPr>
          <w:b/>
          <w:bCs/>
          <w:color w:val="1F4E5F"/>
          <w:sz w:val="26"/>
          <w:szCs w:val="26"/>
        </w:rPr>
        <w:t xml:space="preserve">Diapositiva 3 — Preparación de los datos</w:t>
      </w:r>
      <w:r>
        <w:rPr>
          <w:i/>
          <w:iCs/>
          <w:color w:val="8A2E4D"/>
          <w:sz w:val="22"/>
          <w:szCs w:val="22"/>
        </w:rPr>
        <w:t xml:space="preserve">   (1:10)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Función de normalización de texto: mayúsculas, remoción de diacríticos, separadores estandarizados</w:t>
            </w:r>
          </w:p>
          <w:p>
            <w:pPr>
              <w:pStyle w:val="ListParagraph"/>
              <w:numPr>
                <w:ilvl w:val="0"/>
                <w:numId w:val="2"/>
              </w:numPr>
              <w:spacing w:after="60"/>
            </w:pPr>
            <w:r>
              <w:rPr>
                <w:sz w:val="21"/>
                <w:szCs w:val="21"/>
              </w:rPr>
              <w:t xml:space="preserve">Se descartan: materiales sin categoría en la fuente, y clases con menos de tres ejemplos</w:t>
            </w:r>
          </w:p>
          <w:p>
            <w:pPr>
              <w:pStyle w:val="ListParagraph"/>
              <w:numPr>
                <w:ilvl w:val="0"/>
                <w:numId w:val="2"/>
              </w:numPr>
              <w:spacing w:after="60"/>
            </w:pPr>
            <w:r>
              <w:rPr>
                <w:sz w:val="21"/>
                <w:szCs w:val="21"/>
              </w:rPr>
              <w:t xml:space="preserve">Conjunto de modelado final: 39,571 materiales en 1,234 clases</w:t>
            </w:r>
          </w:p>
          <w:p>
            <w:pPr>
              <w:pStyle w:val="ListParagraph"/>
              <w:numPr>
                <w:ilvl w:val="0"/>
                <w:numId w:val="2"/>
              </w:numPr>
              <w:spacing w:after="60"/>
            </w:pPr>
            <w:r>
              <w:rPr>
                <w:sz w:val="21"/>
                <w:szCs w:val="21"/>
              </w:rPr>
              <w:t xml:space="preserve">Partición estratificada: 80% entrenamiento (31,656) · 20% prueba (7,915)</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Para el modelado se definió una función de normalización de texto —aplicada de forma idéntica en entrenamiento y en inferencia— que convierte el texto a mayúsculas, elimina signos diacríticos y estandariza los separadores propios de la convención de nomenclatura.</w:t>
            </w:r>
          </w:p>
          <w:p>
            <w:pPr>
              <w:spacing w:after="100"/>
            </w:pPr>
            <w:r>
              <w:rPr>
                <w:i/>
                <w:iCs/>
                <w:sz w:val="22"/>
                <w:szCs w:val="22"/>
              </w:rPr>
              <w:t xml:space="preserve">Sobre el maestro consolidado se aplicaron dos criterios de exclusión: se descartaron los materiales sin categoría asignada en la fuente, y las clases representadas por menos de tres ejemplos, por resultar insuficientes para entrenar y evaluar simultáneamente sobre una misma categoría.</w:t>
            </w:r>
          </w:p>
          <w:p>
            <w:pPr>
              <w:spacing w:after="100"/>
            </w:pPr>
            <w:r>
              <w:rPr>
                <w:i/>
                <w:iCs/>
                <w:sz w:val="22"/>
                <w:szCs w:val="22"/>
              </w:rPr>
              <w:t xml:space="preserve">El conjunto resultante quedó conformado por 39,571 materiales distribuidos en 1,234 clases, particionado de forma estratificada en un 80% para entrenamiento —31,656 registros— y un 20% para prueba —7,915 registros—, preservando la proporción de cada clase en ambos subconjuntos.</w:t>
            </w:r>
          </w:p>
        </w:tc>
      </w:tr>
    </w:tbl>
    <w:p>
      <w:pPr>
        <w:pStyle w:val="Heading2"/>
        <w:pBdr>
          <w:bottom w:val="single" w:color="1F4E5F" w:sz="8" w:space="4"/>
        </w:pBdr>
        <w:spacing w:after="100" w:before="400"/>
      </w:pPr>
      <w:r>
        <w:rPr>
          <w:b/>
          <w:bCs/>
          <w:color w:val="1F4E5F"/>
          <w:sz w:val="26"/>
          <w:szCs w:val="26"/>
        </w:rPr>
        <w:t xml:space="preserve">Diapositiva 4 — Normalización de descripciones</w:t>
      </w:r>
      <w:r>
        <w:rPr>
          <w:i/>
          <w:iCs/>
          <w:color w:val="8A2E4D"/>
          <w:sz w:val="22"/>
          <w:szCs w:val="22"/>
        </w:rPr>
        <w:t xml:space="preserve">   (1:10)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Se resolvió mediante un modelo de lenguaje de gran escala, consumido por interfaz de programación</w:t>
            </w:r>
          </w:p>
          <w:p>
            <w:pPr>
              <w:pStyle w:val="ListParagraph"/>
              <w:numPr>
                <w:ilvl w:val="0"/>
                <w:numId w:val="2"/>
              </w:numPr>
              <w:spacing w:after="60"/>
            </w:pPr>
            <w:r>
              <w:rPr>
                <w:sz w:val="21"/>
                <w:szCs w:val="21"/>
              </w:rPr>
              <w:t xml:space="preserve">Alternativa descartada: motor de reglas y diccionario de abreviaturas (mantenimiento manual permanente)</w:t>
            </w:r>
          </w:p>
          <w:p>
            <w:pPr>
              <w:pStyle w:val="ListParagraph"/>
              <w:numPr>
                <w:ilvl w:val="0"/>
                <w:numId w:val="2"/>
              </w:numPr>
              <w:spacing w:after="60"/>
            </w:pPr>
            <w:r>
              <w:rPr>
                <w:sz w:val="21"/>
                <w:szCs w:val="21"/>
              </w:rPr>
              <w:t xml:space="preserve">Instruido para no inventar especificaciones ausentes: falla por omisión, no por invención</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El módulo de normalización se resolvió mediante un modelo de lenguaje de gran escala, en lugar de un motor de reglas y diccionarios de abreviatura. Esta decisión se sustenta en que un diccionario de abreviaturas exigiría mantenimiento manual permanente conforme aparecen materiales de familias nuevas, mientras que un modelo fundacional alcanza un desempeño competitivo sin entrenamiento específico para la tarea.</w:t>
            </w:r>
          </w:p>
          <w:p>
            <w:pPr>
              <w:spacing w:after="100"/>
            </w:pPr>
            <w:r>
              <w:rPr>
                <w:i/>
                <w:iCs/>
                <w:sz w:val="22"/>
                <w:szCs w:val="22"/>
              </w:rPr>
              <w:t xml:space="preserve">El modelo se configuró con una temperatura baja, para privilegiar la consistencia sobre la variedad en la redacción, y se instruyó explícitamente para no inventar especificaciones ausentes: cuando la descripción recibida es insuficiente, el sistema devuelve una lista estructurada de los campos que faltan, en lugar de completarlos con valores plausibles. El diseño busca que el modelo falle por omisión, y no por invención, que es el modo de falla aceptable en un proceso de gobierno de datos.</w:t>
            </w:r>
          </w:p>
        </w:tc>
      </w:tr>
    </w:tbl>
    <w:p>
      <w:pPr>
        <w:pStyle w:val="Heading2"/>
        <w:pBdr>
          <w:bottom w:val="single" w:color="1F4E5F" w:sz="8" w:space="4"/>
        </w:pBdr>
        <w:spacing w:after="100" w:before="400"/>
      </w:pPr>
      <w:r>
        <w:rPr>
          <w:b/>
          <w:bCs/>
          <w:color w:val="1F4E5F"/>
          <w:sz w:val="26"/>
          <w:szCs w:val="26"/>
        </w:rPr>
        <w:t xml:space="preserve">Diapositiva 5 — Detección de duplicados</w:t>
      </w:r>
      <w:r>
        <w:rPr>
          <w:i/>
          <w:iCs/>
          <w:color w:val="8A2E4D"/>
          <w:sz w:val="22"/>
          <w:szCs w:val="22"/>
        </w:rPr>
        <w:t xml:space="preserve">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Consulta de similitud difusa sobre el maestro normalizado, mediante la extensión pg_trgm de PostgreSQL</w:t>
            </w:r>
          </w:p>
          <w:p>
            <w:pPr>
              <w:pStyle w:val="ListParagraph"/>
              <w:numPr>
                <w:ilvl w:val="0"/>
                <w:numId w:val="2"/>
              </w:numPr>
              <w:spacing w:after="60"/>
            </w:pPr>
            <w:r>
              <w:rPr>
                <w:sz w:val="21"/>
                <w:szCs w:val="21"/>
              </w:rPr>
              <w:t xml:space="preserve">Compara por trigramas (subsecuencias de tres caracteres), no por coincidencia exacta</w:t>
            </w:r>
          </w:p>
          <w:p>
            <w:pPr>
              <w:pStyle w:val="ListParagraph"/>
              <w:numPr>
                <w:ilvl w:val="0"/>
                <w:numId w:val="2"/>
              </w:numPr>
              <w:spacing w:after="60"/>
            </w:pPr>
            <w:r>
              <w:rPr>
                <w:sz w:val="21"/>
                <w:szCs w:val="21"/>
              </w:rPr>
              <w:t xml:space="preserve">Umbral deliberadamente permisivo: el costo de un falso positivo es menor que el de un falso negativo</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La detección de duplicados se implementó como una consulta de similitud difusa, ejecutada directamente sobre el maestro normalizado, aprovechando la extensión pg_trgm de PostgreSQL. La consulta descompone cada descripción en trigramas —subsecuencias de tres caracteres— y compara el grado de superposición entre el material propuesto y los ya existentes en el catálogo.</w:t>
            </w:r>
          </w:p>
          <w:p>
            <w:pPr>
              <w:spacing w:after="100"/>
            </w:pPr>
            <w:r>
              <w:rPr>
                <w:i/>
                <w:iCs/>
                <w:sz w:val="22"/>
                <w:szCs w:val="22"/>
              </w:rPr>
              <w:t xml:space="preserve">El umbral de alerta se estableció en un valor deliberadamente permisivo, bajo el criterio de que, en una herramienta de asistencia, el costo de un falso positivo —que el gestor descarte una sugerencia irrelevante— es sustancialmente menor que el de un falso negativo, que se materializa en un duplicado creado y en el costo recurrente de arrastrarlo en el catálogo.</w:t>
            </w:r>
          </w:p>
        </w:tc>
      </w:tr>
    </w:tbl>
    <w:p>
      <w:pPr>
        <w:pStyle w:val="Heading2"/>
        <w:pBdr>
          <w:bottom w:val="single" w:color="1F4E5F" w:sz="8" w:space="4"/>
        </w:pBdr>
        <w:spacing w:after="100" w:before="400"/>
      </w:pPr>
      <w:r>
        <w:rPr>
          <w:b/>
          <w:bCs/>
          <w:color w:val="1F4E5F"/>
          <w:sz w:val="26"/>
          <w:szCs w:val="26"/>
        </w:rPr>
        <w:t xml:space="preserve">Diapositiva 6 — Diseño de la competencia de algoritmos</w:t>
      </w:r>
      <w:r>
        <w:rPr>
          <w:i/>
          <w:iCs/>
          <w:color w:val="8A2E4D"/>
          <w:sz w:val="22"/>
          <w:szCs w:val="22"/>
        </w:rPr>
        <w:t xml:space="preserve">   (1:10)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Siete configuraciones evaluadas, en dos rondas, sobre la misma partición y las mismas métricas</w:t>
            </w:r>
          </w:p>
          <w:p>
            <w:pPr>
              <w:pStyle w:val="ListParagraph"/>
              <w:numPr>
                <w:ilvl w:val="0"/>
                <w:numId w:val="2"/>
              </w:numPr>
              <w:spacing w:after="60"/>
            </w:pPr>
            <w:r>
              <w:rPr>
                <w:sz w:val="21"/>
                <w:szCs w:val="21"/>
              </w:rPr>
              <w:t xml:space="preserve">Métricas: exactitud, F1 macro, F1 ponderado y exactitud top-3 — además del tiempo de entrenamiento</w:t>
            </w:r>
          </w:p>
          <w:p>
            <w:pPr>
              <w:pStyle w:val="ListParagraph"/>
              <w:numPr>
                <w:ilvl w:val="0"/>
                <w:numId w:val="2"/>
              </w:numPr>
              <w:spacing w:after="60"/>
            </w:pPr>
            <w:r>
              <w:rPr>
                <w:sz w:val="21"/>
                <w:szCs w:val="21"/>
              </w:rPr>
              <w:t xml:space="preserve">La combinación de métricas responde al desbalance de clases del catálogo</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La selección del algoritmo se resolvió mediante una competencia entre siete configuraciones distintas, evaluadas todas sobre la misma partición de datos y con las mismas métricas. En una primera ronda se evaluaron cuatro configuraciones que combinan dos representaciones vectoriales —TF-IDF de palabras y TF-IDF de n-gramas de carácter— con tres algoritmos: regresión logística, máquina de vectores de soporte lineal y bosque aleatorio. En una segunda ronda se incorporaron tres familias adicionales: potenciación de gradiente sobre árboles, un clasificador de subpalabras y un transformador multilingüe preentrenado sometido a ajuste fino.</w:t>
            </w:r>
          </w:p>
          <w:p>
            <w:pPr>
              <w:spacing w:after="100"/>
            </w:pPr>
            <w:r>
              <w:rPr>
                <w:i/>
                <w:iCs/>
                <w:sz w:val="22"/>
                <w:szCs w:val="22"/>
              </w:rPr>
              <w:t xml:space="preserve">Se reportan cuatro métricas de desempeño —exactitud global, F1 macro, F1 ponderado y exactitud sobre las tres primeras sugerencias— además del tiempo de entrenamiento de cada configuración. Esta combinación de métricas, y no la exactitud de forma aislada, responde directamente al desbalance de clases que caracteriza al catálogo: dado que más de la mitad de las clases cuenta con diez materiales o menos, una métrica que pondere cada clase por igual es indispensable para no subestimar el error sobre las categorías minoritarias.</w:t>
            </w:r>
          </w:p>
        </w:tc>
      </w:tr>
    </w:tbl>
    <w:p>
      <w:pPr>
        <w:pStyle w:val="Heading2"/>
        <w:pBdr>
          <w:bottom w:val="single" w:color="1F4E5F" w:sz="8" w:space="4"/>
        </w:pBdr>
        <w:spacing w:after="100" w:before="400"/>
      </w:pPr>
      <w:r>
        <w:rPr>
          <w:b/>
          <w:bCs/>
          <w:color w:val="1F4E5F"/>
          <w:sz w:val="26"/>
          <w:szCs w:val="26"/>
        </w:rPr>
        <w:t xml:space="preserve">Diapositiva 7 — Arquitectura tecnológica</w:t>
      </w:r>
      <w:r>
        <w:rPr>
          <w:i/>
          <w:iCs/>
          <w:color w:val="8A2E4D"/>
          <w:sz w:val="22"/>
          <w:szCs w:val="22"/>
        </w:rPr>
        <w:t xml:space="preserve">   (0:50)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PostgreSQL 16 + pg_trgm · API en Python (FastAPI) · Frontend de página única · Docker Compose</w:t>
            </w:r>
          </w:p>
          <w:p>
            <w:pPr>
              <w:pStyle w:val="ListParagraph"/>
              <w:numPr>
                <w:ilvl w:val="0"/>
                <w:numId w:val="2"/>
              </w:numPr>
              <w:spacing w:after="60"/>
            </w:pPr>
            <w:r>
              <w:rPr>
                <w:sz w:val="21"/>
                <w:szCs w:val="21"/>
              </w:rPr>
              <w:t xml:space="preserve">Único componente de pago por uso: el servicio de modelo de lenguaje</w:t>
            </w:r>
          </w:p>
          <w:p>
            <w:pPr>
              <w:pStyle w:val="ListParagraph"/>
              <w:numPr>
                <w:ilvl w:val="0"/>
                <w:numId w:val="2"/>
              </w:numPr>
              <w:spacing w:after="60"/>
            </w:pPr>
            <w:r>
              <w:rPr>
                <w:sz w:val="21"/>
                <w:szCs w:val="21"/>
              </w:rPr>
              <w:t xml:space="preserve">Resto de la infraestructura: software de código abierto</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La plataforma se construyó sobre PostgreSQL 16 con la extensión pg_trgm habilitada, un API desarrollado en Python con FastAPI, y un frontend de página única, todo orquestado mediante contenedores con Docker Compose.</w:t>
            </w:r>
          </w:p>
          <w:p>
            <w:pPr>
              <w:spacing w:after="100"/>
            </w:pPr>
            <w:r>
              <w:rPr>
                <w:i/>
                <w:iCs/>
                <w:sz w:val="22"/>
                <w:szCs w:val="22"/>
              </w:rPr>
              <w:t xml:space="preserve">Con la única excepción del servicio de modelo de lenguaje, que opera bajo un esquema de pago por uso, la totalidad de la infraestructura se compone de software de código abierto, lo que hace sostenible su operación más allá del período de desarrollo, sin inversión adicional significativa en licenciamiento.</w:t>
            </w:r>
          </w:p>
        </w:tc>
      </w:tr>
    </w:tbl>
    <w:p>
      <w:pPr>
        <w:pStyle w:val="Heading2"/>
        <w:pBdr>
          <w:bottom w:val="single" w:color="1F4E5F" w:sz="8" w:space="4"/>
        </w:pBdr>
        <w:spacing w:after="100" w:before="400"/>
      </w:pPr>
      <w:r>
        <w:rPr>
          <w:b/>
          <w:bCs/>
          <w:color w:val="1F4E5F"/>
          <w:sz w:val="26"/>
          <w:szCs w:val="26"/>
        </w:rPr>
        <w:t xml:space="preserve">Diapositiva 8 — Resultados: modelo ganador frente a las configuraciones no seleccionadas</w:t>
      </w:r>
      <w:r>
        <w:rPr>
          <w:i/>
          <w:iCs/>
          <w:color w:val="8A2E4D"/>
          <w:sz w:val="22"/>
          <w:szCs w:val="22"/>
        </w:rPr>
        <w:t xml:space="preserve">   (1:30)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b/>
                <w:bCs/>
                <w:sz w:val="21"/>
                <w:szCs w:val="21"/>
              </w:rPr>
              <w:t xml:space="preserve">Modelo ganador: máquina de vectores de soporte lineal sobre TF-IDF de carácter</w:t>
            </w:r>
          </w:p>
          <w:p>
            <w:pPr>
              <w:pStyle w:val="ListParagraph"/>
              <w:numPr>
                <w:ilvl w:val="0"/>
                <w:numId w:val="2"/>
              </w:numPr>
              <w:spacing w:after="60"/>
            </w:pPr>
            <w:r>
              <w:rPr>
                <w:sz w:val="21"/>
                <w:szCs w:val="21"/>
              </w:rPr>
              <w:t xml:space="preserve">Exactitud 0.8208 · F1 macro 0.7072 · F1 ponderado 0.8041 · Top-3 0.9176 · 54.1 segundos de entrenamiento</w:t>
            </w:r>
          </w:p>
          <w:p>
            <w:pPr>
              <w:pStyle w:val="ListParagraph"/>
              <w:numPr>
                <w:ilvl w:val="0"/>
                <w:numId w:val="2"/>
              </w:numPr>
              <w:spacing w:after="60"/>
            </w:pPr>
            <w:r>
              <w:rPr>
                <w:b/>
                <w:bCs/>
                <w:sz w:val="21"/>
                <w:szCs w:val="21"/>
              </w:rPr>
              <w:t xml:space="preserve">Frente a las seis configuraciones no seleccionadas:</w:t>
            </w:r>
          </w:p>
          <w:p>
            <w:pPr>
              <w:pStyle w:val="ListParagraph"/>
              <w:numPr>
                <w:ilvl w:val="0"/>
                <w:numId w:val="2"/>
              </w:numPr>
              <w:spacing w:after="60"/>
            </w:pPr>
            <w:r>
              <w:rPr>
                <w:sz w:val="21"/>
                <w:szCs w:val="21"/>
              </w:rPr>
              <w:t xml:space="preserve">Mejor resultado en las cuatro métricas de desempeño, de forma consistente</w:t>
            </w:r>
          </w:p>
          <w:p>
            <w:pPr>
              <w:pStyle w:val="ListParagraph"/>
              <w:numPr>
                <w:ilvl w:val="0"/>
                <w:numId w:val="2"/>
              </w:numPr>
              <w:spacing w:after="60"/>
            </w:pPr>
            <w:r>
              <w:rPr>
                <w:sz w:val="21"/>
                <w:szCs w:val="21"/>
              </w:rPr>
              <w:t xml:space="preserve">Costo de entrenamiento muy inferior al de los modelos de ensamble y de aprendizaje profundo</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La configuración ganadora fue una máquina de vectores de soporte lineal sobre una representación TF-IDF de n-gramas de carácter, que obtuvo el mejor resultado en las cuatro métricas de desempeño evaluadas, de forma consistente: 0.8208 de exactitud, 0.7072 de F1 macro, 0.8041 de F1 ponderado y 0.9176 de exactitud sobre las tres primeras sugerencias.</w:t>
            </w:r>
          </w:p>
          <w:p>
            <w:pPr>
              <w:spacing w:after="100"/>
            </w:pPr>
            <w:r>
              <w:rPr>
                <w:i/>
                <w:iCs/>
                <w:sz w:val="22"/>
                <w:szCs w:val="22"/>
              </w:rPr>
              <w:t xml:space="preserve">Este resultado es relevante no solo por su desempeño, sino por su costo computacional: la configuración ganadora se entrenó en 54.1 segundos, frente a las más de tres horas que requirió la configuración de potenciación de gradiente para obtener un resultado apenas seis décimas de punto porcentual por debajo, o los más de cincuenta minutos que requirió el transformador multilingüe —sobre una unidad de procesamiento gráfico especializada— sin lograr superar a la configuración lineal en ninguna de las cuatro métricas.</w:t>
            </w:r>
          </w:p>
          <w:p>
            <w:pPr>
              <w:spacing w:after="100"/>
            </w:pPr>
            <w:r>
              <w:rPr>
                <w:i/>
                <w:iCs/>
                <w:sz w:val="22"/>
                <w:szCs w:val="22"/>
              </w:rPr>
              <w:t xml:space="preserve">Este hallazgo es consistente con la naturaleza del problema: las descripciones del maestro son textos cortos, altamente estructurados y con vocabulario técnico acotado; no contienen la ambigüedad sintáctica ni las dependencias de largo alcance que justificarían recurrir a un modelo de mayor capacidad. Un clasificador lineal sobre una representación de caracteres captura precisamente el tipo de regularidad que este texto exhibe.</w:t>
            </w:r>
          </w:p>
        </w:tc>
      </w:tr>
    </w:tbl>
    <w:p>
      <w:pPr>
        <w:pStyle w:val="Heading2"/>
        <w:pBdr>
          <w:bottom w:val="single" w:color="1F4E5F" w:sz="8" w:space="4"/>
        </w:pBdr>
        <w:spacing w:after="100" w:before="400"/>
      </w:pPr>
      <w:r>
        <w:rPr>
          <w:b/>
          <w:bCs/>
          <w:color w:val="1F4E5F"/>
          <w:sz w:val="26"/>
          <w:szCs w:val="26"/>
        </w:rPr>
        <w:t xml:space="preserve">Diapositiva 9 — Desempeño del modelo seleccionado</w:t>
      </w:r>
      <w:r>
        <w:rPr>
          <w:i/>
          <w:iCs/>
          <w:color w:val="8A2E4D"/>
          <w:sz w:val="22"/>
          <w:szCs w:val="22"/>
        </w:rPr>
        <w:t xml:space="preserve">   (1:10)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1,418 errores sobre 7,915 materiales de prueba (17.92%)</w:t>
            </w:r>
          </w:p>
          <w:p>
            <w:pPr>
              <w:pStyle w:val="ListParagraph"/>
              <w:numPr>
                <w:ilvl w:val="0"/>
                <w:numId w:val="2"/>
              </w:numPr>
              <w:spacing w:after="60"/>
            </w:pPr>
            <w:r>
              <w:rPr>
                <w:sz w:val="21"/>
                <w:szCs w:val="21"/>
              </w:rPr>
              <w:t xml:space="preserve">Los errores se concentran en categorías genéricas, sin vocabulario distintivo (p. ej. "repuesto", "herramienta")</w:t>
            </w:r>
          </w:p>
          <w:p>
            <w:pPr>
              <w:pStyle w:val="ListParagraph"/>
              <w:numPr>
                <w:ilvl w:val="0"/>
                <w:numId w:val="2"/>
              </w:numPr>
              <w:spacing w:after="60"/>
            </w:pPr>
            <w:r>
              <w:rPr>
                <w:sz w:val="21"/>
                <w:szCs w:val="21"/>
              </w:rPr>
              <w:t xml:space="preserve">Categorías con vocabulario propio y estable se resuelven casi sin error</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Sobre la partición de prueba, el modelo seleccionado cometió 1,418 errores de 7,915 materiales evaluados, equivalentes a un 17.92%. El análisis de la matriz de confusión muestra que este error no se distribuye de forma pareja: las clases con vocabulario propio y estable se resuelven casi sin error, mientras que las categorías de naturaleza genérica —como "repuesto" o "herramienta"— presentan las tasas de acierto más bajas del conjunto.</w:t>
            </w:r>
          </w:p>
          <w:p>
            <w:pPr>
              <w:spacing w:after="100"/>
            </w:pPr>
            <w:r>
              <w:rPr>
                <w:i/>
                <w:iCs/>
                <w:sz w:val="22"/>
                <w:szCs w:val="22"/>
              </w:rPr>
              <w:t xml:space="preserve">Esta observación tiene una implicación relevante: buena parte de ese error no constituye, en sentido estricto, un error de clasificación, sino una manifestación de un problema del propio catálogo, donde existen pares de clases que designan el mismo concepto y difieren únicamente en puntuación o forma de escritura. El análisis de errores del modelo funciona, en este sentido, como un instrumento adicional de diagnóstico sobre la calidad de la taxonomía que clasifica.</w:t>
            </w:r>
          </w:p>
        </w:tc>
      </w:tr>
    </w:tbl>
    <w:p>
      <w:pPr>
        <w:pStyle w:val="Heading2"/>
        <w:pBdr>
          <w:bottom w:val="single" w:color="1F4E5F" w:sz="8" w:space="4"/>
        </w:pBdr>
        <w:spacing w:after="100" w:before="400"/>
      </w:pPr>
      <w:r>
        <w:rPr>
          <w:b/>
          <w:bCs/>
          <w:color w:val="1F4E5F"/>
          <w:sz w:val="26"/>
          <w:szCs w:val="26"/>
        </w:rPr>
        <w:t xml:space="preserve">Diapositiva 10 — Exactitud y cobertura según umbral de confianza</w:t>
      </w:r>
      <w:r>
        <w:rPr>
          <w:i/>
          <w:iCs/>
          <w:color w:val="8A2E4D"/>
          <w:sz w:val="22"/>
          <w:szCs w:val="22"/>
        </w:rPr>
        <w:t xml:space="preserve">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Sin umbral: 0.8208 de exactitud sobre 100% de los casos</w:t>
            </w:r>
          </w:p>
          <w:p>
            <w:pPr>
              <w:pStyle w:val="ListParagraph"/>
              <w:numPr>
                <w:ilvl w:val="0"/>
                <w:numId w:val="2"/>
              </w:numPr>
              <w:spacing w:after="60"/>
            </w:pPr>
            <w:r>
              <w:rPr>
                <w:sz w:val="21"/>
                <w:szCs w:val="21"/>
              </w:rPr>
              <w:t xml:space="preserve">Umbral operativo adoptado: 0.9888 de exactitud sobre 28.24% de los casos resueltos de forma automática</w:t>
            </w:r>
          </w:p>
          <w:p>
            <w:pPr>
              <w:pStyle w:val="ListParagraph"/>
              <w:numPr>
                <w:ilvl w:val="0"/>
                <w:numId w:val="2"/>
              </w:numPr>
              <w:spacing w:after="60"/>
            </w:pPr>
            <w:r>
              <w:rPr>
                <w:sz w:val="21"/>
                <w:szCs w:val="21"/>
              </w:rPr>
              <w:t xml:space="preserve">El resto se deriva a revisión del gestor, con tres candidatos ordenados por probabilidad</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Dado que el modelo produce una probabilidad asociada a cada sugerencia, se caracterizó el compromiso entre exactitud y cobertura para distintos umbrales de confianza. Al umbral finalmente adoptado por la plataforma, el sistema alcanza una exactitud de 0.9888 sobre el 28.24% de los casos que resuelve de forma automática.</w:t>
            </w:r>
          </w:p>
          <w:p>
            <w:pPr>
              <w:spacing w:after="100"/>
            </w:pPr>
            <w:r>
              <w:rPr>
                <w:i/>
                <w:iCs/>
                <w:sz w:val="22"/>
                <w:szCs w:val="22"/>
              </w:rPr>
              <w:t xml:space="preserve">Se privilegió deliberadamente la exactitud sobre la cobertura: en un proceso de gobierno de datos, una categoría incorrecta que ingresa al catálogo sin revisión genera un costo persistente, mientras que una sugerencia derivada a revisión del gestor únicamente consume su atención, sin comprometer la calidad del catálogo. Cabe subrayar que incluso las solicitudes derivadas a revisión conservan valor: el gestor recibe tres candidatos ordenados por probabilidad, en lugar de tener que enfrentar el catálogo completo.</w:t>
            </w:r>
          </w:p>
        </w:tc>
      </w:tr>
    </w:tbl>
    <w:p>
      <w:pPr>
        <w:pStyle w:val="Heading2"/>
        <w:pBdr>
          <w:bottom w:val="single" w:color="1F4E5F" w:sz="8" w:space="4"/>
        </w:pBdr>
        <w:spacing w:after="100" w:before="400"/>
      </w:pPr>
      <w:r>
        <w:rPr>
          <w:b/>
          <w:bCs/>
          <w:color w:val="1F4E5F"/>
          <w:sz w:val="26"/>
          <w:szCs w:val="26"/>
        </w:rPr>
        <w:t xml:space="preserve">Diapositiva 11 — Cierre y transición</w:t>
      </w:r>
      <w:r>
        <w:rPr>
          <w:i/>
          <w:iCs/>
          <w:color w:val="8A2E4D"/>
          <w:sz w:val="22"/>
          <w:szCs w:val="22"/>
        </w:rPr>
        <w:t xml:space="preserve">   (0:20)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(Transición hacia la sección de Resultados de operación en producción)</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Con esto concluye la presentación de lo que se construyó y de los resultados obtenidos en la etapa de evaluación de laboratorio. A continuación, se expondrán los resultados observados durante la operación real de la plataforma.</w:t>
            </w:r>
          </w:p>
        </w:tc>
      </w:tr>
    </w:tbl>
    <w:p>
      <w:pPr>
        <w:spacing w:after="300"/>
      </w:pPr>
    </w:p>
    <w:p>
      <w:pPr>
        <w:pStyle w:val="Heading1"/>
        <w:spacing w:after="200" w:before="400"/>
      </w:pPr>
      <w:r>
        <w:rPr>
          <w:b/>
          <w:bCs/>
          <w:color w:val="1F4E5F"/>
        </w:rPr>
        <w:t xml:space="preserve">Notas para ti</w:t>
      </w:r>
    </w:p>
    <w:p>
      <w:pPr>
        <w:pStyle w:val="ListParagraph"/>
        <w:numPr>
          <w:ilvl w:val="0"/>
          <w:numId w:val="2"/>
        </w:numPr>
        <w:spacing w:after="60"/>
      </w:pPr>
      <w:r>
        <w:t xml:space="preserve">La afirmación sobre el tiempo de fastText que estaba marcada para corregir en el documento ("tiempos de entrenamiento varios órdenes de magnitud menores") NO se incluyó en este guion. fastText entrenó en 42.8 segundos, un tiempo comparable al del modelo ganador (54.1 s) y no dramáticamente menor — por eso no se menciona como argumento de velocidad en ningún slide.</w:t>
      </w:r>
    </w:p>
    <w:p>
      <w:pPr>
        <w:pStyle w:val="ListParagraph"/>
        <w:numPr>
          <w:ilvl w:val="0"/>
          <w:numId w:val="2"/>
        </w:numPr>
        <w:spacing w:after="60"/>
      </w:pPr>
      <w:r>
        <w:t xml:space="preserve">La Diapositiva 6 responde de forma preventiva a tu propia duda de por qué se reportan cuatro métricas en lugar de solo exactitud — es una buena señal de dominio del tema si lo dices con seguridad, ya que es una pregunta técnica muy probable del tribunal.</w:t>
      </w:r>
    </w:p>
    <w:p>
      <w:pPr>
        <w:pStyle w:val="ListParagraph"/>
        <w:numPr>
          <w:ilvl w:val="0"/>
          <w:numId w:val="2"/>
        </w:numPr>
        <w:spacing w:after="60"/>
      </w:pPr>
      <w:r>
        <w:t xml:space="preserve">Se mantuvo el mismo nivel de profundidad para las siete configuraciones (todas se mencionan agregadas en el Cuadro de resultados, ninguna recibe una explicación individual extensa) para no repetir el desbalance que notaste en el documento, donde el transformador recibía una explicación desproporcionadamente más larga que los demás modelos.</w:t>
      </w:r>
    </w:p>
    <w:p>
      <w:pPr>
        <w:pStyle w:val="ListParagraph"/>
        <w:numPr>
          <w:ilvl w:val="0"/>
          <w:numId w:val="2"/>
        </w:numPr>
        <w:spacing w:after="60"/>
      </w:pPr>
      <w:r>
        <w:t xml:space="preserve">Si el tribunal pregunta por qué se entrenó sobre el catálogo completo sin remover los materiales creados bajo categorías genéricas (por ejemplo, ZSUM): la Diapositiva 9 ya sienta la base de esa respuesta — el análisis de errores muestra que esas categorías genéricas concentran el error porque son un problema de la taxonomía, no del modelo, y evaluar sobre el catálogo real (no depurado) fue una decisión metodológica consciente.</w:t>
      </w:r>
    </w:p>
    <w:p>
      <w:pPr>
        <w:pStyle w:val="ListParagraph"/>
        <w:numPr>
          <w:ilvl w:val="0"/>
          <w:numId w:val="2"/>
        </w:numPr>
        <w:spacing w:after="60"/>
      </w:pPr>
      <w:r>
        <w:t xml:space="preserve">Practica esta sección por separado cronometrando con el celular; es la más densa técnicamente de las tres. Si necesitas recortar, las diapositivas 3, 4 y 5 (preparación, normalización, duplicados) admiten resumirse a una sola oración cada una sin perder el argumento central.</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2026-09-02T01:39:39.232Z</dcterms:created>
  <dcterms:modified xsi:type="dcterms:W3CDTF">2026-09-02T01:39:39.232Z</dcterms:modified>
</cp:coreProperties>
</file>

<file path=docProps/custom.xml><?xml version="1.0" encoding="utf-8"?>
<Properties xmlns="http://schemas.openxmlformats.org/officeDocument/2006/custom-properties" xmlns:vt="http://schemas.openxmlformats.org/officeDocument/2006/docPropsVTypes"/>
</file>