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GAMMA — Defensa de graduación MBIA</w:t>
      </w:r>
    </w:p>
    <w:p>
      <w:pPr>
        <w:spacing w:after="60"/>
      </w:pPr>
      <w:r>
        <w:rPr>
          <w:color w:val="6B4226"/>
          <w:sz w:val="26"/>
          <w:szCs w:val="26"/>
        </w:rPr>
        <w:t xml:space="preserve">Guion y contenido de diapositivas</w:t>
      </w:r>
    </w:p>
    <w:p>
      <w:pPr>
        <w:spacing w:after="300"/>
      </w:pPr>
      <w:r>
        <w:rPr>
          <w:i/>
          <w:iCs/>
          <w:sz w:val="22"/>
          <w:szCs w:val="22"/>
        </w:rPr>
        <w:t xml:space="preserve">Resultados de la operación · Conclusiones · Recomendaciones — tiempo objetivo: ≈ 12–13 minutos</w:t>
      </w:r>
    </w:p>
    <w:p>
      <w:pPr>
        <w:spacing w:after="200" w:before="100"/>
      </w:pPr>
      <w:r>
        <w:rPr>
          <w:i/>
          <w:iCs/>
          <w:color w:val="8A2E4D"/>
          <w:sz w:val="20"/>
          <w:szCs w:val="20"/>
        </w:rPr>
        <w:t xml:space="preserve">Nota: Este bloque es compartido entre los tres integrantes (no tiene un único responsable en el plan original). Está dividido en tres partes de aproximadamente 4 minutos cada una —Resultados de la operación, Conclusiones y Recomendaciones— para que cualquiera de ustedes pueda tomar cualquier parte el día de la defensa, sin necesidad de fijarlo de antemano.</w:t>
      </w:r>
    </w:p>
    <w:p>
      <w:pPr>
        <w:pStyle w:val="Heading1"/>
        <w:spacing w:after="200" w:before="400"/>
      </w:pPr>
      <w:r>
        <w:rPr>
          <w:b/>
          <w:bCs/>
          <w:color w:val="1F4E5F"/>
        </w:rPr>
        <w:t xml:space="preserve">Resumen de tiempos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1F4E5F" w:val="clear"/>
            <w:tcMar>
              <w:top w:type="dxa" w:w="100"/>
              <w:left w:type="dxa" w:w="150"/>
              <w:bottom w:type="dxa" w:w="100"/>
              <w:right w:type="dxa" w:w="150"/>
            </w:tcMar>
          </w:tcPr>
          <w:p>
            <w:r>
              <w:rPr>
                <w:b/>
                <w:bCs/>
                <w:color w:val="FFFFFF"/>
              </w:rPr>
              <w:t xml:space="preserve">Bloque</w:t>
            </w:r>
          </w:p>
        </w:tc>
        <w:tc>
          <w:tcPr>
            <w:tcW w:type="dxa" w:w="3000"/>
            <w:shd w:fill="1F4E5F" w:val="clear"/>
            <w:tcMar>
              <w:top w:type="dxa" w:w="100"/>
              <w:left w:type="dxa" w:w="150"/>
              <w:bottom w:type="dxa" w:w="100"/>
              <w:right w:type="dxa" w:w="150"/>
            </w:tcMar>
          </w:tcPr>
          <w:p>
            <w:r>
              <w:rPr>
                <w:b/>
                <w:bCs/>
                <w:color w:val="FFFFFF"/>
              </w:rPr>
              <w:t xml:space="preserve">Tiempo</w:t>
            </w:r>
          </w:p>
        </w:tc>
      </w:tr>
      <w:tr>
        <w:tc>
          <w:tcPr>
            <w:tcW w:type="dxa" w:w="7000"/>
            <w:shd w:fill="F2F2F2" w:val="clear"/>
            <w:tcMar>
              <w:top w:type="dxa" w:w="80"/>
              <w:left w:type="dxa" w:w="150"/>
              <w:bottom w:type="dxa" w:w="80"/>
              <w:right w:type="dxa" w:w="150"/>
            </w:tcMar>
          </w:tcPr>
          <w:p>
            <w:r>
              <w:rPr>
                <w:sz w:val="21"/>
                <w:szCs w:val="21"/>
              </w:rPr>
              <w:t xml:space="preserve">Diapositiva 1 — Apertura / transición</w:t>
            </w:r>
          </w:p>
        </w:tc>
        <w:tc>
          <w:tcPr>
            <w:tcW w:type="dxa" w:w="3000"/>
            <w:shd w:fill="F2F2F2" w:val="clear"/>
            <w:tcMar>
              <w:top w:type="dxa" w:w="80"/>
              <w:left w:type="dxa" w:w="150"/>
              <w:bottom w:type="dxa" w:w="80"/>
              <w:right w:type="dxa" w:w="150"/>
            </w:tcMar>
          </w:tcPr>
          <w:p>
            <w:r>
              <w:rPr>
                <w:sz w:val="21"/>
                <w:szCs w:val="21"/>
              </w:rPr>
              <w:t xml:space="preserve">0:15</w:t>
            </w:r>
          </w:p>
        </w:tc>
      </w:tr>
      <w:tr>
        <w:tc>
          <w:tcPr>
            <w:tcW w:type="dxa" w:w="7000"/>
            <w:shd w:fill="FFFFFF" w:val="clear"/>
            <w:tcMar>
              <w:top w:type="dxa" w:w="80"/>
              <w:left w:type="dxa" w:w="150"/>
              <w:bottom w:type="dxa" w:w="80"/>
              <w:right w:type="dxa" w:w="150"/>
            </w:tcMar>
          </w:tcPr>
          <w:p>
            <w:r>
              <w:rPr>
                <w:sz w:val="21"/>
                <w:szCs w:val="21"/>
              </w:rPr>
              <w:t xml:space="preserve">— Parte 1: Resultados de la operación —</w:t>
            </w:r>
          </w:p>
        </w:tc>
        <w:tc>
          <w:tcPr>
            <w:tcW w:type="dxa" w:w="3000"/>
            <w:shd w:fill="FFFFFF" w:val="clear"/>
            <w:tcMar>
              <w:top w:type="dxa" w:w="80"/>
              <w:left w:type="dxa" w:w="150"/>
              <w:bottom w:type="dxa" w:w="80"/>
              <w:right w:type="dxa" w:w="150"/>
            </w:tcMar>
          </w:tcPr>
          <w:p>
            <w:r>
              <w:rPr>
                <w:sz w:val="21"/>
                <w:szCs w:val="21"/>
              </w:rPr>
              <w:t xml:space="preserve"/>
            </w:r>
          </w:p>
        </w:tc>
      </w:tr>
      <w:tr>
        <w:tc>
          <w:tcPr>
            <w:tcW w:type="dxa" w:w="7000"/>
            <w:shd w:fill="F2F2F2" w:val="clear"/>
            <w:tcMar>
              <w:top w:type="dxa" w:w="80"/>
              <w:left w:type="dxa" w:w="150"/>
              <w:bottom w:type="dxa" w:w="80"/>
              <w:right w:type="dxa" w:w="150"/>
            </w:tcMar>
          </w:tcPr>
          <w:p>
            <w:r>
              <w:rPr>
                <w:sz w:val="21"/>
                <w:szCs w:val="21"/>
              </w:rPr>
              <w:t xml:space="preserve">Diapositiva 2 — Tiempo de gestión</w:t>
            </w:r>
          </w:p>
        </w:tc>
        <w:tc>
          <w:tcPr>
            <w:tcW w:type="dxa" w:w="3000"/>
            <w:shd w:fill="F2F2F2" w:val="clear"/>
            <w:tcMar>
              <w:top w:type="dxa" w:w="80"/>
              <w:left w:type="dxa" w:w="150"/>
              <w:bottom w:type="dxa" w:w="80"/>
              <w:right w:type="dxa" w:w="150"/>
            </w:tcMar>
          </w:tcPr>
          <w:p>
            <w:r>
              <w:rPr>
                <w:sz w:val="21"/>
                <w:szCs w:val="21"/>
              </w:rPr>
              <w:t xml:space="preserve">1:20</w:t>
            </w:r>
          </w:p>
        </w:tc>
      </w:tr>
      <w:tr>
        <w:tc>
          <w:tcPr>
            <w:tcW w:type="dxa" w:w="7000"/>
            <w:shd w:fill="FFFFFF" w:val="clear"/>
            <w:tcMar>
              <w:top w:type="dxa" w:w="80"/>
              <w:left w:type="dxa" w:w="150"/>
              <w:bottom w:type="dxa" w:w="80"/>
              <w:right w:type="dxa" w:w="150"/>
            </w:tcMar>
          </w:tcPr>
          <w:p>
            <w:r>
              <w:rPr>
                <w:sz w:val="21"/>
                <w:szCs w:val="21"/>
              </w:rPr>
              <w:t xml:space="preserve">Diapositiva 3 — Tablero operativo</w:t>
            </w:r>
          </w:p>
        </w:tc>
        <w:tc>
          <w:tcPr>
            <w:tcW w:type="dxa" w:w="3000"/>
            <w:shd w:fill="FFFFFF" w:val="clear"/>
            <w:tcMar>
              <w:top w:type="dxa" w:w="80"/>
              <w:left w:type="dxa" w:w="150"/>
              <w:bottom w:type="dxa" w:w="80"/>
              <w:right w:type="dxa" w:w="150"/>
            </w:tcMar>
          </w:tcPr>
          <w:p>
            <w:r>
              <w:rPr>
                <w:sz w:val="21"/>
                <w:szCs w:val="21"/>
              </w:rPr>
              <w:t xml:space="preserve">1:40</w:t>
            </w:r>
          </w:p>
        </w:tc>
      </w:tr>
      <w:tr>
        <w:tc>
          <w:tcPr>
            <w:tcW w:type="dxa" w:w="7000"/>
            <w:shd w:fill="F2F2F2" w:val="clear"/>
            <w:tcMar>
              <w:top w:type="dxa" w:w="80"/>
              <w:left w:type="dxa" w:w="150"/>
              <w:bottom w:type="dxa" w:w="80"/>
              <w:right w:type="dxa" w:w="150"/>
            </w:tcMar>
          </w:tcPr>
          <w:p>
            <w:r>
              <w:rPr>
                <w:sz w:val="21"/>
                <w:szCs w:val="21"/>
              </w:rPr>
              <w:t xml:space="preserve">Diapositiva 4 — Encuesta de satisfacción</w:t>
            </w:r>
          </w:p>
        </w:tc>
        <w:tc>
          <w:tcPr>
            <w:tcW w:type="dxa" w:w="3000"/>
            <w:shd w:fill="F2F2F2" w:val="clear"/>
            <w:tcMar>
              <w:top w:type="dxa" w:w="80"/>
              <w:left w:type="dxa" w:w="150"/>
              <w:bottom w:type="dxa" w:w="80"/>
              <w:right w:type="dxa" w:w="150"/>
            </w:tcMar>
          </w:tcPr>
          <w:p>
            <w:r>
              <w:rPr>
                <w:sz w:val="21"/>
                <w:szCs w:val="21"/>
              </w:rPr>
              <w:t xml:space="preserve">1:10</w:t>
            </w:r>
          </w:p>
        </w:tc>
      </w:tr>
      <w:tr>
        <w:tc>
          <w:tcPr>
            <w:tcW w:type="dxa" w:w="7000"/>
            <w:shd w:fill="FFFFFF" w:val="clear"/>
            <w:tcMar>
              <w:top w:type="dxa" w:w="80"/>
              <w:left w:type="dxa" w:w="150"/>
              <w:bottom w:type="dxa" w:w="80"/>
              <w:right w:type="dxa" w:w="150"/>
            </w:tcMar>
          </w:tcPr>
          <w:p>
            <w:r>
              <w:rPr>
                <w:sz w:val="21"/>
                <w:szCs w:val="21"/>
              </w:rPr>
              <w:t xml:space="preserve">Diapositiva 5 — Impacto financiero</w:t>
            </w:r>
          </w:p>
        </w:tc>
        <w:tc>
          <w:tcPr>
            <w:tcW w:type="dxa" w:w="3000"/>
            <w:shd w:fill="FFFFFF" w:val="clear"/>
            <w:tcMar>
              <w:top w:type="dxa" w:w="80"/>
              <w:left w:type="dxa" w:w="150"/>
              <w:bottom w:type="dxa" w:w="80"/>
              <w:right w:type="dxa" w:w="150"/>
            </w:tcMar>
          </w:tcPr>
          <w:p>
            <w:r>
              <w:rPr>
                <w:sz w:val="21"/>
                <w:szCs w:val="21"/>
              </w:rPr>
              <w:t xml:space="preserve">1:40</w:t>
            </w:r>
          </w:p>
        </w:tc>
      </w:tr>
      <w:tr>
        <w:tc>
          <w:tcPr>
            <w:tcW w:type="dxa" w:w="7000"/>
            <w:shd w:fill="F2F2F2" w:val="clear"/>
            <w:tcMar>
              <w:top w:type="dxa" w:w="80"/>
              <w:left w:type="dxa" w:w="150"/>
              <w:bottom w:type="dxa" w:w="80"/>
              <w:right w:type="dxa" w:w="150"/>
            </w:tcMar>
          </w:tcPr>
          <w:p>
            <w:r>
              <w:rPr>
                <w:sz w:val="21"/>
                <w:szCs w:val="21"/>
              </w:rPr>
              <w:t xml:space="preserve">— Parte 2: Conclusiones —</w:t>
            </w:r>
          </w:p>
        </w:tc>
        <w:tc>
          <w:tcPr>
            <w:tcW w:type="dxa" w:w="3000"/>
            <w:shd w:fill="F2F2F2" w:val="clear"/>
            <w:tcMar>
              <w:top w:type="dxa" w:w="80"/>
              <w:left w:type="dxa" w:w="150"/>
              <w:bottom w:type="dxa" w:w="80"/>
              <w:right w:type="dxa" w:w="150"/>
            </w:tcMar>
          </w:tcPr>
          <w:p>
            <w:r>
              <w:rPr>
                <w:sz w:val="21"/>
                <w:szCs w:val="21"/>
              </w:rPr>
              <w:t xml:space="preserve"/>
            </w:r>
          </w:p>
        </w:tc>
      </w:tr>
      <w:tr>
        <w:tc>
          <w:tcPr>
            <w:tcW w:type="dxa" w:w="7000"/>
            <w:shd w:fill="FFFFFF" w:val="clear"/>
            <w:tcMar>
              <w:top w:type="dxa" w:w="80"/>
              <w:left w:type="dxa" w:w="150"/>
              <w:bottom w:type="dxa" w:w="80"/>
              <w:right w:type="dxa" w:w="150"/>
            </w:tcMar>
          </w:tcPr>
          <w:p>
            <w:r>
              <w:rPr>
                <w:sz w:val="21"/>
                <w:szCs w:val="21"/>
              </w:rPr>
              <w:t xml:space="preserve">Diapositiva 6 — Conclusiones (1/2)</w:t>
            </w:r>
          </w:p>
        </w:tc>
        <w:tc>
          <w:tcPr>
            <w:tcW w:type="dxa" w:w="3000"/>
            <w:shd w:fill="FFFFFF" w:val="clear"/>
            <w:tcMar>
              <w:top w:type="dxa" w:w="80"/>
              <w:left w:type="dxa" w:w="150"/>
              <w:bottom w:type="dxa" w:w="80"/>
              <w:right w:type="dxa" w:w="150"/>
            </w:tcMar>
          </w:tcPr>
          <w:p>
            <w:r>
              <w:rPr>
                <w:sz w:val="21"/>
                <w:szCs w:val="21"/>
              </w:rPr>
              <w:t xml:space="preserve">1:30</w:t>
            </w:r>
          </w:p>
        </w:tc>
      </w:tr>
      <w:tr>
        <w:tc>
          <w:tcPr>
            <w:tcW w:type="dxa" w:w="7000"/>
            <w:shd w:fill="F2F2F2" w:val="clear"/>
            <w:tcMar>
              <w:top w:type="dxa" w:w="80"/>
              <w:left w:type="dxa" w:w="150"/>
              <w:bottom w:type="dxa" w:w="80"/>
              <w:right w:type="dxa" w:w="150"/>
            </w:tcMar>
          </w:tcPr>
          <w:p>
            <w:r>
              <w:rPr>
                <w:sz w:val="21"/>
                <w:szCs w:val="21"/>
              </w:rPr>
              <w:t xml:space="preserve">Diapositiva 7 — Conclusiones (2/2)</w:t>
            </w:r>
          </w:p>
        </w:tc>
        <w:tc>
          <w:tcPr>
            <w:tcW w:type="dxa" w:w="3000"/>
            <w:shd w:fill="F2F2F2" w:val="clear"/>
            <w:tcMar>
              <w:top w:type="dxa" w:w="80"/>
              <w:left w:type="dxa" w:w="150"/>
              <w:bottom w:type="dxa" w:w="80"/>
              <w:right w:type="dxa" w:w="150"/>
            </w:tcMar>
          </w:tcPr>
          <w:p>
            <w:r>
              <w:rPr>
                <w:sz w:val="21"/>
                <w:szCs w:val="21"/>
              </w:rPr>
              <w:t xml:space="preserve">1:10</w:t>
            </w:r>
          </w:p>
        </w:tc>
      </w:tr>
      <w:tr>
        <w:tc>
          <w:tcPr>
            <w:tcW w:type="dxa" w:w="7000"/>
            <w:shd w:fill="FFFFFF" w:val="clear"/>
            <w:tcMar>
              <w:top w:type="dxa" w:w="80"/>
              <w:left w:type="dxa" w:w="150"/>
              <w:bottom w:type="dxa" w:w="80"/>
              <w:right w:type="dxa" w:w="150"/>
            </w:tcMar>
          </w:tcPr>
          <w:p>
            <w:r>
              <w:rPr>
                <w:sz w:val="21"/>
                <w:szCs w:val="21"/>
              </w:rPr>
              <w:t xml:space="preserve">— Parte 3: Recomendaciones —</w:t>
            </w:r>
          </w:p>
        </w:tc>
        <w:tc>
          <w:tcPr>
            <w:tcW w:type="dxa" w:w="3000"/>
            <w:shd w:fill="FFFFFF" w:val="clear"/>
            <w:tcMar>
              <w:top w:type="dxa" w:w="80"/>
              <w:left w:type="dxa" w:w="150"/>
              <w:bottom w:type="dxa" w:w="80"/>
              <w:right w:type="dxa" w:w="150"/>
            </w:tcMar>
          </w:tcPr>
          <w:p>
            <w:r>
              <w:rPr>
                <w:sz w:val="21"/>
                <w:szCs w:val="21"/>
              </w:rPr>
              <w:t xml:space="preserve"/>
            </w:r>
          </w:p>
        </w:tc>
      </w:tr>
      <w:tr>
        <w:tc>
          <w:tcPr>
            <w:tcW w:type="dxa" w:w="7000"/>
            <w:shd w:fill="F2F2F2" w:val="clear"/>
            <w:tcMar>
              <w:top w:type="dxa" w:w="80"/>
              <w:left w:type="dxa" w:w="150"/>
              <w:bottom w:type="dxa" w:w="80"/>
              <w:right w:type="dxa" w:w="150"/>
            </w:tcMar>
          </w:tcPr>
          <w:p>
            <w:r>
              <w:rPr>
                <w:sz w:val="21"/>
                <w:szCs w:val="21"/>
              </w:rPr>
              <w:t xml:space="preserve">Diapositiva 8 — Recomendaciones para la operación</w:t>
            </w:r>
          </w:p>
        </w:tc>
        <w:tc>
          <w:tcPr>
            <w:tcW w:type="dxa" w:w="3000"/>
            <w:shd w:fill="F2F2F2" w:val="clear"/>
            <w:tcMar>
              <w:top w:type="dxa" w:w="80"/>
              <w:left w:type="dxa" w:w="150"/>
              <w:bottom w:type="dxa" w:w="80"/>
              <w:right w:type="dxa" w:w="150"/>
            </w:tcMar>
          </w:tcPr>
          <w:p>
            <w:r>
              <w:rPr>
                <w:sz w:val="21"/>
                <w:szCs w:val="21"/>
              </w:rPr>
              <w:t xml:space="preserve">1:40</w:t>
            </w:r>
          </w:p>
        </w:tc>
      </w:tr>
      <w:tr>
        <w:tc>
          <w:tcPr>
            <w:tcW w:type="dxa" w:w="7000"/>
            <w:shd w:fill="FFFFFF" w:val="clear"/>
            <w:tcMar>
              <w:top w:type="dxa" w:w="80"/>
              <w:left w:type="dxa" w:w="150"/>
              <w:bottom w:type="dxa" w:w="80"/>
              <w:right w:type="dxa" w:w="150"/>
            </w:tcMar>
          </w:tcPr>
          <w:p>
            <w:r>
              <w:rPr>
                <w:sz w:val="21"/>
                <w:szCs w:val="21"/>
              </w:rPr>
              <w:t xml:space="preserve">Diapositiva 9 — Recomendaciones para la continuidad técnica</w:t>
            </w:r>
          </w:p>
        </w:tc>
        <w:tc>
          <w:tcPr>
            <w:tcW w:type="dxa" w:w="3000"/>
            <w:shd w:fill="FFFFFF" w:val="clear"/>
            <w:tcMar>
              <w:top w:type="dxa" w:w="80"/>
              <w:left w:type="dxa" w:w="150"/>
              <w:bottom w:type="dxa" w:w="80"/>
              <w:right w:type="dxa" w:w="150"/>
            </w:tcMar>
          </w:tcPr>
          <w:p>
            <w:r>
              <w:rPr>
                <w:sz w:val="21"/>
                <w:szCs w:val="21"/>
              </w:rPr>
              <w:t xml:space="preserve">1:40</w:t>
            </w:r>
          </w:p>
        </w:tc>
      </w:tr>
      <w:tr>
        <w:tc>
          <w:tcPr>
            <w:tcW w:type="dxa" w:w="7000"/>
            <w:shd w:fill="F2F2F2" w:val="clear"/>
            <w:tcMar>
              <w:top w:type="dxa" w:w="80"/>
              <w:left w:type="dxa" w:w="150"/>
              <w:bottom w:type="dxa" w:w="80"/>
              <w:right w:type="dxa" w:w="150"/>
            </w:tcMar>
          </w:tcPr>
          <w:p>
            <w:r>
              <w:rPr>
                <w:sz w:val="21"/>
                <w:szCs w:val="21"/>
              </w:rPr>
              <w:t xml:space="preserve">Diapositiva 10 — Cierre de la presentación</w:t>
            </w:r>
          </w:p>
        </w:tc>
        <w:tc>
          <w:tcPr>
            <w:tcW w:type="dxa" w:w="3000"/>
            <w:shd w:fill="F2F2F2" w:val="clear"/>
            <w:tcMar>
              <w:top w:type="dxa" w:w="80"/>
              <w:left w:type="dxa" w:w="150"/>
              <w:bottom w:type="dxa" w:w="80"/>
              <w:right w:type="dxa" w:w="150"/>
            </w:tcMar>
          </w:tcPr>
          <w:p>
            <w:r>
              <w:rPr>
                <w:sz w:val="21"/>
                <w:szCs w:val="21"/>
              </w:rPr>
              <w:t xml:space="preserve">0:25</w:t>
            </w:r>
          </w:p>
        </w:tc>
      </w:tr>
      <w:tr>
        <w:tc>
          <w:tcPr>
            <w:tcW w:type="dxa" w:w="7000"/>
            <w:shd w:fill="DCEEF2" w:val="clear"/>
            <w:tcMar>
              <w:top w:type="dxa" w:w="100"/>
              <w:left w:type="dxa" w:w="150"/>
              <w:bottom w:type="dxa" w:w="100"/>
              <w:right w:type="dxa" w:w="150"/>
            </w:tcMar>
          </w:tcPr>
          <w:p>
            <w:r>
              <w:rPr>
                <w:b/>
                <w:bCs/>
                <w:sz w:val="21"/>
                <w:szCs w:val="21"/>
              </w:rPr>
              <w:t xml:space="preserve">TOTAL (con colchón para respirar / transiciones)</w:t>
            </w:r>
          </w:p>
        </w:tc>
        <w:tc>
          <w:tcPr>
            <w:tcW w:type="dxa" w:w="3000"/>
            <w:shd w:fill="DCEEF2" w:val="clear"/>
            <w:tcMar>
              <w:top w:type="dxa" w:w="100"/>
              <w:left w:type="dxa" w:w="150"/>
              <w:bottom w:type="dxa" w:w="100"/>
              <w:right w:type="dxa" w:w="150"/>
            </w:tcMar>
          </w:tcPr>
          <w:p>
            <w:r>
              <w:rPr>
                <w:b/>
                <w:bCs/>
                <w:sz w:val="21"/>
                <w:szCs w:val="21"/>
              </w:rPr>
              <w:t xml:space="preserve">≈ 12:30</w:t>
            </w:r>
          </w:p>
        </w:tc>
      </w:tr>
    </w:tbl>
    <w:p>
      <w:pPr>
        <w:spacing w:after="200"/>
      </w:pPr>
    </w:p>
    <w:p>
      <w:pPr>
        <w:spacing w:after="120"/>
      </w:pPr>
      <w:r>
        <w:rPr>
          <w:i/>
          <w:iCs/>
          <w:sz w:val="20"/>
          <w:szCs w:val="20"/>
        </w:rPr>
        <w:t xml:space="preserve">Sumado a los tres bloques anteriores (27:10), el total de la presentación queda en ≈ 39:40 de un máximo de 45 minutos — un colchón de 5:20 para imprevistos.</w:t>
      </w:r>
    </w:p>
    <w:p>
      <w:pPr>
        <w:spacing w:after="200"/>
      </w:pPr>
    </w:p>
    <w:p>
      <w:pPr>
        <w:pStyle w:val="Heading2"/>
        <w:pBdr>
          <w:bottom w:val="single" w:color="1F4E5F" w:sz="8" w:space="4"/>
        </w:pBdr>
        <w:spacing w:after="100" w:before="400"/>
      </w:pPr>
      <w:r>
        <w:rPr>
          <w:b/>
          <w:bCs/>
          <w:color w:val="1F4E5F"/>
          <w:sz w:val="26"/>
          <w:szCs w:val="26"/>
        </w:rPr>
        <w:t xml:space="preserve">Diapositiva 1 — Apertura / transición</w:t>
      </w:r>
      <w:r>
        <w:rPr>
          <w:i/>
          <w:iCs/>
          <w:color w:val="8A2E4D"/>
          <w:sz w:val="22"/>
          <w:szCs w:val="22"/>
        </w:rPr>
        <w:t xml:space="preserve">   (0:15)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(Título de la subsección: "Resultados, conclusiones y recomendaciones")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Con la metodología y los resultados de laboratorio ya expuestos, se presentarán a continuación los resultados obtenidos durante la operación real de la plataforma, así como las conclusiones y recomendaciones derivadas de este trabajo.</w:t>
            </w:r>
          </w:p>
        </w:tc>
      </w:tr>
    </w:tbl>
    <w:p>
      <w:pPr>
        <w:pStyle w:val="Heading1"/>
        <w:pBdr>
          <w:bottom w:val="single" w:color="6B4226" w:sz="12" w:space="6"/>
        </w:pBdr>
        <w:spacing w:after="200" w:before="500"/>
      </w:pPr>
      <w:r>
        <w:rPr>
          <w:b/>
          <w:bCs/>
          <w:color w:val="6B4226"/>
          <w:sz w:val="30"/>
          <w:szCs w:val="30"/>
        </w:rPr>
        <w:t xml:space="preserve">Parte 1 — Resultados de la operación</w:t>
      </w:r>
    </w:p>
    <w:p>
      <w:pPr>
        <w:pStyle w:val="Heading2"/>
        <w:pBdr>
          <w:bottom w:val="single" w:color="1F4E5F" w:sz="8" w:space="4"/>
        </w:pBdr>
        <w:spacing w:after="100" w:before="400"/>
      </w:pPr>
      <w:r>
        <w:rPr>
          <w:b/>
          <w:bCs/>
          <w:color w:val="1F4E5F"/>
          <w:sz w:val="26"/>
          <w:szCs w:val="26"/>
        </w:rPr>
        <w:t xml:space="preserve">Diapositiva 2 — Tiempo de gestión</w:t>
      </w:r>
      <w:r>
        <w:rPr>
          <w:i/>
          <w:iCs/>
          <w:color w:val="8A2E4D"/>
          <w:sz w:val="22"/>
          <w:szCs w:val="22"/>
        </w:rPr>
        <w:t xml:space="preserve">   (1:20)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Línea base (pre-GAMMA): 3.34 h promedio / 2.82 h mediana por solicitud (n=353)</w:t>
            </w:r>
          </w:p>
          <w:p>
            <w:pPr>
              <w:pStyle w:val="ListParagraph"/>
              <w:numPr>
                <w:ilvl w:val="0"/>
                <w:numId w:val="2"/>
              </w:numPr>
              <w:spacing w:after="60"/>
            </w:pPr>
            <w:r>
              <w:rPr>
                <w:sz w:val="21"/>
                <w:szCs w:val="21"/>
              </w:rPr>
              <w:t xml:space="preserve">Post-GAMMA: 1.39 h promedio / 1.28 h mediana por solicitud (n=98)</w:t>
            </w:r>
          </w:p>
          <w:p>
            <w:pPr>
              <w:pStyle w:val="ListParagraph"/>
              <w:numPr>
                <w:ilvl w:val="0"/>
                <w:numId w:val="2"/>
              </w:numPr>
              <w:spacing w:after="60"/>
            </w:pPr>
            <w:r>
              <w:rPr>
                <w:sz w:val="21"/>
                <w:szCs w:val="21"/>
              </w:rPr>
              <w:t xml:space="preserve">Reducción: 58.4% (promedio) · 54.7% (mediana)</w:t>
            </w:r>
          </w:p>
          <w:p>
            <w:pPr>
              <w:pStyle w:val="ListParagraph"/>
              <w:numPr>
                <w:ilvl w:val="0"/>
                <w:numId w:val="2"/>
              </w:numPr>
              <w:spacing w:after="60"/>
            </w:pPr>
            <w:r>
              <w:rPr>
                <w:sz w:val="21"/>
                <w:szCs w:val="21"/>
              </w:rPr>
              <w:t xml:space="preserve">Diferencia estadísticamente significativa (Mann-Whitney, p &lt; 0.0001)</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primer resultado a destacar es el efecto medido sobre el tiempo de gestión. Durante el período previo a la implementación, el tiempo efectivo promedio por solicitud fue de 3.34 horas, con una mediana de 2.82 horas, sobre 353 solicitudes observadas.</w:t>
            </w:r>
          </w:p>
          <w:p>
            <w:pPr>
              <w:spacing w:after="100"/>
            </w:pPr>
            <w:r>
              <w:rPr>
                <w:i/>
                <w:iCs/>
                <w:sz w:val="22"/>
                <w:szCs w:val="22"/>
              </w:rPr>
              <w:t xml:space="preserve">Durante el período de operación de la plataforma, ese tiempo se redujo a 1.39 horas en promedio y 1.28 horas en mediana, sobre 98 solicitudes. Esto representa una reducción del 58.4% sobre el promedio, y del 54.7% sobre la mediana.</w:t>
            </w:r>
          </w:p>
          <w:p>
            <w:pPr>
              <w:spacing w:after="100"/>
            </w:pPr>
            <w:r>
              <w:rPr>
                <w:i/>
                <w:iCs/>
                <w:sz w:val="22"/>
                <w:szCs w:val="22"/>
              </w:rPr>
              <w:t xml:space="preserve">Esta diferencia se confirmó como estadísticamente significativa mediante una prueba U de Mann-Whitney, con p menor a 0.0001, y los intervalos de confianza al 95% de ambos períodos no se traslapan: la mejora no es atribuible al azar ni a un menor volumen de trabajo durante la validación.</w:t>
            </w:r>
          </w:p>
        </w:tc>
      </w:tr>
    </w:tbl>
    <w:p>
      <w:pPr>
        <w:pStyle w:val="Heading2"/>
        <w:pBdr>
          <w:bottom w:val="single" w:color="1F4E5F" w:sz="8" w:space="4"/>
        </w:pBdr>
        <w:spacing w:after="100" w:before="400"/>
      </w:pPr>
      <w:r>
        <w:rPr>
          <w:b/>
          <w:bCs/>
          <w:color w:val="1F4E5F"/>
          <w:sz w:val="26"/>
          <w:szCs w:val="26"/>
        </w:rPr>
        <w:t xml:space="preserve">Diapositiva 3 — Tablero operativo</w:t>
      </w:r>
      <w:r>
        <w:rPr>
          <w:i/>
          <w:iCs/>
          <w:color w:val="8A2E4D"/>
          <w:sz w:val="22"/>
          <w:szCs w:val="22"/>
        </w:rPr>
        <w:t xml:space="preserve">   (1:40)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Reporte en Power BI, con actualización semanal</w:t>
            </w:r>
          </w:p>
          <w:p>
            <w:pPr>
              <w:pStyle w:val="ListParagraph"/>
              <w:numPr>
                <w:ilvl w:val="0"/>
                <w:numId w:val="2"/>
              </w:numPr>
              <w:spacing w:after="60"/>
            </w:pPr>
            <w:r>
              <w:rPr>
                <w:sz w:val="21"/>
                <w:szCs w:val="21"/>
              </w:rPr>
              <w:t xml:space="preserve">Seis indicadores clave: 56.5 códigos por gestor · 153 solicitudes asistidas · 11.8% tasa de corrección · 70.6% cobertura de tipos · 88.2% acuerdo modelo–gestor · 74.5% completitud de clase</w:t>
            </w:r>
          </w:p>
          <w:p>
            <w:pPr>
              <w:pStyle w:val="ListParagraph"/>
              <w:numPr>
                <w:ilvl w:val="0"/>
                <w:numId w:val="2"/>
              </w:numPr>
              <w:spacing w:after="60"/>
            </w:pPr>
            <w:r>
              <w:rPr>
                <w:sz w:val="21"/>
                <w:szCs w:val="21"/>
              </w:rPr>
              <w:t xml:space="preserve">Vistas complementarias: tiempo de máquina por tipo, desempeño por gestor, duplicados por semana</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Además de la comparación estadística, se construyó un tablero operativo en Power BI, con actualización semanal, que resume el desempeño de la herramienta y de los gestores mediante seis indicadores clave.</w:t>
            </w:r>
          </w:p>
          <w:p>
            <w:pPr>
              <w:spacing w:after="100"/>
            </w:pPr>
            <w:r>
              <w:rPr>
                <w:i/>
                <w:iCs/>
                <w:sz w:val="22"/>
                <w:szCs w:val="22"/>
              </w:rPr>
              <w:t xml:space="preserve">Entre ellos destaca una tasa de acuerdo entre el modelo y el gestor del 88.2%: en la gran mayoría de los casos, el gestor conservó la categoría que la plataforma sugirió. La completitud de clase, es decir, la proporción de solicitudes que terminaron con una categoría asignada, se ubicó en 74.5%.</w:t>
            </w:r>
          </w:p>
          <w:p>
            <w:pPr>
              <w:spacing w:after="100"/>
            </w:pPr>
            <w:r>
              <w:rPr>
                <w:i/>
                <w:iCs/>
                <w:sz w:val="22"/>
                <w:szCs w:val="22"/>
              </w:rPr>
              <w:t xml:space="preserve">El tablero incluye además vistas complementarias, como el tiempo de máquina por tipo de material y el desempeño individual por gestor, que permiten a la jefatura del área dar seguimiento operativo continuo, más allá del período de validación de este proyecto.</w:t>
            </w:r>
          </w:p>
        </w:tc>
      </w:tr>
    </w:tbl>
    <w:p>
      <w:pPr>
        <w:pStyle w:val="Heading2"/>
        <w:pBdr>
          <w:bottom w:val="single" w:color="1F4E5F" w:sz="8" w:space="4"/>
        </w:pBdr>
        <w:spacing w:after="100" w:before="400"/>
      </w:pPr>
      <w:r>
        <w:rPr>
          <w:b/>
          <w:bCs/>
          <w:color w:val="1F4E5F"/>
          <w:sz w:val="26"/>
          <w:szCs w:val="26"/>
        </w:rPr>
        <w:t xml:space="preserve">Diapositiva 4 — Encuesta de satisfacción</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Aplicada al cierre del período de prueba — tasa de respuesta 71.4%</w:t>
            </w:r>
          </w:p>
          <w:p>
            <w:pPr>
              <w:pStyle w:val="ListParagraph"/>
              <w:numPr>
                <w:ilvl w:val="0"/>
                <w:numId w:val="2"/>
              </w:numPr>
              <w:spacing w:after="60"/>
            </w:pPr>
            <w:r>
              <w:rPr>
                <w:sz w:val="21"/>
                <w:szCs w:val="21"/>
              </w:rPr>
              <w:t xml:space="preserve">Gestores: facilidad de uso 5.00/5 · satisfacción general 4.33/5 · reducción de tiempo percibida 4.00/5</w:t>
            </w:r>
          </w:p>
          <w:p>
            <w:pPr>
              <w:pStyle w:val="ListParagraph"/>
              <w:numPr>
                <w:ilvl w:val="0"/>
                <w:numId w:val="2"/>
              </w:numPr>
              <w:spacing w:after="60"/>
            </w:pPr>
            <w:r>
              <w:rPr>
                <w:sz w:val="21"/>
                <w:szCs w:val="21"/>
              </w:rPr>
              <w:t xml:space="preserve">Jefatura y coordinación: alineación con objetivos de calidad 4.5/5</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Al cierre del período de prueba se aplicó una encuesta de satisfacción a la población que interactuó directamente con la plataforma: los gestores y el equipo de jefatura y coordinación, con una tasa de respuesta del 71.4%.</w:t>
            </w:r>
          </w:p>
          <w:p>
            <w:pPr>
              <w:spacing w:after="100"/>
            </w:pPr>
            <w:r>
              <w:rPr>
                <w:i/>
                <w:iCs/>
                <w:sz w:val="22"/>
                <w:szCs w:val="22"/>
              </w:rPr>
              <w:t xml:space="preserve">Entre los gestores, la facilidad de uso obtuvo la calificación más alta, con 5.00 sobre 5, seguida de la satisfacción general, con 4.33. La reducción de tiempo percibida se ubicó en 4.00, en la misma dirección que la reducción medida en el tablero de indicadores.</w:t>
            </w:r>
          </w:p>
          <w:p>
            <w:pPr>
              <w:spacing w:after="100"/>
            </w:pPr>
            <w:r>
              <w:rPr>
                <w:i/>
                <w:iCs/>
                <w:sz w:val="22"/>
                <w:szCs w:val="22"/>
              </w:rPr>
              <w:t xml:space="preserve">La jefatura, por su parte, calificó la alineación de la herramienta con los objetivos de calidad del área en 4.5 sobre 5. Dado el tamaño reducido de esta población, estos resultados se interpretan como el registro directo de la opinión de la mayoría de las personas involucradas, y no como una muestra estadística sobre un universo mayor.</w:t>
            </w:r>
          </w:p>
        </w:tc>
      </w:tr>
    </w:tbl>
    <w:p>
      <w:pPr>
        <w:pStyle w:val="Heading2"/>
        <w:pBdr>
          <w:bottom w:val="single" w:color="1F4E5F" w:sz="8" w:space="4"/>
        </w:pBdr>
        <w:spacing w:after="100" w:before="400"/>
      </w:pPr>
      <w:r>
        <w:rPr>
          <w:b/>
          <w:bCs/>
          <w:color w:val="1F4E5F"/>
          <w:sz w:val="26"/>
          <w:szCs w:val="26"/>
        </w:rPr>
        <w:t xml:space="preserve">Diapositiva 5 — Impacto financiero</w:t>
      </w:r>
      <w:r>
        <w:rPr>
          <w:i/>
          <w:iCs/>
          <w:color w:val="8A2E4D"/>
          <w:sz w:val="22"/>
          <w:szCs w:val="22"/>
        </w:rPr>
        <w:t xml:space="preserve">   (1:40)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Costo total del proyecto: Q1,641.65 (hospedaje del servidor + capacitación durante construcción y pruebas)</w:t>
            </w:r>
          </w:p>
          <w:p>
            <w:pPr>
              <w:pStyle w:val="ListParagraph"/>
              <w:numPr>
                <w:ilvl w:val="0"/>
                <w:numId w:val="2"/>
              </w:numPr>
              <w:spacing w:after="60"/>
            </w:pPr>
            <w:r>
              <w:rPr>
                <w:sz w:val="21"/>
                <w:szCs w:val="21"/>
              </w:rPr>
              <w:t xml:space="preserve">Ahorro anual proyectado: Q400,491 (mediana) · Q507,310 (promedio)</w:t>
            </w:r>
          </w:p>
          <w:p>
            <w:pPr>
              <w:pStyle w:val="ListParagraph"/>
              <w:numPr>
                <w:ilvl w:val="0"/>
                <w:numId w:val="2"/>
              </w:numPr>
              <w:spacing w:after="60"/>
            </w:pPr>
            <w:r>
              <w:rPr>
                <w:sz w:val="21"/>
                <w:szCs w:val="21"/>
              </w:rPr>
              <w:t xml:space="preserve">Retorno de inversión: 243x (mediana) · 308x (promedio)</w:t>
            </w:r>
          </w:p>
          <w:p>
            <w:pPr>
              <w:pStyle w:val="ListParagraph"/>
              <w:numPr>
                <w:ilvl w:val="0"/>
                <w:numId w:val="2"/>
              </w:numPr>
              <w:spacing w:after="60"/>
            </w:pPr>
            <w:r>
              <w:rPr>
                <w:sz w:val="21"/>
                <w:szCs w:val="21"/>
              </w:rPr>
              <w:t xml:space="preserve">Período de recuperación: 1.2–1.5 días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En términos financieros, el retorno de inversión se calculó sobre el costo real de despliegue del proyecto: Q1,641.65, que corresponde únicamente al hospedaje del servidor y a las horas de capacitación durante el período de construcción, pruebas y puesta en producción.</w:t>
            </w:r>
          </w:p>
          <w:p>
            <w:pPr>
              <w:spacing w:after="100"/>
            </w:pPr>
            <w:r>
              <w:rPr>
                <w:i/>
                <w:iCs/>
                <w:sz w:val="22"/>
                <w:szCs w:val="22"/>
              </w:rPr>
              <w:t xml:space="preserve">Sobre ese costo, y proyectando el ahorro anual a partir de la reducción de tiempo medida, se obtiene un retorno de inversión de 243 veces sobre la mediana, y de 308 veces sobre el promedio, con un período de recuperación de entre 1.2 y 1.5 días.</w:t>
            </w:r>
          </w:p>
          <w:p>
            <w:pPr>
              <w:spacing w:after="100"/>
            </w:pPr>
            <w:r>
              <w:rPr>
                <w:i/>
                <w:iCs/>
                <w:sz w:val="22"/>
                <w:szCs w:val="22"/>
              </w:rPr>
              <w:t xml:space="preserve">Es importante contextualizar esta magnitud: se trata, en buena medida, de un artefacto del denominador. El costo total refleja el gasto marginal de un proyecto de graduación, y no el costo de un desarrollo contratado por la vía comercial; de haberse tercerizado, esta cifra sería considerablemente menor. Lo que sí resulta estadísticamente sólido, bajo cualquiera de los dos escenarios, es que la reducción de tiempo que sustenta este ahorro es significativa y no atribuible al azar.</w:t>
            </w:r>
          </w:p>
        </w:tc>
      </w:tr>
    </w:tbl>
    <w:p>
      <w:pPr>
        <w:pStyle w:val="Heading1"/>
        <w:pBdr>
          <w:bottom w:val="single" w:color="6B4226" w:sz="12" w:space="6"/>
        </w:pBdr>
        <w:spacing w:after="200" w:before="500"/>
      </w:pPr>
      <w:r>
        <w:rPr>
          <w:b/>
          <w:bCs/>
          <w:color w:val="6B4226"/>
          <w:sz w:val="30"/>
          <w:szCs w:val="30"/>
        </w:rPr>
        <w:t xml:space="preserve">Parte 2 — Conclusiones</w:t>
      </w:r>
    </w:p>
    <w:p>
      <w:pPr>
        <w:pStyle w:val="Heading2"/>
        <w:pBdr>
          <w:bottom w:val="single" w:color="1F4E5F" w:sz="8" w:space="4"/>
        </w:pBdr>
        <w:spacing w:after="100" w:before="400"/>
      </w:pPr>
      <w:r>
        <w:rPr>
          <w:b/>
          <w:bCs/>
          <w:color w:val="1F4E5F"/>
          <w:sz w:val="26"/>
          <w:szCs w:val="26"/>
        </w:rPr>
        <w:t xml:space="preserve">Diapositiva 6 — Conclusiones (1 de 2)</w:t>
      </w:r>
      <w:r>
        <w:rPr>
          <w:i/>
          <w:iCs/>
          <w:color w:val="8A2E4D"/>
          <w:sz w:val="22"/>
          <w:szCs w:val="22"/>
        </w:rPr>
        <w:t xml:space="preserve">   (1:30)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1. El maestro de materiales quedó consolidado en un repositorio único, normalizado y trazable</w:t>
            </w:r>
          </w:p>
          <w:p>
            <w:pPr>
              <w:pStyle w:val="ListParagraph"/>
              <w:numPr>
                <w:ilvl w:val="0"/>
                <w:numId w:val="2"/>
              </w:numPr>
              <w:spacing w:after="60"/>
            </w:pPr>
            <w:r>
              <w:rPr>
                <w:sz w:val="21"/>
                <w:szCs w:val="21"/>
              </w:rPr>
              <w:t xml:space="preserve">2. El análisis del catálogo confirmó defectos de calidad relevantes y reveló un hallazgo no anticipado sobre la taxonomía</w:t>
            </w:r>
          </w:p>
          <w:p>
            <w:pPr>
              <w:pStyle w:val="ListParagraph"/>
              <w:numPr>
                <w:ilvl w:val="0"/>
                <w:numId w:val="2"/>
              </w:numPr>
              <w:spacing w:after="60"/>
            </w:pPr>
            <w:r>
              <w:rPr>
                <w:sz w:val="21"/>
                <w:szCs w:val="21"/>
              </w:rPr>
              <w:t xml:space="preserve">3. La configuración más simple de las siete evaluadas resultó también la más exacta, por un margen consistente</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A partir de estos resultados se derivan cinco conclusiones principales.</w:t>
            </w:r>
          </w:p>
          <w:p>
            <w:pPr>
              <w:spacing w:after="100"/>
            </w:pPr>
            <w:r>
              <w:rPr>
                <w:i/>
                <w:iCs/>
                <w:sz w:val="22"/>
                <w:szCs w:val="22"/>
              </w:rPr>
              <w:t xml:space="preserve">En primer lugar, se logró consolidar el maestro de materiales en un repositorio único, normalizado y trazable, que unificó los 45,397 registros previamente dispersos en trece archivos de exportación, y que hoy sustituye la consulta dispersa sobre hojas de cálculo que caracterizaba la operación previa.</w:t>
            </w:r>
          </w:p>
          <w:p>
            <w:pPr>
              <w:spacing w:after="100"/>
            </w:pPr>
            <w:r>
              <w:rPr>
                <w:i/>
                <w:iCs/>
                <w:sz w:val="22"/>
                <w:szCs w:val="22"/>
              </w:rPr>
              <w:t xml:space="preserve">En segundo lugar, el análisis del catálogo no solo confirmó defectos de calidad de magnitud relevante, sino que aportó un hallazgo no anticipado en el planteamiento original: una fracción del error del clasificador no corresponde a fallas del modelo, sino a pares de clases que designan el mismo concepto dentro de la taxonomía. La herramienta construida para clasificar materiales resultó, adicionalmente, un instrumento de diagnóstico sobre la calidad de la propia taxonomía.</w:t>
            </w:r>
          </w:p>
          <w:p>
            <w:pPr>
              <w:spacing w:after="100"/>
            </w:pPr>
            <w:r>
              <w:rPr>
                <w:i/>
                <w:iCs/>
                <w:sz w:val="22"/>
                <w:szCs w:val="22"/>
              </w:rPr>
              <w:t xml:space="preserve">Y en tercer lugar, la configuración más simple de las siete evaluadas resultó también la más exacta, por un margen consistente en las cuatro métricas de desempeño, y con un costo de entrenamiento considerablemente menor al de las alternativas de mayor complejidad.</w:t>
            </w:r>
          </w:p>
        </w:tc>
      </w:tr>
    </w:tbl>
    <w:p>
      <w:pPr>
        <w:pStyle w:val="Heading2"/>
        <w:pBdr>
          <w:bottom w:val="single" w:color="1F4E5F" w:sz="8" w:space="4"/>
        </w:pBdr>
        <w:spacing w:after="100" w:before="400"/>
      </w:pPr>
      <w:r>
        <w:rPr>
          <w:b/>
          <w:bCs/>
          <w:color w:val="1F4E5F"/>
          <w:sz w:val="26"/>
          <w:szCs w:val="26"/>
        </w:rPr>
        <w:t xml:space="preserve">Diapositiva 7 — Conclusiones (2 de 2)</w:t>
      </w:r>
      <w:r>
        <w:rPr>
          <w:i/>
          <w:iCs/>
          <w:color w:val="8A2E4D"/>
          <w:sz w:val="22"/>
          <w:szCs w:val="22"/>
        </w:rPr>
        <w:t xml:space="preserve">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4. GAMMA integra los tres módulos analíticos en el flujo de creación, sin sustituir la decisión final del gestor</w:t>
            </w:r>
          </w:p>
          <w:p>
            <w:pPr>
              <w:pStyle w:val="ListParagraph"/>
              <w:numPr>
                <w:ilvl w:val="0"/>
                <w:numId w:val="2"/>
              </w:numPr>
              <w:spacing w:after="60"/>
            </w:pPr>
            <w:r>
              <w:rPr>
                <w:sz w:val="21"/>
                <w:szCs w:val="21"/>
              </w:rPr>
              <w:t xml:space="preserve">5. La herramienta redujo a menos de la mitad el tiempo de gestión, con retorno de inversión inmediato</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En cuarto lugar, GAMMA logró integrar los tres módulos analíticos —normalización, detección de duplicados y sugerencia de categoría— dentro del flujo real de creación de materiales, resolviendo por sí sola la mayoría de los casos dentro del umbral de confianza configurado, sin que ninguna sugerencia llegue a SAP sin la confirmación del gestor.</w:t>
            </w:r>
          </w:p>
          <w:p>
            <w:pPr>
              <w:spacing w:after="100"/>
            </w:pPr>
            <w:r>
              <w:rPr>
                <w:i/>
                <w:iCs/>
                <w:sz w:val="22"/>
                <w:szCs w:val="22"/>
              </w:rPr>
              <w:t xml:space="preserve">Y en quinto lugar, la herramienta redujo a menos de la mitad el tiempo efectivo de gestión, con un retorno de inversión inmediato bajo cualquiera de los escenarios considerados. En síntesis, el objetivo general del proyecto se cumplió: GAMMA se desarrolló, se desplegó y operó sobre solicitudes reales, articulando efectivamente el procesamiento de lenguaje natural, la búsqueda por similitud difusa y el aprendizaje automático supervisado sobre el histórico del catálogo.</w:t>
            </w:r>
          </w:p>
        </w:tc>
      </w:tr>
    </w:tbl>
    <w:p>
      <w:pPr>
        <w:pStyle w:val="Heading1"/>
        <w:pBdr>
          <w:bottom w:val="single" w:color="6B4226" w:sz="12" w:space="6"/>
        </w:pBdr>
        <w:spacing w:after="200" w:before="500"/>
      </w:pPr>
      <w:r>
        <w:rPr>
          <w:b/>
          <w:bCs/>
          <w:color w:val="6B4226"/>
          <w:sz w:val="30"/>
          <w:szCs w:val="30"/>
        </w:rPr>
        <w:t xml:space="preserve">Parte 3 — Recomendaciones</w:t>
      </w:r>
    </w:p>
    <w:p>
      <w:pPr>
        <w:pStyle w:val="Heading2"/>
        <w:pBdr>
          <w:bottom w:val="single" w:color="1F4E5F" w:sz="8" w:space="4"/>
        </w:pBdr>
        <w:spacing w:after="100" w:before="400"/>
      </w:pPr>
      <w:r>
        <w:rPr>
          <w:b/>
          <w:bCs/>
          <w:color w:val="1F4E5F"/>
          <w:sz w:val="26"/>
          <w:szCs w:val="26"/>
        </w:rPr>
        <w:t xml:space="preserve">Diapositiva 8 — Recomendaciones para la operación</w:t>
      </w:r>
      <w:r>
        <w:rPr>
          <w:i/>
          <w:iCs/>
          <w:color w:val="8A2E4D"/>
          <w:sz w:val="22"/>
          <w:szCs w:val="22"/>
        </w:rPr>
        <w:t xml:space="preserve">   (1:40)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Depurar la taxonomía de clases antes de ampliar el alcance</w:t>
            </w:r>
          </w:p>
          <w:p>
            <w:pPr>
              <w:pStyle w:val="ListParagraph"/>
              <w:numPr>
                <w:ilvl w:val="0"/>
                <w:numId w:val="2"/>
              </w:numPr>
              <w:spacing w:after="60"/>
            </w:pPr>
            <w:r>
              <w:rPr>
                <w:sz w:val="21"/>
                <w:szCs w:val="21"/>
              </w:rPr>
              <w:t xml:space="preserve">Hacer exigible la convención de separadores en el momento de la captura</w:t>
            </w:r>
          </w:p>
          <w:p>
            <w:pPr>
              <w:pStyle w:val="ListParagraph"/>
              <w:numPr>
                <w:ilvl w:val="0"/>
                <w:numId w:val="2"/>
              </w:numPr>
              <w:spacing w:after="60"/>
            </w:pPr>
            <w:r>
              <w:rPr>
                <w:sz w:val="21"/>
                <w:szCs w:val="21"/>
              </w:rPr>
              <w:t xml:space="preserve">Resolver la categorización de los materiales sin clase asignada</w:t>
            </w:r>
          </w:p>
          <w:p>
            <w:pPr>
              <w:pStyle w:val="ListParagraph"/>
              <w:numPr>
                <w:ilvl w:val="0"/>
                <w:numId w:val="2"/>
              </w:numPr>
              <w:spacing w:after="60"/>
            </w:pPr>
            <w:r>
              <w:rPr>
                <w:sz w:val="21"/>
                <w:szCs w:val="21"/>
              </w:rPr>
              <w:t xml:space="preserve">Consolidar la operación en esta unidad antes de escalar a otras</w:t>
            </w:r>
          </w:p>
          <w:p>
            <w:pPr>
              <w:pStyle w:val="ListParagraph"/>
              <w:numPr>
                <w:ilvl w:val="0"/>
                <w:numId w:val="2"/>
              </w:numPr>
              <w:spacing w:after="60"/>
            </w:pPr>
            <w:r>
              <w:rPr>
                <w:sz w:val="21"/>
                <w:szCs w:val="21"/>
              </w:rPr>
              <w:t xml:space="preserve">Contrastar el umbral de confianza con el comportamiento real de la operación</w:t>
            </w:r>
          </w:p>
          <w:p>
            <w:pPr>
              <w:pStyle w:val="ListParagraph"/>
              <w:numPr>
                <w:ilvl w:val="0"/>
                <w:numId w:val="2"/>
              </w:numPr>
              <w:spacing w:after="60"/>
            </w:pPr>
            <w:r>
              <w:rPr>
                <w:sz w:val="21"/>
                <w:szCs w:val="21"/>
              </w:rPr>
              <w:t xml:space="preserve">Explotar la instrumentación de calidad que el sistema ya captura</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Las recomendaciones derivadas de este trabajo se agrupan en dos frentes. El primero, orientado a la operación inmediata, reúne seis recomendaciones.</w:t>
            </w:r>
          </w:p>
          <w:p>
            <w:pPr>
              <w:spacing w:after="100"/>
            </w:pPr>
            <w:r>
              <w:rPr>
                <w:i/>
                <w:iCs/>
                <w:sz w:val="22"/>
                <w:szCs w:val="22"/>
              </w:rPr>
              <w:t xml:space="preserve">Tres de ellas apuntan a depurar la base sobre la que opera la herramienta: depurar la taxonomía de clases, que hoy contiene pares redundantes; hacer exigible la convención de separadores en el momento mismo de la captura; y resolver la categorización de los materiales que hoy carecen de clase asignada.</w:t>
            </w:r>
          </w:p>
          <w:p>
            <w:pPr>
              <w:spacing w:after="100"/>
            </w:pPr>
            <w:r>
              <w:rPr>
                <w:i/>
                <w:iCs/>
                <w:sz w:val="22"/>
                <w:szCs w:val="22"/>
              </w:rPr>
              <w:t xml:space="preserve">Una cuarta es de secuencia: consolidar la operación dentro de esta unidad de negocio antes de escalar la herramienta a otras unidades de la corporación, dado que las conclusiones actuales descansan todavía sobre cinco semanas de operación en un solo entorno.</w:t>
            </w:r>
          </w:p>
          <w:p>
            <w:pPr>
              <w:spacing w:after="100"/>
            </w:pPr>
            <w:r>
              <w:rPr>
                <w:i/>
                <w:iCs/>
                <w:sz w:val="22"/>
                <w:szCs w:val="22"/>
              </w:rPr>
              <w:t xml:space="preserve">Y las dos últimas son de aprovechamiento: contrastar periódicamente el umbral de confianza configurado con el comportamiento real de la operación, y explotar la instrumentación de calidad que el sistema ya captura, hoy disponible pero aún no incorporada al seguimiento habitual del área.</w:t>
            </w:r>
          </w:p>
        </w:tc>
      </w:tr>
    </w:tbl>
    <w:p>
      <w:pPr>
        <w:pStyle w:val="Heading2"/>
        <w:pBdr>
          <w:bottom w:val="single" w:color="1F4E5F" w:sz="8" w:space="4"/>
        </w:pBdr>
        <w:spacing w:after="100" w:before="400"/>
      </w:pPr>
      <w:r>
        <w:rPr>
          <w:b/>
          <w:bCs/>
          <w:color w:val="1F4E5F"/>
          <w:sz w:val="26"/>
          <w:szCs w:val="26"/>
        </w:rPr>
        <w:t xml:space="preserve">Diapositiva 9 — Recomendaciones para la continuidad técnica</w:t>
      </w:r>
      <w:r>
        <w:rPr>
          <w:i/>
          <w:iCs/>
          <w:color w:val="8A2E4D"/>
          <w:sz w:val="22"/>
          <w:szCs w:val="22"/>
        </w:rPr>
        <w:t xml:space="preserve">   (1:40)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Adoptar una partición agrupada por descripción en la evaluación</w:t>
            </w:r>
          </w:p>
          <w:p>
            <w:pPr>
              <w:pStyle w:val="ListParagraph"/>
              <w:numPr>
                <w:ilvl w:val="0"/>
                <w:numId w:val="2"/>
              </w:numPr>
              <w:spacing w:after="60"/>
            </w:pPr>
            <w:r>
              <w:rPr>
                <w:sz w:val="21"/>
                <w:szCs w:val="21"/>
              </w:rPr>
              <w:t xml:space="preserve">Sustituir la partición única por validación cruzada</w:t>
            </w:r>
          </w:p>
          <w:p>
            <w:pPr>
              <w:pStyle w:val="ListParagraph"/>
              <w:numPr>
                <w:ilvl w:val="0"/>
                <w:numId w:val="2"/>
              </w:numPr>
              <w:spacing w:after="60"/>
            </w:pPr>
            <w:r>
              <w:rPr>
                <w:sz w:val="21"/>
                <w:szCs w:val="21"/>
              </w:rPr>
              <w:t xml:space="preserve">Realizar la evaluación por ablación del término principal</w:t>
            </w:r>
          </w:p>
          <w:p>
            <w:pPr>
              <w:pStyle w:val="ListParagraph"/>
              <w:numPr>
                <w:ilvl w:val="0"/>
                <w:numId w:val="2"/>
              </w:numPr>
              <w:spacing w:after="60"/>
            </w:pPr>
            <w:r>
              <w:rPr>
                <w:sz w:val="21"/>
                <w:szCs w:val="21"/>
              </w:rPr>
              <w:t xml:space="preserve">Cuantificar la duplicidad difusa sobre el catálogo completo</w:t>
            </w:r>
          </w:p>
          <w:p>
            <w:pPr>
              <w:pStyle w:val="ListParagraph"/>
              <w:numPr>
                <w:ilvl w:val="0"/>
                <w:numId w:val="2"/>
              </w:numPr>
              <w:spacing w:after="60"/>
            </w:pPr>
            <w:r>
              <w:rPr>
                <w:sz w:val="21"/>
                <w:szCs w:val="21"/>
              </w:rPr>
              <w:t xml:space="preserve">Evaluar la incorporación del clasificador al flujo de carga masiva</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El segundo frente, orientado a la continuidad técnica del proyecto, reúne cinco recomendaciones adicionales.</w:t>
            </w:r>
          </w:p>
          <w:p>
            <w:pPr>
              <w:spacing w:after="100"/>
            </w:pPr>
            <w:r>
              <w:rPr>
                <w:i/>
                <w:iCs/>
                <w:sz w:val="22"/>
                <w:szCs w:val="22"/>
              </w:rPr>
              <w:t xml:space="preserve">Tres de ellas buscan fortalecer el rigor metodológico de la evaluación del modelo: adoptar una partición agrupada por descripción, que corrija el sesgo optimista que introduce hoy la duplicidad del catálogo entre entrenamiento y prueba; sustituir la partición única por validación cruzada, que permita acompañar cada métrica de su dispersión; y realizar una evaluación por ablación del término principal, para cuantificar cuánto del desempeño depende de la coincidencia léxica directa con el nombre de la clase.</w:t>
            </w:r>
          </w:p>
          <w:p>
            <w:pPr>
              <w:spacing w:after="100"/>
            </w:pPr>
            <w:r>
              <w:rPr>
                <w:i/>
                <w:iCs/>
                <w:sz w:val="22"/>
                <w:szCs w:val="22"/>
              </w:rPr>
              <w:t xml:space="preserve">Las dos últimas amplían el alcance analítico del trabajo: cuantificar la duplicidad difusa —no solo la exacta— sobre el catálogo completo, y evaluar la incorporación del clasificador al flujo de creación masiva de materiales, que hoy queda fuera del alcance de este proyecto.</w:t>
            </w:r>
          </w:p>
        </w:tc>
      </w:tr>
    </w:tbl>
    <w:p>
      <w:pPr>
        <w:pStyle w:val="Heading2"/>
        <w:pBdr>
          <w:bottom w:val="single" w:color="1F4E5F" w:sz="8" w:space="4"/>
        </w:pBdr>
        <w:spacing w:after="100" w:before="400"/>
      </w:pPr>
      <w:r>
        <w:rPr>
          <w:b/>
          <w:bCs/>
          <w:color w:val="1F4E5F"/>
          <w:sz w:val="26"/>
          <w:szCs w:val="26"/>
        </w:rPr>
        <w:t xml:space="preserve">Diapositiva 10 — Cierre de la presentación</w:t>
      </w:r>
      <w:r>
        <w:rPr>
          <w:i/>
          <w:iCs/>
          <w:color w:val="8A2E4D"/>
          <w:sz w:val="22"/>
          <w:szCs w:val="22"/>
        </w:rPr>
        <w:t xml:space="preserve">   (0:25)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w:tc>
          <w:tcPr>
            <w:tcW w:type="dxa" w:w="4300"/>
            <w:shd w:fill="DCEEF2" w:val="clear"/>
            <w:tcMar>
              <w:top w:type="dxa" w:w="150"/>
              <w:left w:type="dxa" w:w="150"/>
              <w:bottom w:type="dxa" w:w="150"/>
              <w:right w:type="dxa" w:w="150"/>
            </w:tcMar>
          </w:tcPr>
          <w:p>
            <w:pPr>
              <w:spacing w:after="80"/>
            </w:pPr>
            <w:r>
              <w:rPr>
                <w:b/>
                <w:bCs/>
                <w:caps/>
                <w:color w:val="1F4E5F"/>
                <w:sz w:val="20"/>
                <w:szCs w:val="20"/>
              </w:rPr>
              <w:t xml:space="preserve">En el slide</w:t>
            </w:r>
          </w:p>
          <w:p>
            <w:pPr>
              <w:pStyle w:val="ListParagraph"/>
              <w:numPr>
                <w:ilvl w:val="0"/>
                <w:numId w:val="2"/>
              </w:numPr>
              <w:spacing w:after="60"/>
            </w:pPr>
            <w:r>
              <w:rPr>
                <w:sz w:val="21"/>
                <w:szCs w:val="21"/>
              </w:rPr>
              <w:t xml:space="preserve">Gracias. Quedamos atentos a sus preguntas.</w:t>
            </w:r>
          </w:p>
        </w:tc>
        <w:tc>
          <w:tcPr>
            <w:tcW w:type="dxa" w:w="5700"/>
            <w:shd w:fill="F5EDE4" w:val="clear"/>
            <w:tcMar>
              <w:top w:type="dxa" w:w="150"/>
              <w:left w:type="dxa" w:w="150"/>
              <w:bottom w:type="dxa" w:w="150"/>
              <w:right w:type="dxa" w:w="150"/>
            </w:tcMar>
          </w:tcPr>
          <w:p>
            <w:pPr>
              <w:spacing w:after="80"/>
            </w:pPr>
            <w:r>
              <w:rPr>
                <w:b/>
                <w:bCs/>
                <w:caps/>
                <w:color w:val="6B4226"/>
                <w:sz w:val="20"/>
                <w:szCs w:val="20"/>
              </w:rPr>
              <w:t xml:space="preserve">Qué vas a decir</w:t>
            </w:r>
          </w:p>
          <w:p>
            <w:pPr>
              <w:spacing w:after="100"/>
            </w:pPr>
            <w:r>
              <w:rPr>
                <w:i/>
                <w:iCs/>
                <w:sz w:val="22"/>
                <w:szCs w:val="22"/>
              </w:rPr>
              <w:t xml:space="preserve">Con esto concluye la presentación de este trabajo de graduación. Agradecemos nuevamente al tribunal examinador su atención, y quedamos atentos a sus preguntas y observaciones.</w:t>
            </w:r>
          </w:p>
        </w:tc>
      </w:tr>
    </w:tbl>
    <w:p>
      <w:pPr>
        <w:spacing w:after="300"/>
      </w:pPr>
    </w:p>
    <w:p>
      <w:pPr>
        <w:pStyle w:val="Heading1"/>
        <w:spacing w:after="200" w:before="400"/>
      </w:pPr>
      <w:r>
        <w:rPr>
          <w:b/>
          <w:bCs/>
          <w:color w:val="1F4E5F"/>
        </w:rPr>
        <w:t xml:space="preserve">Notas para ti</w:t>
      </w:r>
    </w:p>
    <w:p>
      <w:pPr>
        <w:pStyle w:val="ListParagraph"/>
        <w:numPr>
          <w:ilvl w:val="0"/>
          <w:numId w:val="2"/>
        </w:numPr>
        <w:spacing w:after="60"/>
      </w:pPr>
      <w:r>
        <w:t xml:space="preserve">Sobre tu duda de "¿con cuál ROI nos quedamos, 308x o 243x?": en este guion se presentan ambos, pero se lidera con 243x (mediana), por ser la métrica más robusta frente a valores atípicos, y se explica honestamente por qué la cifra es tan alta (costo de un proyecto de graduación, no de un desarrollo comercial). Esta es mi recomendación; sobre todo porque anticipa la pregunta antes de que la haga el tribunal, en lugar de esperar a que la señalen ellos primero. Si prefieren liderar con 308x, es un cambio de una palabra en el guion — avísame.</w:t>
      </w:r>
    </w:p>
    <w:p>
      <w:pPr>
        <w:pStyle w:val="ListParagraph"/>
        <w:numPr>
          <w:ilvl w:val="0"/>
          <w:numId w:val="2"/>
        </w:numPr>
        <w:spacing w:after="60"/>
      </w:pPr>
      <w:r>
        <w:t xml:space="preserve">La idea de tener listo "el ROI si hubiéramos cobrado como consultores" (tu nota) NO se incluyó como cifra en el guion, porque no tenemos un dato real de mercado para Guatemala y no quiero inventar un número. Si consiguen una tarifa de referencia (por ejemplo, de un colega que haga consultoría de datos), avísame y lo agrego como dato de respaldo para la ronda de preguntas, no para el slide.</w:t>
      </w:r>
    </w:p>
    <w:p>
      <w:pPr>
        <w:pStyle w:val="ListParagraph"/>
        <w:numPr>
          <w:ilvl w:val="0"/>
          <w:numId w:val="2"/>
        </w:numPr>
        <w:spacing w:after="60"/>
      </w:pPr>
      <w:r>
        <w:t xml:space="preserve">Sobre el cuadro "Desempeño por gestor" que solo mostraba 2 gestores (tu duda anterior): no se incluyó en este guion precisamente para evitar esa pregunta en el cuerpo de la presentación. Si el tribunal pregunta por qué el tablero muestra pocos gestores activos, la respuesta está en que la validación se concentró en el equipo asignado a esta unidad de negocio durante el piloto — no todos los gestores de la organización participaron, por diseño del alcance.</w:t>
      </w:r>
    </w:p>
    <w:p>
      <w:pPr>
        <w:pStyle w:val="ListParagraph"/>
        <w:numPr>
          <w:ilvl w:val="0"/>
          <w:numId w:val="2"/>
        </w:numPr>
        <w:spacing w:after="60"/>
      </w:pPr>
      <w:r>
        <w:t xml:space="preserve">Las 11 recomendaciones se agruparon temáticamente en la narración (en vez de leerlas una por una) para que suene a síntesis y no a lista — pero el slide sí las muestra todas, por si el tribunal quiere verlas con detalle o hacer una pregunta puntual sobre alguna en particular.</w:t>
      </w:r>
    </w:p>
    <w:p>
      <w:pPr>
        <w:pStyle w:val="ListParagraph"/>
        <w:numPr>
          <w:ilvl w:val="0"/>
          <w:numId w:val="2"/>
        </w:numPr>
        <w:spacing w:after="60"/>
      </w:pPr>
      <w:r>
        <w:t xml:space="preserve">Practica la transición entre las tres partes: al ser contenido compartido, es la sección donde más fácil se pierde el hilo si cambia quien habla. Un buen ensayo conjunto de este bloque en particular vale más que repasarlo solos.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2026-09-02T01:56:26.226Z</dcterms:created>
  <dcterms:modified xsi:type="dcterms:W3CDTF">2026-09-02T01:56:26.237Z</dcterms:modified>
</cp:coreProperties>
</file>

<file path=docProps/custom.xml><?xml version="1.0" encoding="utf-8"?>
<Properties xmlns="http://schemas.openxmlformats.org/officeDocument/2006/custom-properties" xmlns:vt="http://schemas.openxmlformats.org/officeDocument/2006/docPropsVTypes"/>
</file>