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288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0D7377"/>
          <w:sz w:val="96"/>
          <w:szCs w:val="96"/>
        </w:rPr>
        <w:t xml:space="preserve">VIVERE</w:t>
      </w:r>
    </w:p>
    <w:p>
      <w:pPr>
        <w:jc w:val="center"/>
      </w:pPr>
      <w:r>
        <w:rPr>
          <w:rFonts w:ascii="Calibri" w:cs="Calibri" w:eastAsia="Calibri" w:hAnsi="Calibri"/>
          <w:b/>
          <w:bCs/>
          <w:color w:val="1A1A2E"/>
          <w:sz w:val="96"/>
          <w:szCs w:val="96"/>
        </w:rPr>
        <w:t xml:space="preserve">PLATFORM</w:t>
      </w:r>
    </w:p>
    <w:p>
      <w:pPr>
        <w:spacing w:after="0" w:before="80"/>
        <w:jc w:val="center"/>
      </w:pPr>
      <w:r>
        <w:rPr>
          <w:rFonts w:ascii="Calibri" w:cs="Calibri" w:eastAsia="Calibri" w:hAnsi="Calibri"/>
          <w:color w:val="3D3D3A"/>
          <w:sz w:val="56"/>
          <w:szCs w:val="56"/>
        </w:rPr>
        <w:t xml:space="preserve">Entity Resolution</w:t>
      </w:r>
    </w:p>
    <w:p>
      <w:pPr>
        <w:spacing w:after="200" w:before="0"/>
        <w:jc w:val="center"/>
      </w:pPr>
      <w:r>
        <w:rPr>
          <w:rFonts w:ascii="Calibri" w:cs="Calibri" w:eastAsia="Calibri" w:hAnsi="Calibri"/>
          <w:b/>
          <w:bCs/>
          <w:color w:val="0D7377"/>
          <w:sz w:val="56"/>
          <w:szCs w:val="56"/>
        </w:rPr>
        <w:t xml:space="preserve">Architecture Book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b/>
          <w:bCs/>
          <w:color w:val="1E3A8A"/>
          <w:sz w:val="24"/>
          <w:szCs w:val="24"/>
        </w:rPr>
        <w:t xml:space="preserve">Versão 1.1  ·  Julho 2026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i/>
          <w:iCs/>
          <w:color w:val="73726C"/>
          <w:sz w:val="20"/>
          <w:szCs w:val="20"/>
        </w:rPr>
        <w:t xml:space="preserve">Revisão arquitectural pré-implementação (Fase 7.1 — Foundation First)</w:t>
      </w:r>
    </w:p>
    <w:p>
      <w:pPr>
        <w:pBdr>
          <w:bottom w:val="single" w:color="0D7377" w:sz="4"/>
        </w:pBdr>
        <w:spacing w:after="200" w:before="0"/>
      </w:pPr>
    </w:p>
    <w:p>
      <w:pPr>
        <w:jc w:val="center"/>
      </w:pPr>
      <w:r>
        <w:rPr>
          <w:rFonts w:ascii="Calibri" w:cs="Calibri" w:eastAsia="Calibri" w:hAnsi="Calibri"/>
          <w:color w:val="73726C"/>
          <w:sz w:val="22"/>
          <w:szCs w:val="22"/>
        </w:rPr>
        <w:t xml:space="preserve">Eduardo Menezes  ·  Incorpora ADR-0011</w:t>
      </w:r>
    </w:p>
    <w:p>
      <w:pPr>
        <w:spacing w:after="0" w:before="0"/>
      </w:pPr>
      <w:r>
        <w:br/>
      </w:r>
    </w:p>
    <w:p>
      <w:pPr>
        <w:pStyle w:val="Heading1"/>
        <w:pBdr>
          <w:bottom w:val="single" w:color="0D7377" w:sz="6"/>
        </w:pBdr>
        <w:spacing w:after="200" w:before="560"/>
      </w:pPr>
      <w:r>
        <w:t xml:space="preserve">Changelog — v1.0 → v1.1</w:t>
      </w:r>
    </w:p>
    <w:p>
      <w:pPr>
        <w:pBdr>
          <w:left w:val="thick" w:color="1E40AF" w:sz="12"/>
        </w:pBdr>
        <w:shd w:fill="EFF9F9" w:val="clear"/>
        <w:spacing w:after="80" w:before="80"/>
        <w:ind w:left="360"/>
      </w:pPr>
      <w:r>
        <w:rPr>
          <w:rFonts w:ascii="Calibri" w:cs="Calibri" w:eastAsia="Calibri" w:hAnsi="Calibri"/>
          <w:b/>
          <w:bCs/>
          <w:i/>
          <w:iCs/>
          <w:color w:val="1E40AF"/>
          <w:sz w:val="20"/>
          <w:szCs w:val="20"/>
        </w:rPr>
        <w:t xml:space="preserve">⟳  v1.1 — Pool de candidatos corrigido: approved + promoted (não só promoted)</w:t>
      </w:r>
    </w:p>
    <w:p>
      <w:pPr>
        <w:pBdr>
          <w:left w:val="thick" w:color="1E40AF" w:sz="12"/>
        </w:pBdr>
        <w:shd w:fill="EFF9F9" w:val="clear"/>
        <w:spacing w:after="80" w:before="80"/>
        <w:ind w:left="360"/>
      </w:pPr>
      <w:r>
        <w:rPr>
          <w:rFonts w:ascii="Calibri" w:cs="Calibri" w:eastAsia="Calibri" w:hAnsi="Calibri"/>
          <w:b/>
          <w:bCs/>
          <w:i/>
          <w:iCs/>
          <w:color w:val="1E40AF"/>
          <w:sz w:val="20"/>
          <w:szCs w:val="20"/>
        </w:rPr>
        <w:t xml:space="preserve">⟳  v1.1 — product_key adicionado às três novas tabelas (runs, candidates, decisions)</w:t>
      </w:r>
    </w:p>
    <w:p>
      <w:pPr>
        <w:pBdr>
          <w:left w:val="thick" w:color="1E40AF" w:sz="12"/>
        </w:pBdr>
        <w:shd w:fill="EFF9F9" w:val="clear"/>
        <w:spacing w:after="80" w:before="80"/>
        <w:ind w:left="360"/>
      </w:pPr>
      <w:r>
        <w:rPr>
          <w:rFonts w:ascii="Calibri" w:cs="Calibri" w:eastAsia="Calibri" w:hAnsi="Calibri"/>
          <w:b/>
          <w:bCs/>
          <w:i/>
          <w:iCs/>
          <w:color w:val="1E40AF"/>
          <w:sz w:val="20"/>
          <w:szCs w:val="20"/>
        </w:rPr>
        <w:t xml:space="preserve">⟳  v1.1 — rejected_candidates UUID[] substituído por decision_outcome por candidato</w:t>
      </w:r>
    </w:p>
    <w:p>
      <w:pPr>
        <w:pBdr>
          <w:left w:val="thick" w:color="1E40AF" w:sz="12"/>
        </w:pBdr>
        <w:shd w:fill="EFF9F9" w:val="clear"/>
        <w:spacing w:after="80" w:before="80"/>
        <w:ind w:left="360"/>
      </w:pPr>
      <w:r>
        <w:rPr>
          <w:rFonts w:ascii="Calibri" w:cs="Calibri" w:eastAsia="Calibri" w:hAnsi="Calibri"/>
          <w:b/>
          <w:bCs/>
          <w:i/>
          <w:iCs/>
          <w:color w:val="1E40AF"/>
          <w:sz w:val="20"/>
          <w:szCs w:val="20"/>
        </w:rPr>
        <w:t xml:space="preserve">⟳  v1.1 — Migration 0011 adiada: matched_venue_staging_id derivado via JOIN</w:t>
      </w:r>
    </w:p>
    <w:p>
      <w:pPr>
        <w:pBdr>
          <w:left w:val="thick" w:color="1E40AF" w:sz="12"/>
        </w:pBdr>
        <w:shd w:fill="EFF9F9" w:val="clear"/>
        <w:spacing w:after="80" w:before="80"/>
        <w:ind w:left="360"/>
      </w:pPr>
      <w:r>
        <w:rPr>
          <w:rFonts w:ascii="Calibri" w:cs="Calibri" w:eastAsia="Calibri" w:hAnsi="Calibri"/>
          <w:b/>
          <w:bCs/>
          <w:i/>
          <w:iCs/>
          <w:color w:val="1E40AF"/>
          <w:sz w:val="20"/>
          <w:szCs w:val="20"/>
        </w:rPr>
        <w:t xml:space="preserve">⟳  v1.1 — ScoringConfig e ThresholdConfig formalizados como interfaces injectáveis</w:t>
      </w:r>
    </w:p>
    <w:p>
      <w:pPr>
        <w:pBdr>
          <w:left w:val="thick" w:color="1E40AF" w:sz="12"/>
        </w:pBdr>
        <w:shd w:fill="EFF9F9" w:val="clear"/>
        <w:spacing w:after="80" w:before="80"/>
        <w:ind w:left="360"/>
      </w:pPr>
      <w:r>
        <w:rPr>
          <w:rFonts w:ascii="Calibri" w:cs="Calibri" w:eastAsia="Calibri" w:hAnsi="Calibri"/>
          <w:b/>
          <w:bCs/>
          <w:i/>
          <w:iCs/>
          <w:color w:val="1E40AF"/>
          <w:sz w:val="20"/>
          <w:szCs w:val="20"/>
        </w:rPr>
        <w:t xml:space="preserve">⟳  v1.1 — PersistenceService removido do diagrama — orquestrador chama repositórios directamente</w:t>
      </w:r>
    </w:p>
    <w:p>
      <w:pPr>
        <w:pBdr>
          <w:left w:val="thick" w:color="1E40AF" w:sz="12"/>
        </w:pBdr>
        <w:shd w:fill="EFF9F9" w:val="clear"/>
        <w:spacing w:after="80" w:before="80"/>
        <w:ind w:left="360"/>
      </w:pPr>
      <w:r>
        <w:rPr>
          <w:rFonts w:ascii="Calibri" w:cs="Calibri" w:eastAsia="Calibri" w:hAnsi="Calibri"/>
          <w:b/>
          <w:bCs/>
          <w:i/>
          <w:iCs/>
          <w:color w:val="1E40AF"/>
          <w:sz w:val="20"/>
          <w:szCs w:val="20"/>
        </w:rPr>
        <w:t xml:space="preserve">⟳  v1.1 — Endpoints da Review API para ER registados no roadmap da Fase 7.5</w:t>
      </w:r>
    </w:p>
    <w:p>
      <w:pPr>
        <w:pBdr>
          <w:left w:val="thick" w:color="1E40AF" w:sz="12"/>
        </w:pBdr>
        <w:shd w:fill="EFF9F9" w:val="clear"/>
        <w:spacing w:after="80" w:before="80"/>
        <w:ind w:left="360"/>
      </w:pPr>
      <w:r>
        <w:rPr>
          <w:rFonts w:ascii="Calibri" w:cs="Calibri" w:eastAsia="Calibri" w:hAnsi="Calibri"/>
          <w:b/>
          <w:bCs/>
          <w:i/>
          <w:iCs/>
          <w:color w:val="1E40AF"/>
          <w:sz w:val="20"/>
          <w:szCs w:val="20"/>
        </w:rPr>
        <w:t xml:space="preserve">⟳  v1.1 — ADR-0011 registado e incorporado neste documento</w:t>
      </w:r>
    </w:p>
    <w:p>
      <w:pPr>
        <w:spacing w:after="80" w:before="0"/>
      </w:pPr>
    </w:p>
    <w:p>
      <w:pPr>
        <w:pBdr>
          <w:left w:val="thick" w:color="0D7377" w:sz="12"/>
        </w:pBdr>
        <w:shd w:fill="EFF9F9" w:val="clear"/>
        <w:spacing w:after="80" w:before="80"/>
        <w:ind w:left="360"/>
      </w:pPr>
      <w:r>
        <w:rPr>
          <w:rFonts w:ascii="Calibri" w:cs="Calibri" w:eastAsia="Calibri" w:hAnsi="Calibri"/>
          <w:b/>
          <w:bCs/>
          <w:i/>
          <w:iCs/>
          <w:color w:val="0D7377"/>
          <w:sz w:val="20"/>
          <w:szCs w:val="20"/>
        </w:rPr>
        <w:t xml:space="preserve">Itens marcados com ⟳ v1.1 foram alterados em relação à v1.0. Todo o restante permanece inalterado.</w:t>
      </w:r>
    </w:p>
    <w:p>
      <w:pPr>
        <w:spacing w:after="0" w:before="0"/>
      </w:pPr>
      <w:r>
        <w:br/>
      </w:r>
    </w:p>
    <w:p>
      <w:pPr>
        <w:pStyle w:val="Heading1"/>
        <w:pBdr>
          <w:bottom w:val="single" w:color="0D7377" w:sz="6"/>
        </w:pBdr>
        <w:spacing w:after="200" w:before="560"/>
      </w:pPr>
      <w:r>
        <w:t xml:space="preserve">1. Sumário Executivo</w:t>
      </w:r>
    </w:p>
    <w:p>
      <w:pPr>
        <w:spacing w:after="120" w:before="60"/>
        <w:jc w:val="both"/>
      </w:pPr>
      <w:r>
        <w:rPr>
          <w:rFonts w:ascii="Calibri" w:cs="Calibri" w:eastAsia="Calibri" w:hAnsi="Calibri"/>
          <w:color w:val="3D3D3A"/>
          <w:sz w:val="22"/>
          <w:szCs w:val="22"/>
        </w:rPr>
        <w:t xml:space="preserve">A Vivere Platform ingere dados de múltiplas fontes — Google Places, WordPress de prefeituras, futuramente Eventbrite, Sympla e equivalentes internacionais. Cada fonte fala sobre o mundo à sua maneira. Uma prefeitura publica "Yoga no Forte, na Praia do Forte, Cabo Frio". O Google Places conhece o Forte São Mateus como um ponto georreferenciado com telefone, horário e coordenadas. Um humano entende imediatamente que "Forte" e "Praia do Forte" são o mesmo lugar. A máquina não.</w:t>
      </w:r>
    </w:p>
    <w:p>
      <w:pPr>
        <w:spacing w:after="120" w:before="60"/>
        <w:jc w:val="both"/>
      </w:pPr>
      <w:r>
        <w:rPr>
          <w:rFonts w:ascii="Calibri" w:cs="Calibri" w:eastAsia="Calibri" w:hAnsi="Calibri"/>
          <w:color w:val="3D3D3A"/>
          <w:sz w:val="22"/>
          <w:szCs w:val="22"/>
        </w:rPr>
        <w:t xml:space="preserve">Entity Resolution é o processo que resolve esta ambiguidade: dada uma menção textual de venue numa actividade, identificar qual venue concreto, já existente em staging, corresponde a essa menção — ou reconhecer que é um venue novo e ainda não catalogado.</w:t>
      </w:r>
    </w:p>
    <w:p>
      <w:pPr>
        <w:spacing w:after="120" w:before="60"/>
        <w:jc w:val="both"/>
      </w:pPr>
      <w:r>
        <w:rPr>
          <w:rFonts w:ascii="Calibri" w:cs="Calibri" w:eastAsia="Calibri" w:hAnsi="Calibri"/>
          <w:color w:val="3D3D3A"/>
          <w:sz w:val="22"/>
          <w:szCs w:val="22"/>
        </w:rPr>
        <w:t xml:space="preserve">Este documento descreve a arquitectura completa do Entity Resolution Engine da Vivere Platform. Incorpora as correcções identificadas na revisão arquitectural pré-implementação (Fase 7.1) e está alinhado com o ADR-0011.</w:t>
      </w:r>
    </w:p>
    <w:p>
      <w:pPr>
        <w:pBdr>
          <w:left w:val="thick" w:color="0D7377" w:sz="12"/>
        </w:pBdr>
        <w:shd w:fill="EFF9F9" w:val="clear"/>
        <w:spacing w:after="80" w:before="80"/>
        <w:ind w:left="360"/>
      </w:pPr>
      <w:r>
        <w:rPr>
          <w:rFonts w:ascii="Calibri" w:cs="Calibri" w:eastAsia="Calibri" w:hAnsi="Calibri"/>
          <w:b/>
          <w:bCs/>
          <w:i/>
          <w:iCs/>
          <w:color w:val="0D7377"/>
          <w:sz w:val="20"/>
          <w:szCs w:val="20"/>
        </w:rPr>
        <w:t xml:space="preserve">Princípio central: Entity Resolution nunca decide sozinha. O sistema produz candidatos com scores de confiança. A decisão final é sempre humana, assistida por contexto claro.</w:t>
      </w:r>
    </w:p>
    <w:p>
      <w:pPr>
        <w:spacing w:after="0" w:before="0"/>
      </w:pPr>
      <w:r>
        <w:br/>
      </w:r>
    </w:p>
    <w:p>
      <w:pPr>
        <w:pStyle w:val="Heading1"/>
        <w:pBdr>
          <w:bottom w:val="single" w:color="0D7377" w:sz="6"/>
        </w:pBdr>
        <w:spacing w:after="200" w:before="560"/>
      </w:pPr>
      <w:r>
        <w:t xml:space="preserve">2. Princípios Arquitecturais</w:t>
      </w:r>
    </w:p>
    <w:p>
      <w:pPr>
        <w:pStyle w:val="Heading3"/>
        <w:spacing w:after="120" w:before="280"/>
      </w:pPr>
      <w:r>
        <w:t xml:space="preserve">P1 — Nunca inventar</w:t>
      </w:r>
    </w:p>
    <w:p>
      <w:pPr>
        <w:spacing w:after="120" w:before="60"/>
        <w:jc w:val="both"/>
      </w:pPr>
      <w:r>
        <w:rPr>
          <w:rFonts w:ascii="Calibri" w:cs="Calibri" w:eastAsia="Calibri" w:hAnsi="Calibri"/>
          <w:color w:val="3D3D3A"/>
          <w:sz w:val="22"/>
          <w:szCs w:val="22"/>
        </w:rPr>
        <w:t xml:space="preserve">O motor nunca cria um venue que não existe em venues_staging. Se nenhum candidato atinge o threshold mínimo de confiança, o resultado é "unresolved". Corolário do ADR-0003.</w:t>
      </w:r>
    </w:p>
    <w:p>
      <w:pPr>
        <w:pStyle w:val="Heading3"/>
        <w:spacing w:after="120" w:before="280"/>
      </w:pPr>
      <w:r>
        <w:t xml:space="preserve">P2 — Humano decide sempre</w:t>
      </w:r>
    </w:p>
    <w:p>
      <w:pPr>
        <w:spacing w:after="120" w:before="60"/>
        <w:jc w:val="both"/>
      </w:pPr>
      <w:r>
        <w:rPr>
          <w:rFonts w:ascii="Calibri" w:cs="Calibri" w:eastAsia="Calibri" w:hAnsi="Calibri"/>
          <w:color w:val="3D3D3A"/>
          <w:sz w:val="22"/>
          <w:szCs w:val="22"/>
        </w:rPr>
        <w:t xml:space="preserve">O motor produz candidatos ordenados. A transição de venue_resolution_status exige confirmação humana explícita. Não existe promoção automática de resolução. Corolário do ADR-0003.</w:t>
      </w:r>
    </w:p>
    <w:p>
      <w:pPr>
        <w:pStyle w:val="Heading3"/>
        <w:spacing w:after="120" w:before="280"/>
      </w:pPr>
      <w:r>
        <w:t xml:space="preserve">P3 — Score não é decisão</w:t>
      </w:r>
    </w:p>
    <w:p>
      <w:pPr>
        <w:spacing w:after="120" w:before="60"/>
        <w:jc w:val="both"/>
      </w:pPr>
      <w:r>
        <w:rPr>
          <w:rFonts w:ascii="Calibri" w:cs="Calibri" w:eastAsia="Calibri" w:hAnsi="Calibri"/>
          <w:color w:val="3D3D3A"/>
          <w:sz w:val="22"/>
          <w:szCs w:val="22"/>
        </w:rPr>
        <w:t xml:space="preserve">Um score de 0.95 não significa que o match é correcto — significa que o algoritmo tem 95% de confiança. O revisor pode sobrepor o score com conhecimento contextual.</w:t>
      </w:r>
    </w:p>
    <w:p>
      <w:pPr>
        <w:pStyle w:val="Heading3"/>
        <w:spacing w:after="120" w:before="280"/>
      </w:pPr>
      <w:r>
        <w:t xml:space="preserve">P4 — Agnóstico de produto, idioma e geografia</w:t>
      </w:r>
    </w:p>
    <w:p>
      <w:pPr>
        <w:spacing w:after="120" w:before="60"/>
        <w:jc w:val="both"/>
      </w:pPr>
      <w:r>
        <w:rPr>
          <w:rFonts w:ascii="Calibri" w:cs="Calibri" w:eastAsia="Calibri" w:hAnsi="Calibri"/>
          <w:color w:val="3D3D3A"/>
          <w:sz w:val="22"/>
          <w:szCs w:val="22"/>
        </w:rPr>
        <w:t xml:space="preserve">O motor usa product_key como dimensão de particionamento. Os mesmos algoritmos funcionam para Vivere UK com venues em Richmond, Londres. ScoringConfig e ThresholdConfig permitem ajuste por produto sem alterar código.</w:t>
      </w:r>
    </w:p>
    <w:p>
      <w:pPr>
        <w:pStyle w:val="Heading3"/>
        <w:spacing w:after="120" w:before="280"/>
      </w:pPr>
      <w:r>
        <w:t xml:space="preserve">P5 — Auditoria completa</w:t>
      </w:r>
    </w:p>
    <w:p>
      <w:pPr>
        <w:spacing w:after="120" w:before="60"/>
        <w:jc w:val="both"/>
      </w:pPr>
      <w:r>
        <w:rPr>
          <w:rFonts w:ascii="Calibri" w:cs="Calibri" w:eastAsia="Calibri" w:hAnsi="Calibri"/>
          <w:color w:val="3D3D3A"/>
          <w:sz w:val="22"/>
          <w:szCs w:val="22"/>
        </w:rPr>
        <w:t xml:space="preserve">Cada resolução — automática ou humana — é registada com: quem decidiu, quando, qual candidato foi escolhido, qual era o score, e qual era a alternativa rejeitada.</w:t>
      </w:r>
    </w:p>
    <w:p>
      <w:pPr>
        <w:pStyle w:val="Heading3"/>
        <w:spacing w:after="120" w:before="280"/>
      </w:pPr>
      <w:r>
        <w:t xml:space="preserve">P6 — Matchers são funções puras</w:t>
      </w:r>
    </w:p>
    <w:p>
      <w:pPr>
        <w:spacing w:after="120" w:before="60"/>
        <w:jc w:val="both"/>
      </w:pPr>
      <w:r>
        <w:rPr>
          <w:rFonts w:ascii="Calibri" w:cs="Calibri" w:eastAsia="Calibri" w:hAnsi="Calibri"/>
          <w:color w:val="3D3D3A"/>
          <w:sz w:val="22"/>
          <w:szCs w:val="22"/>
        </w:rPr>
        <w:t xml:space="preserve">Nenhum matcher acede ao banco de dados, conhece Hono ou React. Matchers recebem dados, devolvem scores. São testáveis sem qualquer dependência externa. Princípio Open/Closed: novos matchers adicionados sem alterar os existentes.</w:t>
      </w:r>
    </w:p>
    <w:p>
      <w:pPr>
        <w:pStyle w:val="Heading3"/>
        <w:spacing w:after="120" w:before="280"/>
      </w:pPr>
      <w:r>
        <w:t xml:space="preserve">P7 — Falhar com clareza</w:t>
      </w:r>
    </w:p>
    <w:p>
      <w:pPr>
        <w:spacing w:after="120" w:before="60"/>
        <w:jc w:val="both"/>
      </w:pPr>
      <w:r>
        <w:rPr>
          <w:rFonts w:ascii="Calibri" w:cs="Calibri" w:eastAsia="Calibri" w:hAnsi="Calibri"/>
          <w:color w:val="3D3D3A"/>
          <w:sz w:val="22"/>
          <w:szCs w:val="22"/>
        </w:rPr>
        <w:t xml:space="preserve">Quando o motor não encontra candidato plausível, retorna "unresolved" com motivo. Nunca retorna um match de baixa qualidade como se fosse bom.</w:t>
      </w:r>
    </w:p>
    <w:p>
      <w:pPr>
        <w:spacing w:after="0" w:before="0"/>
      </w:pPr>
      <w:r>
        <w:br/>
      </w:r>
    </w:p>
    <w:p>
      <w:pPr>
        <w:pStyle w:val="Heading1"/>
        <w:pBdr>
          <w:bottom w:val="single" w:color="0D7377" w:sz="6"/>
        </w:pBdr>
        <w:spacing w:after="200" w:before="560"/>
      </w:pPr>
      <w:r>
        <w:t xml:space="preserve">3. Arquitectura do Pipeline (ADR-0011)</w:t>
      </w:r>
    </w:p>
    <w:p>
      <w:pPr>
        <w:spacing w:after="120" w:before="60"/>
        <w:jc w:val="both"/>
      </w:pPr>
      <w:r>
        <w:rPr>
          <w:rFonts w:ascii="Calibri" w:cs="Calibri" w:eastAsia="Calibri" w:hAnsi="Calibri"/>
          <w:color w:val="3D3D3A"/>
          <w:sz w:val="22"/>
          <w:szCs w:val="22"/>
        </w:rPr>
        <w:t xml:space="preserve">O Entity Resolution Engine é um pipeline de componentes com responsabilidade única. O diagrama abaixo reflecte a versão corrigida (v1.1) — sem PersistenceService, com repositórios chamados directamente pelo orquestrador:</w:t>
      </w:r>
    </w:p>
    <w:p>
      <w:pPr>
        <w:shd w:fill="F4F3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EntityResolutionEngine  (orquestrador — coordena, não calcula)</w:t>
      </w:r>
    </w:p>
    <w:p>
      <w:pPr>
        <w:shd w:fill="F4F3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│</w:t>
      </w:r>
    </w:p>
    <w:p>
      <w:pPr>
        <w:shd w:fill="F4F3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├── CandidateGenerator</w:t>
      </w:r>
    </w:p>
    <w:p>
      <w:pPr>
        <w:shd w:fill="F4F3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│       └── consulta venues_staging via IVenueResolutionCandidateRepo</w:t>
      </w:r>
    </w:p>
    <w:p>
      <w:pPr>
        <w:shd w:fill="F4F3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│           pool: proposal_status IN ('approved', 'promoted')  ← v1.1</w:t>
      </w:r>
    </w:p>
    <w:p>
      <w:pPr>
        <w:shd w:fill="F4F3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│</w:t>
      </w:r>
    </w:p>
    <w:p>
      <w:pPr>
        <w:shd w:fill="F4F3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├── IMatcher[]  (lista configurável de matchers)</w:t>
      </w:r>
    </w:p>
    <w:p>
      <w:pPr>
        <w:shd w:fill="F4F3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│       ├── NameMatcher     → name_score</w:t>
      </w:r>
    </w:p>
    <w:p>
      <w:pPr>
        <w:shd w:fill="F4F3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│       ├── GeoMatcher      → geo_score</w:t>
      </w:r>
    </w:p>
    <w:p>
      <w:pPr>
        <w:shd w:fill="F4F3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│       ├── AddressMatcher  → address_score</w:t>
      </w:r>
    </w:p>
    <w:p>
      <w:pPr>
        <w:shd w:fill="F4F3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│       └── [futuros: SemanticMatcher, EmbeddingMatcher, ...]</w:t>
      </w:r>
    </w:p>
    <w:p>
      <w:pPr>
        <w:shd w:fill="F4F3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│</w:t>
      </w:r>
    </w:p>
    <w:p>
      <w:pPr>
        <w:shd w:fill="F4F3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├── HybridScoreCalculator</w:t>
      </w:r>
    </w:p>
    <w:p>
      <w:pPr>
        <w:shd w:fill="F4F3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│       └── agrega scores com ScoringConfig (pesos injectáveis)  ← v1.1</w:t>
      </w:r>
    </w:p>
    <w:p>
      <w:pPr>
        <w:shd w:fill="F4F3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│</w:t>
      </w:r>
    </w:p>
    <w:p>
      <w:pPr>
        <w:shd w:fill="F4F3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├── ThresholdClassifier</w:t>
      </w:r>
    </w:p>
    <w:p>
      <w:pPr>
        <w:shd w:fill="F4F3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│       └── classifica com ThresholdConfig (thresholds injectáveis)  ← v1.1</w:t>
      </w:r>
    </w:p>
    <w:p>
      <w:pPr>
        <w:shd w:fill="F4F3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│</w:t>
      </w:r>
    </w:p>
    <w:p>
      <w:pPr>
        <w:shd w:fill="F4F3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└── IVenueResolutionRunRepository (persiste)</w:t>
      </w:r>
    </w:p>
    <w:p>
      <w:pPr>
        <w:shd w:fill="F4F3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IVenueResolutionCandidateRepository (persiste)</w:t>
      </w:r>
    </w:p>
    <w:p>
      <w:pPr>
        <w:spacing w:after="160" w:before="0"/>
      </w:pPr>
    </w:p>
    <w:p>
      <w:pPr>
        <w:pStyle w:val="Heading3"/>
        <w:spacing w:after="120" w:before="280"/>
      </w:pPr>
      <w:r>
        <w:t xml:space="preserve">3.1 Separação de responsabilidades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rPr>
          <w:tblHeader/>
        </w:trPr>
        <w:tc>
          <w:tcPr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Responsabilidade</w:t>
            </w:r>
          </w:p>
        </w:tc>
        <w:tc>
          <w:tcPr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Proibido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Matchers (Name/Geo/Address)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Calcular score parcial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Persistir, ler banco, conhecer outros matchers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HybridScoreCalculator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Agregar scores com pesos configuráveis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Calcular scores parciais, persistir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ThresholdClassifier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Classificar resultado final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Calcular scores, persistir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CandidateGenerator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Consultar pool de candidatos aprovados/promovidos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Calcular scores, persistir resultados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Repositórios ER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Persistir runs, candidatos, decisões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Lógica de negócio, cálculo de scores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EntityResolutionEngine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Coordenar a sequência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Calcular scores directamente, persistir directamente</w:t>
            </w:r>
          </w:p>
        </w:tc>
      </w:tr>
    </w:tbl>
    <w:p>
      <w:pPr>
        <w:spacing w:after="160" w:before="0"/>
      </w:pPr>
    </w:p>
    <w:p>
      <w:pPr>
        <w:pStyle w:val="Heading3"/>
        <w:spacing w:after="120" w:before="280"/>
      </w:pPr>
      <w:r>
        <w:t xml:space="preserve">3.2 Interfaces de configuração (v1.1)</w:t>
      </w:r>
    </w:p>
    <w:p>
      <w:pPr>
        <w:shd w:fill="F4F3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interface ScoringConfig {</w:t>
      </w:r>
    </w:p>
    <w:p>
      <w:pPr>
        <w:shd w:fill="F4F3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weights: {</w:t>
      </w:r>
    </w:p>
    <w:p>
      <w:pPr>
        <w:shd w:fill="F4F3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name:    number;   // default: 0.50</w:t>
      </w:r>
    </w:p>
    <w:p>
      <w:pPr>
        <w:shd w:fill="F4F3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geo:     number;   // default: 0.35</w:t>
      </w:r>
    </w:p>
    <w:p>
      <w:pPr>
        <w:shd w:fill="F4F3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address: number;   // default: 0.15</w:t>
      </w:r>
    </w:p>
    <w:p>
      <w:pPr>
        <w:shd w:fill="F4F3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};</w:t>
      </w:r>
    </w:p>
    <w:p>
      <w:pPr>
        <w:shd w:fill="F4F3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confidenceBoost: {</w:t>
      </w:r>
    </w:p>
    <w:p>
      <w:pPr>
        <w:shd w:fill="F4F3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explicit_name:         number;   // default: +0.10</w:t>
      </w:r>
    </w:p>
    <w:p>
      <w:pPr>
        <w:shd w:fill="F4F3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inferred_from_context: number;   // default:  0.00</w:t>
      </w:r>
    </w:p>
    <w:p>
      <w:pPr>
        <w:shd w:fill="F4F3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ambiguous:             number;   // default: -0.10</w:t>
      </w:r>
    </w:p>
    <w:p>
      <w:pPr>
        <w:shd w:fill="F4F3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};</w:t>
      </w:r>
    </w:p>
    <w:p>
      <w:pPr>
        <w:shd w:fill="F4F3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80" w:before="0"/>
      </w:pPr>
    </w:p>
    <w:p>
      <w:pPr>
        <w:shd w:fill="F4F3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interface ThresholdConfig {</w:t>
      </w:r>
    </w:p>
    <w:p>
      <w:pPr>
        <w:shd w:fill="F4F3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highConfidence: number;   // default: 0.85 → matched</w:t>
      </w:r>
    </w:p>
    <w:p>
      <w:pPr>
        <w:shd w:fill="F4F3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minSuggestion:  number;   // default: 0.50 → abaixo → proposed_new</w:t>
      </w:r>
    </w:p>
    <w:p>
      <w:pPr>
        <w:shd w:fill="F4F3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160" w:before="0"/>
      </w:pPr>
    </w:p>
    <w:p>
      <w:pPr>
        <w:spacing w:after="0" w:before="0"/>
      </w:pPr>
      <w:r>
        <w:br/>
      </w:r>
    </w:p>
    <w:p>
      <w:pPr>
        <w:pStyle w:val="Heading1"/>
        <w:pBdr>
          <w:bottom w:val="single" w:color="0D7377" w:sz="6"/>
        </w:pBdr>
        <w:spacing w:after="200" w:before="560"/>
      </w:pPr>
      <w:r>
        <w:t xml:space="preserve">4. Modelo de Entidades</w:t>
      </w:r>
    </w:p>
    <w:p>
      <w:pPr>
        <w:pStyle w:val="Heading2"/>
        <w:spacing w:after="160" w:before="400"/>
      </w:pPr>
      <w:r>
        <w:t xml:space="preserve">4.1 Entidades existentes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Entidade</w:t>
            </w:r>
          </w:p>
        </w:tc>
        <w:tc>
          <w:tcPr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Tabela</w:t>
            </w:r>
          </w:p>
        </w:tc>
        <w:tc>
          <w:tcPr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Papel no ER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RawVenueItem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staging.raw_venue_items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Fonte dos candidatos com coordenadas precisas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VenueStagingRow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staging.venues_staging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Pool de candidatos: status IN (approved, promoted)  ← v1.1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RawActivityItem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staging.raw_activity_items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Fonte das menções a resolver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ActivityStagingRow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staging.activities_staging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Target da resolução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VenueMention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embedded em raw_activity_items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Input primário do algoritmo</w:t>
            </w:r>
          </w:p>
        </w:tc>
      </w:tr>
    </w:tbl>
    <w:p>
      <w:pPr>
        <w:spacing w:after="160" w:before="0"/>
      </w:pPr>
    </w:p>
    <w:p>
      <w:pPr>
        <w:pStyle w:val="Heading2"/>
        <w:spacing w:after="160" w:before="400"/>
      </w:pPr>
      <w:r>
        <w:t xml:space="preserve">4.2 Novas entidades — Fase 7 (corrigidas v1.1)</w:t>
      </w:r>
    </w:p>
    <w:p>
      <w:pPr>
        <w:pBdr>
          <w:left w:val="thick" w:color="1E40AF" w:sz="12"/>
        </w:pBdr>
        <w:shd w:fill="EFF9F9" w:val="clear"/>
        <w:spacing w:after="80" w:before="80"/>
        <w:ind w:left="360"/>
      </w:pPr>
      <w:r>
        <w:rPr>
          <w:rFonts w:ascii="Calibri" w:cs="Calibri" w:eastAsia="Calibri" w:hAnsi="Calibri"/>
          <w:b/>
          <w:bCs/>
          <w:i/>
          <w:iCs/>
          <w:color w:val="1E40AF"/>
          <w:sz w:val="20"/>
          <w:szCs w:val="20"/>
        </w:rPr>
        <w:t xml:space="preserve">⟳  v1.1 — product_key adicionado às três tabelas. decision_outcome por candidato substituiu rejected_candidates[].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3960"/>
      </w:tblGrid>
      <w:tr>
        <w:trPr>
          <w:tblHeader/>
        </w:trPr>
        <w:tc>
          <w:tcPr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Entidade</w:t>
            </w:r>
          </w:p>
        </w:tc>
        <w:tc>
          <w:tcPr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Tabela</w:t>
            </w:r>
          </w:p>
        </w:tc>
        <w:tc>
          <w:tcPr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Campos principais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VenueResolutionRun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staging.venue_resolution_runs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id, product_key, started_at, finished_at, status, activities_processed, candidates_generated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VenueResolutionCandidate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staging.venue_resolution_candidates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id, run_id, product_key, activity_staging_id, candidate_venue_id, score, name_score, geo_score, address_score, auto_classification, decision_outcome, decision_id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VenueResolutionDecision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staging.venue_resolution_decisions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id, product_key, activity_staging_id, action, accepted_candidate_id, user_id, reviewed_at, notes</w:t>
            </w:r>
          </w:p>
        </w:tc>
      </w:tr>
    </w:tbl>
    <w:p>
      <w:pPr>
        <w:spacing w:after="160" w:before="0"/>
      </w:pPr>
    </w:p>
    <w:p>
      <w:pPr>
        <w:pStyle w:val="Heading2"/>
        <w:spacing w:after="160" w:before="400"/>
      </w:pPr>
      <w:r>
        <w:t xml:space="preserve">4.3 Estados de venue_resolution_status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1800"/>
        <w:gridCol w:w="2960"/>
      </w:tblGrid>
      <w:tr>
        <w:trPr>
          <w:tblHeader/>
        </w:trPr>
        <w:tc>
          <w:tcPr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Significado</w:t>
            </w:r>
          </w:p>
        </w:tc>
        <w:tc>
          <w:tcPr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Quem define</w:t>
            </w:r>
          </w:p>
        </w:tc>
        <w:tc>
          <w:tcPr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Transições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unresolved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Estado inicial. Nenhum venue identificado.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Sistema (insert)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→ matched, → ambiguous, → proposed_new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matched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Venue confirmado por humano após candidatos do motor.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Humano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→ unresolved (se revisto)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ambiguous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Múltiplos candidatos plausíveis. Requer escolha humana.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Motor automaticamente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→ matched, → proposed_new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proposed_new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 venue correspondente. Sinaliza necessidade de ingestão.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Humano ou motor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→ matched (após venue criado)</w:t>
            </w:r>
          </w:p>
        </w:tc>
      </w:tr>
    </w:tbl>
    <w:p>
      <w:pPr>
        <w:spacing w:after="160" w:before="0"/>
      </w:pPr>
    </w:p>
    <w:p>
      <w:pPr>
        <w:pBdr>
          <w:left w:val="thick" w:color="92400E" w:sz="12"/>
        </w:pBdr>
        <w:shd w:fill="EFF9F9" w:val="clear"/>
        <w:spacing w:after="80" w:before="80"/>
        <w:ind w:left="360"/>
      </w:pPr>
      <w:r>
        <w:rPr>
          <w:rFonts w:ascii="Calibri" w:cs="Calibri" w:eastAsia="Calibri" w:hAnsi="Calibri"/>
          <w:b/>
          <w:bCs/>
          <w:i/>
          <w:iCs/>
          <w:color w:val="92400E"/>
          <w:sz w:val="20"/>
          <w:szCs w:val="20"/>
        </w:rPr>
        <w:t xml:space="preserve">unresolved é o único estado seguro para promoção de actividade — ambiguous nunca deve ser publicado sem resolução explícita.</w:t>
      </w:r>
    </w:p>
    <w:p>
      <w:pPr>
        <w:spacing w:after="0" w:before="0"/>
      </w:pPr>
      <w:r>
        <w:br/>
      </w:r>
    </w:p>
    <w:p>
      <w:pPr>
        <w:pStyle w:val="Heading1"/>
        <w:pBdr>
          <w:bottom w:val="single" w:color="0D7377" w:sz="6"/>
        </w:pBdr>
        <w:spacing w:after="200" w:before="560"/>
      </w:pPr>
      <w:r>
        <w:t xml:space="preserve">5. Pool de Candidatos (corrigido v1.1)</w:t>
      </w:r>
    </w:p>
    <w:p>
      <w:pPr>
        <w:pBdr>
          <w:left w:val="thick" w:color="1E40AF" w:sz="12"/>
        </w:pBdr>
        <w:shd w:fill="EFF9F9" w:val="clear"/>
        <w:spacing w:after="80" w:before="80"/>
        <w:ind w:left="360"/>
      </w:pPr>
      <w:r>
        <w:rPr>
          <w:rFonts w:ascii="Calibri" w:cs="Calibri" w:eastAsia="Calibri" w:hAnsi="Calibri"/>
          <w:b/>
          <w:bCs/>
          <w:i/>
          <w:iCs/>
          <w:color w:val="1E40AF"/>
          <w:sz w:val="20"/>
          <w:szCs w:val="20"/>
        </w:rPr>
        <w:t xml:space="preserve">⟳  v1.1 — Pool alterado de proposal_status = promoted para IN (approved, promoted). Justificação: ADR-0011, Decisão 4.</w:t>
      </w:r>
    </w:p>
    <w:p>
      <w:pPr>
        <w:spacing w:after="120" w:before="60"/>
        <w:jc w:val="both"/>
      </w:pPr>
      <w:r>
        <w:rPr>
          <w:rFonts w:ascii="Calibri" w:cs="Calibri" w:eastAsia="Calibri" w:hAnsi="Calibri"/>
          <w:color w:val="3D3D3A"/>
          <w:sz w:val="22"/>
          <w:szCs w:val="22"/>
        </w:rPr>
        <w:t xml:space="preserve">O CandidateGenerator consulta o pool de venues elegíveis para cada actividade a resolver:</w:t>
      </w:r>
    </w:p>
    <w:p>
      <w:pPr>
        <w:shd w:fill="F4F3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SELECT id, name, address, city, lat, lng,</w:t>
      </w:r>
    </w:p>
    <w:p>
      <w:pPr>
        <w:shd w:fill="F4F3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source_category_hint, google_types, product_key</w:t>
      </w:r>
    </w:p>
    <w:p>
      <w:pPr>
        <w:shd w:fill="F4F3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staging.venues_staging</w:t>
      </w:r>
    </w:p>
    <w:p>
      <w:pPr>
        <w:shd w:fill="F4F3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WHERE product_key = $1</w:t>
      </w:r>
    </w:p>
    <w:p>
      <w:pPr>
        <w:shd w:fill="F4F3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AND proposal_status IN ('approved', 'promoted');</w:t>
      </w:r>
    </w:p>
    <w:p>
      <w:pPr>
        <w:spacing w:after="160" w:before="0"/>
      </w:pPr>
    </w:p>
    <w:p>
      <w:pPr>
        <w:spacing w:after="120" w:before="60"/>
        <w:jc w:val="both"/>
      </w:pPr>
      <w:r>
        <w:rPr>
          <w:rFonts w:ascii="Calibri" w:cs="Calibri" w:eastAsia="Calibri" w:hAnsi="Calibri"/>
          <w:color w:val="3D3D3A"/>
          <w:sz w:val="22"/>
          <w:szCs w:val="22"/>
        </w:rPr>
        <w:t xml:space="preserve">A exclusão de pending_review é uma garantia de segurança: o ER nunca liga uma actividade a um venue que ainda não foi validado por humano.</w:t>
      </w:r>
    </w:p>
    <w:p>
      <w:pPr>
        <w:spacing w:after="120" w:before="60"/>
        <w:jc w:val="both"/>
      </w:pPr>
      <w:r>
        <w:rPr>
          <w:rFonts w:ascii="Calibri" w:cs="Calibri" w:eastAsia="Calibri" w:hAnsi="Calibri"/>
          <w:color w:val="3D3D3A"/>
          <w:sz w:val="22"/>
          <w:szCs w:val="22"/>
        </w:rPr>
        <w:t xml:space="preserve">approved e promoted são ambos estados pós-validação humana. A distinção entre eles é operacional (promovido significa enviado para o app) — ambos têm a confiança necessária para serem candidatos.</w:t>
      </w:r>
    </w:p>
    <w:p>
      <w:pPr>
        <w:spacing w:after="0" w:before="0"/>
      </w:pPr>
      <w:r>
        <w:br/>
      </w:r>
    </w:p>
    <w:p>
      <w:pPr>
        <w:pStyle w:val="Heading1"/>
        <w:pBdr>
          <w:bottom w:val="single" w:color="0D7377" w:sz="6"/>
        </w:pBdr>
        <w:spacing w:after="200" w:before="560"/>
      </w:pPr>
      <w:r>
        <w:t xml:space="preserve">6. Algoritmos de Matching</w:t>
      </w:r>
    </w:p>
    <w:p>
      <w:pPr>
        <w:pStyle w:val="Heading2"/>
        <w:spacing w:after="160" w:before="400"/>
      </w:pPr>
      <w:r>
        <w:t xml:space="preserve">6.1 Name Match</w:t>
      </w:r>
    </w:p>
    <w:p>
      <w:pPr>
        <w:pStyle w:val="Heading3"/>
        <w:spacing w:after="120" w:before="280"/>
      </w:pPr>
      <w:r>
        <w:t xml:space="preserve">Exact Match</w:t>
      </w:r>
    </w:p>
    <w:p>
      <w:pPr>
        <w:spacing w:after="120" w:before="60"/>
        <w:jc w:val="both"/>
      </w:pPr>
      <w:r>
        <w:rPr>
          <w:rFonts w:ascii="Calibri" w:cs="Calibri" w:eastAsia="Calibri" w:hAnsi="Calibri"/>
          <w:color w:val="3D3D3A"/>
          <w:sz w:val="22"/>
          <w:szCs w:val="22"/>
        </w:rPr>
        <w:t xml:space="preserve">Normalização: lowercase, trim, remoção de acentos, pontuação e stopwords (da/de/do/em/no/na/e em pt-BR; of/the/at/in/on/and em en-GB). Score = 1.0 se normalização idêntica.</w:t>
      </w:r>
    </w:p>
    <w:p>
      <w:pPr>
        <w:pStyle w:val="Heading3"/>
        <w:spacing w:after="120" w:before="280"/>
      </w:pPr>
      <w:r>
        <w:t xml:space="preserve">Contains Match</w:t>
      </w:r>
    </w:p>
    <w:p>
      <w:pPr>
        <w:spacing w:after="120" w:before="60"/>
        <w:jc w:val="both"/>
      </w:pPr>
      <w:r>
        <w:rPr>
          <w:rFonts w:ascii="Calibri" w:cs="Calibri" w:eastAsia="Calibri" w:hAnsi="Calibri"/>
          <w:color w:val="3D3D3A"/>
          <w:sz w:val="22"/>
          <w:szCs w:val="22"/>
        </w:rPr>
        <w:t xml:space="preserve">Se nome do venue está contido na menção, ou vice-versa: score = 0.80.</w:t>
      </w:r>
    </w:p>
    <w:p>
      <w:pPr>
        <w:shd w:fill="F4F3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Ex: "Canto do Forte, na Praia do Forte" contém "Praia do Forte" → 0.80</w:t>
      </w:r>
    </w:p>
    <w:p>
      <w:pPr>
        <w:pStyle w:val="Heading3"/>
        <w:spacing w:after="120" w:before="280"/>
      </w:pPr>
      <w:r>
        <w:t xml:space="preserve">Token Overlap (Jaccard)</w:t>
      </w:r>
    </w:p>
    <w:p>
      <w:pPr>
        <w:spacing w:after="120" w:before="60"/>
        <w:jc w:val="both"/>
      </w:pPr>
      <w:r>
        <w:rPr>
          <w:rFonts w:ascii="Calibri" w:cs="Calibri" w:eastAsia="Calibri" w:hAnsi="Calibri"/>
          <w:color w:val="3D3D3A"/>
          <w:sz w:val="22"/>
          <w:szCs w:val="22"/>
        </w:rPr>
        <w:t xml:space="preserve">Jaccard similarity entre tokens normalizados. Score = 0.60–0.75 quando overlap ≥ 0.5.</w:t>
      </w:r>
    </w:p>
    <w:p>
      <w:pPr>
        <w:pStyle w:val="Heading3"/>
        <w:spacing w:after="120" w:before="280"/>
      </w:pPr>
      <w:r>
        <w:t xml:space="preserve">Trigram Similarity</w:t>
      </w:r>
    </w:p>
    <w:p>
      <w:pPr>
        <w:spacing w:after="120" w:before="60"/>
        <w:jc w:val="both"/>
      </w:pPr>
      <w:r>
        <w:rPr>
          <w:rFonts w:ascii="Calibri" w:cs="Calibri" w:eastAsia="Calibri" w:hAnsi="Calibri"/>
          <w:color w:val="3D3D3A"/>
          <w:sz w:val="22"/>
          <w:szCs w:val="22"/>
        </w:rPr>
        <w:t xml:space="preserve">pg_trgm (instalado — migration 0007). Score = 0.40–0.70 para similaridade ≥ 0.3.</w:t>
      </w:r>
    </w:p>
    <w:p>
      <w:pPr>
        <w:pStyle w:val="Heading2"/>
        <w:spacing w:after="160" w:before="400"/>
      </w:pPr>
      <w:r>
        <w:t xml:space="preserve">6.2 Geo Match</w:t>
      </w:r>
    </w:p>
    <w:p>
      <w:pPr>
        <w:spacing w:after="120" w:before="60"/>
        <w:jc w:val="both"/>
      </w:pPr>
      <w:r>
        <w:rPr>
          <w:rFonts w:ascii="Calibri" w:cs="Calibri" w:eastAsia="Calibri" w:hAnsi="Calibri"/>
          <w:color w:val="3D3D3A"/>
          <w:sz w:val="22"/>
          <w:szCs w:val="22"/>
        </w:rPr>
        <w:t xml:space="preserve">Haversine distance entre coordenadas do venue e ponto de referência da actividade (centroide da cidade quando não há coordenadas na menção):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Distância</w:t>
            </w:r>
          </w:p>
        </w:tc>
        <w:tc>
          <w:tcPr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&lt; 100m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1.0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&lt; 500m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0.85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&lt; 1km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0.70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&lt; 2km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0.50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&lt; 5km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0.30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≥ 5km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0.0</w:t>
            </w:r>
          </w:p>
        </w:tc>
      </w:tr>
    </w:tbl>
    <w:p>
      <w:pPr>
        <w:spacing w:after="160" w:before="0"/>
      </w:pPr>
    </w:p>
    <w:p>
      <w:pPr>
        <w:pStyle w:val="Heading2"/>
        <w:spacing w:after="160" w:before="400"/>
      </w:pPr>
      <w:r>
        <w:t xml:space="preserve">6.3 Address Match</w:t>
      </w:r>
    </w:p>
    <w:p>
      <w:pPr>
        <w:spacing w:after="120" w:before="60"/>
        <w:jc w:val="both"/>
      </w:pPr>
      <w:r>
        <w:rPr>
          <w:rFonts w:ascii="Calibri" w:cs="Calibri" w:eastAsia="Calibri" w:hAnsi="Calibri"/>
          <w:color w:val="3D3D3A"/>
          <w:sz w:val="22"/>
          <w:szCs w:val="22"/>
        </w:rPr>
        <w:t xml:space="preserve">Compara raw_address_text da VenueMention com address do venue. Score máximo: 0.70.</w:t>
      </w:r>
    </w:p>
    <w:p>
      <w:pPr>
        <w:pStyle w:val="Heading2"/>
        <w:spacing w:after="160" w:before="400"/>
      </w:pPr>
      <w:r>
        <w:t xml:space="preserve">6.4 Hybrid Score (com ScoringConfig)</w:t>
      </w:r>
    </w:p>
    <w:p>
      <w:pPr>
        <w:shd w:fill="F4F3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score = (name × config.weights.name)</w:t>
      </w:r>
    </w:p>
    <w:p>
      <w:pPr>
        <w:shd w:fill="F4F3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+ (geo  × config.weights.geo)</w:t>
      </w:r>
    </w:p>
    <w:p>
      <w:pPr>
        <w:shd w:fill="F4F3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+ (addr × config.weights.address)</w:t>
      </w:r>
    </w:p>
    <w:p>
      <w:pPr>
        <w:shd w:fill="F4F3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+ config.confidenceBoost[hint]</w:t>
      </w:r>
    </w:p>
    <w:p>
      <w:pPr>
        <w:shd w:fill="F4F3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4F3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Defaults (ADR-0011):</w:t>
      </w:r>
    </w:p>
    <w:p>
      <w:pPr>
        <w:shd w:fill="F4F3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name=0.50, geo=0.35, address=0.15</w:t>
      </w:r>
    </w:p>
    <w:p>
      <w:pPr>
        <w:shd w:fill="F4F3F0" w:val="clear"/>
        <w:spacing w:after="30" w:before="3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explicit_name: +0.10, inferred: 0.00, ambiguous: -0.10</w:t>
      </w:r>
    </w:p>
    <w:p>
      <w:pPr>
        <w:spacing w:after="160" w:before="0"/>
      </w:pPr>
    </w:p>
    <w:p>
      <w:pPr>
        <w:pStyle w:val="Heading2"/>
        <w:spacing w:after="160" w:before="400"/>
      </w:pPr>
      <w:r>
        <w:t xml:space="preserve">6.5 Thresholds e Classificação (com ThresholdConfig)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5560"/>
      </w:tblGrid>
      <w:tr>
        <w:trPr>
          <w:tblHeader/>
        </w:trPr>
        <w:tc>
          <w:tcPr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Score final</w:t>
            </w:r>
          </w:p>
        </w:tc>
        <w:tc>
          <w:tcPr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Candidatos ≥ threshold</w:t>
            </w:r>
          </w:p>
        </w:tc>
        <w:tc>
          <w:tcPr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Classificação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≥ 0.85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matched (high confidence) — pré-seleccionado, aguarda confirmação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≥ 0.85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2+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ambiguous — revisor escolhe entre candidatos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0.50–0.84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qualquer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unresolved com sugestões — revisor decide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&lt; 0.50 ou 0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qualquer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proposed_new sugerido</w:t>
            </w:r>
          </w:p>
        </w:tc>
      </w:tr>
    </w:tbl>
    <w:p>
      <w:pPr>
        <w:spacing w:after="160" w:before="0"/>
      </w:pPr>
    </w:p>
    <w:p>
      <w:pPr>
        <w:pBdr>
          <w:left w:val="thick" w:color="92400E" w:sz="12"/>
        </w:pBdr>
        <w:shd w:fill="EFF9F9" w:val="clear"/>
        <w:spacing w:after="80" w:before="80"/>
        <w:ind w:left="360"/>
      </w:pPr>
      <w:r>
        <w:rPr>
          <w:rFonts w:ascii="Calibri" w:cs="Calibri" w:eastAsia="Calibri" w:hAnsi="Calibri"/>
          <w:b/>
          <w:bCs/>
          <w:i/>
          <w:iCs/>
          <w:color w:val="92400E"/>
          <w:sz w:val="20"/>
          <w:szCs w:val="20"/>
        </w:rPr>
        <w:t xml:space="preserve">Thresholds são estimativas iniciais. Calibrar após 100+ decisões humanas reais registadas em venue_resolution_decisions.</w:t>
      </w:r>
    </w:p>
    <w:p>
      <w:pPr>
        <w:spacing w:after="0" w:before="0"/>
      </w:pPr>
      <w:r>
        <w:br/>
      </w:r>
    </w:p>
    <w:p>
      <w:pPr>
        <w:pStyle w:val="Heading1"/>
        <w:pBdr>
          <w:bottom w:val="single" w:color="0D7377" w:sz="6"/>
        </w:pBdr>
        <w:spacing w:after="200" w:before="560"/>
      </w:pPr>
      <w:r>
        <w:t xml:space="preserve">7. Migrations — Fase 7</w:t>
      </w:r>
    </w:p>
    <w:p>
      <w:pPr>
        <w:pBdr>
          <w:left w:val="thick" w:color="1E40AF" w:sz="12"/>
        </w:pBdr>
        <w:shd w:fill="EFF9F9" w:val="clear"/>
        <w:spacing w:after="80" w:before="80"/>
        <w:ind w:left="360"/>
      </w:pPr>
      <w:r>
        <w:rPr>
          <w:rFonts w:ascii="Calibri" w:cs="Calibri" w:eastAsia="Calibri" w:hAnsi="Calibri"/>
          <w:b/>
          <w:bCs/>
          <w:i/>
          <w:iCs/>
          <w:color w:val="1E40AF"/>
          <w:sz w:val="20"/>
          <w:szCs w:val="20"/>
        </w:rPr>
        <w:t xml:space="preserve">⟳  v1.1 — Migration 0011 adiada. Scope: 0008, 0009, 0010 apenas. product_key incluído nas três.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400"/>
        <w:gridCol w:w="2160"/>
      </w:tblGrid>
      <w:tr>
        <w:trPr>
          <w:tblHeader/>
        </w:trPr>
        <w:tc>
          <w:tcPr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Migration</w:t>
            </w:r>
          </w:p>
        </w:tc>
        <w:tc>
          <w:tcPr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 que cria</w:t>
            </w:r>
          </w:p>
        </w:tc>
        <w:tc>
          <w:tcPr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0008_venue_resolution_runs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staging.venue_resolution_runs com product_key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criar — Etapa 2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0009_venue_resolution_candidates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staging.venue_resolution_candidates com decision_outcome por linha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criar — Etapa 2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0010_venue_resolution_decisions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staging.venue_resolution_decisions com product_key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criar — Etapa 2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0011 — adiada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matched_venue_staging_id em activities_staging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Não criar — derivar via JOIN em venue_resolution_decisions</w:t>
            </w:r>
          </w:p>
        </w:tc>
      </w:tr>
    </w:tbl>
    <w:p>
      <w:pPr>
        <w:spacing w:after="160" w:before="0"/>
      </w:pPr>
    </w:p>
    <w:p>
      <w:pPr>
        <w:pBdr>
          <w:left w:val="thick" w:color="0D7377" w:sz="12"/>
        </w:pBdr>
        <w:shd w:fill="EFF9F9" w:val="clear"/>
        <w:spacing w:after="80" w:before="80"/>
        <w:ind w:left="360"/>
      </w:pPr>
      <w:r>
        <w:rPr>
          <w:rFonts w:ascii="Calibri" w:cs="Calibri" w:eastAsia="Calibri" w:hAnsi="Calibri"/>
          <w:b/>
          <w:bCs/>
          <w:i/>
          <w:iCs/>
          <w:color w:val="0D7377"/>
          <w:sz w:val="20"/>
          <w:szCs w:val="20"/>
        </w:rPr>
        <w:t xml:space="preserve">0011 só deve ser criada quando queries de publicação real revelarem necessidade mensurável de performance. O JOIN é suficiente no MVP.</w:t>
      </w:r>
    </w:p>
    <w:p>
      <w:pPr>
        <w:spacing w:after="0" w:before="0"/>
      </w:pPr>
      <w:r>
        <w:br/>
      </w:r>
    </w:p>
    <w:p>
      <w:pPr>
        <w:pStyle w:val="Heading1"/>
        <w:pBdr>
          <w:bottom w:val="single" w:color="0D7377" w:sz="6"/>
        </w:pBdr>
        <w:spacing w:after="200" w:before="560"/>
      </w:pPr>
      <w:r>
        <w:t xml:space="preserve">8. Exemplos Reais — Cabo Frio</w:t>
      </w:r>
    </w:p>
    <w:p>
      <w:pPr>
        <w:pStyle w:val="Heading2"/>
        <w:spacing w:after="160" w:before="400"/>
      </w:pPr>
      <w:r>
        <w:t xml:space="preserve">8.1 Match de alta confiança — BeepYoga Festival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D3D3A"/>
          <w:sz w:val="22"/>
          <w:szCs w:val="22"/>
        </w:rPr>
        <w:t xml:space="preserve">Menção: "Museu e Casa de Cultura José de Dome (Charitas) – Centro de Cabo Frio"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D3D3A"/>
          <w:sz w:val="22"/>
          <w:szCs w:val="22"/>
        </w:rPr>
        <w:t xml:space="preserve">Venue candidato: "Museu José de Dome" — Centro de Cabo Frio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D3D3A"/>
          <w:sz w:val="22"/>
          <w:szCs w:val="22"/>
        </w:rPr>
        <w:t xml:space="preserve">Name score (contains): 0.80 | Geo score: 0.85 | Hybrid: ~0.70 | Boost explicit: +0.10 → Final: 0.80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D3D3A"/>
          <w:sz w:val="22"/>
          <w:szCs w:val="22"/>
        </w:rPr>
        <w:t xml:space="preserve">Resultado: unresolved com sugestão forte (abaixo de 0.85). Revisor confirma em 1 clique.</w:t>
      </w:r>
    </w:p>
    <w:p>
      <w:pPr>
        <w:pStyle w:val="Heading2"/>
        <w:spacing w:after="160" w:before="400"/>
      </w:pPr>
      <w:r>
        <w:t xml:space="preserve">8.2 Match ambíguo — Yoga no Forte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D3D3A"/>
          <w:sz w:val="22"/>
          <w:szCs w:val="22"/>
        </w:rPr>
        <w:t xml:space="preserve">Menção: "Canto do Forte, na Praia do Forte" — dois candidatos: Praia do Forte (score 0.93) e Forte São Mateus (0.60)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D3D3A"/>
          <w:sz w:val="22"/>
          <w:szCs w:val="22"/>
        </w:rPr>
        <w:t xml:space="preserve">Motor pré-selecciona Praia do Forte. Revisor reconhece contexto e escolhe Forte São Mateus.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D3D3A"/>
          <w:sz w:val="22"/>
          <w:szCs w:val="22"/>
        </w:rPr>
        <w:t xml:space="preserve">Ilustra P3: score alto não é match correcto. Humano + contexto corrige a máquina.</w:t>
      </w:r>
    </w:p>
    <w:p>
      <w:pPr>
        <w:pStyle w:val="Heading2"/>
        <w:spacing w:after="160" w:before="400"/>
      </w:pPr>
      <w:r>
        <w:t xml:space="preserve">8.3 Proposed New — Arraiá da Praça da Bandeira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D3D3A"/>
          <w:sz w:val="22"/>
          <w:szCs w:val="22"/>
        </w:rPr>
        <w:t xml:space="preserve">Menção: "Passagem" — bairro de Cabo Frio sem venue catalogado com esse nome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D3D3A"/>
          <w:sz w:val="22"/>
          <w:szCs w:val="22"/>
        </w:rPr>
        <w:t xml:space="preserve">Score máximo &lt; 0.30. Motor sugere proposed_new. Revisor confirma. Item aguarda ingestão direccionada.</w:t>
      </w:r>
    </w:p>
    <w:p>
      <w:pPr>
        <w:spacing w:after="0" w:before="0"/>
      </w:pPr>
      <w:r>
        <w:br/>
      </w:r>
    </w:p>
    <w:p>
      <w:pPr>
        <w:pStyle w:val="Heading1"/>
        <w:pBdr>
          <w:bottom w:val="single" w:color="0D7377" w:sz="6"/>
        </w:pBdr>
        <w:spacing w:after="200" w:before="560"/>
      </w:pPr>
      <w:r>
        <w:t xml:space="preserve">9. Extensibilidade UK (ADR-0010)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rPr>
          <w:tblHeader/>
        </w:trPr>
        <w:tc>
          <w:tcPr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Brasil</w:t>
            </w:r>
          </w:p>
        </w:tc>
        <w:tc>
          <w:tcPr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UK (futuro)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Stopwords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da, de, do, em, no, na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of, the, at, in, on, and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Raio geo referência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5km (cidades pequenas)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2km (Londres, alta densidade)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Pool de candidatos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product_key=vivere-60-mais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product_key=vivere-60-plus-uk-test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ScoringConfig weights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name:0.50, geo:0.35, addr:0.15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name:0.45, geo:0.40, addr:0.15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 que não muda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Algoritmos, thresholds, estados, tabelas, UI de revisão</w:t>
            </w:r>
          </w:p>
        </w:tc>
      </w:tr>
    </w:tbl>
    <w:p>
      <w:pPr>
        <w:spacing w:after="160" w:before="0"/>
      </w:pPr>
    </w:p>
    <w:p>
      <w:pPr>
        <w:spacing w:after="0" w:before="0"/>
      </w:pPr>
      <w:r>
        <w:br/>
      </w:r>
    </w:p>
    <w:p>
      <w:pPr>
        <w:pStyle w:val="Heading1"/>
        <w:pBdr>
          <w:bottom w:val="single" w:color="0D7377" w:sz="6"/>
        </w:pBdr>
        <w:spacing w:after="200" w:before="560"/>
      </w:pPr>
      <w:r>
        <w:t xml:space="preserve">10. Endpoints da Review API para ER (Roadmap Fase 7.5)</w:t>
      </w:r>
    </w:p>
    <w:p>
      <w:pPr>
        <w:pBdr>
          <w:left w:val="thick" w:color="1E40AF" w:sz="12"/>
        </w:pBdr>
        <w:shd w:fill="EFF9F9" w:val="clear"/>
        <w:spacing w:after="80" w:before="80"/>
        <w:ind w:left="360"/>
      </w:pPr>
      <w:r>
        <w:rPr>
          <w:rFonts w:ascii="Calibri" w:cs="Calibri" w:eastAsia="Calibri" w:hAnsi="Calibri"/>
          <w:b/>
          <w:bCs/>
          <w:i/>
          <w:iCs/>
          <w:color w:val="1E40AF"/>
          <w:sz w:val="20"/>
          <w:szCs w:val="20"/>
        </w:rPr>
        <w:t xml:space="preserve">⟳  v1.1 — Secção nova em v1.1. Endpoints registados no roadmap — não implementar antes do motor existir.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960"/>
        <w:gridCol w:w="1800"/>
      </w:tblGrid>
      <w:tr>
        <w:trPr>
          <w:tblHeader/>
        </w:trPr>
        <w:tc>
          <w:tcPr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 /api/entity-resolution/queue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Actividades unresolved com candidatos gerados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7.5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 /api/entity-resolution/:activityId/candidates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Candidatos de uma actividade com scores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7.5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PATCH /api/entity-resolution/:activityId/accept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Confirmar candidato sugerido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7.5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PATCH /api/entity-resolution/:activityId/override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Escolher candidato diferente do sugerido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7.5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PATCH /api/entity-resolution/:activityId/propose-new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Marcar como venue novo a ingerir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7.5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 /api/entity-resolution/stats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Estatísticas de resolução por produto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7.5</w:t>
            </w:r>
          </w:p>
        </w:tc>
      </w:tr>
    </w:tbl>
    <w:p>
      <w:pPr>
        <w:spacing w:after="160" w:before="0"/>
      </w:pPr>
    </w:p>
    <w:p>
      <w:pPr>
        <w:spacing w:after="0" w:before="0"/>
      </w:pPr>
      <w:r>
        <w:br/>
      </w:r>
    </w:p>
    <w:p>
      <w:pPr>
        <w:pStyle w:val="Heading1"/>
        <w:pBdr>
          <w:bottom w:val="single" w:color="0D7377" w:sz="6"/>
        </w:pBdr>
        <w:spacing w:after="200" w:before="560"/>
      </w:pPr>
      <w:r>
        <w:t xml:space="preserve">11. Roadmap de Implementação — Fase 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200"/>
        <w:gridCol w:w="2760"/>
      </w:tblGrid>
      <w:tr>
        <w:trPr>
          <w:tblHeader/>
        </w:trPr>
        <w:tc>
          <w:tcPr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Entregável</w:t>
            </w:r>
          </w:p>
        </w:tc>
        <w:tc>
          <w:tcPr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7.1 Foundation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ADR-0011 + Architecture Book v1.1 + revisão arquitectural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 Completo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7.2 Migrations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0008 + 0009 + 0010 com product_key e decision_outcome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implementar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7.3 Tipos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Interfaces, ScoringConfig, ThresholdConfig, IMatcher, DTOs, Result types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implementar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7.4 Repositórios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VenueResolutionRunRepository, CandidateRepository, DecisionRepository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implementar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7.5 Arquitectura Engine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EntityResolutionEngine, CandidateGenerator, diagrama de componentes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implementar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7.6 Pipeline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Fluxo end-to-end documentado e estruturas de dados do pipeline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implementar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7.7 Test Strategy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Plano completo: unit, integration, matching, regression, performance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implementar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7.8 Sprint 7.2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Algoritmos: NameMatcher, GeoMatcher, AddressMatcher, Hybrid, Classifier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Após 7.7</w:t>
            </w:r>
          </w:p>
        </w:tc>
      </w:tr>
    </w:tbl>
    <w:p>
      <w:pPr>
        <w:spacing w:after="160" w:before="0"/>
      </w:pPr>
    </w:p>
    <w:p>
      <w:pPr>
        <w:pStyle w:val="Heading2"/>
        <w:spacing w:after="160" w:before="400"/>
      </w:pPr>
      <w:r>
        <w:t xml:space="preserve">Critérios de conclusão da Fase 7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D3D3A"/>
          <w:sz w:val="22"/>
          <w:szCs w:val="22"/>
        </w:rPr>
        <w:t xml:space="preserve">≥ 90% das actividades com venue_mention explícito têm candidato gerado automaticamente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D3D3A"/>
          <w:sz w:val="22"/>
          <w:szCs w:val="22"/>
        </w:rPr>
        <w:t xml:space="preserve">≥ 85% dos candidatos com score ≥ 0.85 são confirmados pelo revisor sem alteração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D3D3A"/>
          <w:sz w:val="22"/>
          <w:szCs w:val="22"/>
        </w:rPr>
        <w:t xml:space="preserve">Zero actividades publicadas com venue_resolution_status = unresolved ou ambiguous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D3D3A"/>
          <w:sz w:val="22"/>
          <w:szCs w:val="22"/>
        </w:rPr>
        <w:t xml:space="preserve">Todos os passos de resolução auditáveis com user_id + timestamp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3D3D3A"/>
          <w:sz w:val="22"/>
          <w:szCs w:val="22"/>
        </w:rPr>
        <w:t xml:space="preserve">Motor funciona com qualquer product_key — não assume vivere-60-mais</w:t>
      </w:r>
    </w:p>
    <w:p>
      <w:pPr>
        <w:spacing w:after="0" w:before="0"/>
      </w:pPr>
      <w:r>
        <w:br/>
      </w:r>
    </w:p>
    <w:p>
      <w:pPr>
        <w:pStyle w:val="Heading1"/>
        <w:pBdr>
          <w:bottom w:val="single" w:color="0D7377" w:sz="6"/>
        </w:pBdr>
        <w:spacing w:after="200" w:before="560"/>
      </w:pPr>
      <w:r>
        <w:t xml:space="preserve">12. Decisões Adiadas Intencionalmente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rPr>
          <w:tblHeader/>
        </w:trPr>
        <w:tc>
          <w:tcPr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Decisão</w:t>
            </w:r>
          </w:p>
        </w:tc>
        <w:tc>
          <w:tcPr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Motivo</w:t>
            </w:r>
          </w:p>
        </w:tc>
        <w:tc>
          <w:tcPr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Quando revisar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Pesos exactos hybrid score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 dados de confirmações para calibrar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Após 2 semanas com ER activo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Threshold matched (0.85)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Valor conservador inicial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Após 100+ decisões humanas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ML/embeddings para matching semântico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Complexidade desnecessária no MVP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Volume &gt; 10.000 actividades/mês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Resolução automática sem revisão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Viola P2. Relaxável com dados de calibração.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Fase 9+, com 6+ meses de dados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Matching cross-produto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Não há dois produtos activos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UK Pilot — ADR-0010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Migration 0011 (desnormalização)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JOIN é suficiente no MVP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Quando query de publicação revelar bottleneck real</w:t>
            </w:r>
          </w:p>
        </w:tc>
      </w:tr>
    </w:tbl>
    <w:p>
      <w:pPr>
        <w:spacing w:after="200" w:before="0"/>
      </w:pPr>
    </w:p>
    <w:p>
      <w:pPr>
        <w:pBdr>
          <w:left w:val="thick" w:color="0D7377" w:sz="12"/>
        </w:pBdr>
        <w:shd w:fill="EFF9F9" w:val="clear"/>
        <w:spacing w:after="80" w:before="80"/>
        <w:ind w:left="360"/>
      </w:pPr>
      <w:r>
        <w:rPr>
          <w:rFonts w:ascii="Calibri" w:cs="Calibri" w:eastAsia="Calibri" w:hAnsi="Calibri"/>
          <w:b/>
          <w:bCs/>
          <w:i/>
          <w:iCs/>
          <w:color w:val="0D7377"/>
          <w:sz w:val="20"/>
          <w:szCs w:val="20"/>
        </w:rPr>
        <w:t xml:space="preserve">Este documento é versionado. v1.1 incorpora as correcções da revisão arquitectural pré-implementação (Fase 7.1) e o ADR-0011. Versões subsequentes registarão ajustes de threshold e pesos com dados reais.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6CE" w:sz="2"/>
      </w:pBdr>
      <w:jc w:val="right"/>
    </w:pPr>
    <w:r>
      <w:rPr>
        <w:rFonts w:ascii="Calibri" w:cs="Calibri" w:eastAsia="Calibri" w:hAnsi="Calibri"/>
        <w:color w:val="73726C"/>
        <w:sz w:val="18"/>
        <w:szCs w:val="18"/>
      </w:rPr>
      <w:t xml:space="preserve">Entity Resolution Architecture Book v1.1 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6CE" w:sz="2"/>
      </w:pBdr>
    </w:pPr>
    <w:r>
      <w:rPr>
        <w:rFonts w:ascii="Calibri" w:cs="Calibri" w:eastAsia="Calibri" w:hAnsi="Calibri"/>
        <w:color w:val="73726C"/>
        <w:sz w:val="18"/>
        <w:szCs w:val="18"/>
      </w:rPr>
      <w:t xml:space="preserve">Vivere Platform — Entity Resolution Architecture Book  ·  v1.1  ·  Julho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200" w:before="560"/>
      <w:outlineLvl w:val="0"/>
    </w:pPr>
    <w:rPr>
      <w:rFonts w:ascii="Calibri" w:cs="Calibri" w:eastAsia="Calibri" w:hAnsi="Calibri"/>
      <w:b/>
      <w:bCs/>
      <w:color w:val="1A1A2E"/>
      <w:sz w:val="40"/>
      <w:szCs w:val="40"/>
    </w:rPr>
  </w:style>
  <w:style w:type="paragraph" w:styleId="Heading2">
    <w:name w:val="Heading 2"/>
    <w:basedOn w:val="Normal"/>
    <w:next w:val="Normal"/>
    <w:pPr>
      <w:spacing w:after="160" w:before="400"/>
      <w:outlineLvl w:val="1"/>
    </w:pPr>
    <w:rPr>
      <w:rFonts w:ascii="Calibri" w:cs="Calibri" w:eastAsia="Calibri" w:hAnsi="Calibri"/>
      <w:b/>
      <w:bCs/>
      <w:color w:val="1A1A2E"/>
      <w:sz w:val="30"/>
      <w:szCs w:val="30"/>
    </w:rPr>
  </w:style>
  <w:style w:type="paragraph" w:styleId="Heading3">
    <w:name w:val="Heading 3"/>
    <w:basedOn w:val="Normal"/>
    <w:next w:val="Normal"/>
    <w:pPr>
      <w:spacing w:after="120" w:before="280"/>
      <w:outlineLvl w:val="2"/>
    </w:pPr>
    <w:rPr>
      <w:rFonts w:ascii="Calibri" w:cs="Calibri" w:eastAsia="Calibri" w:hAnsi="Calibri"/>
      <w:b/>
      <w:bCs/>
      <w:color w:val="0D737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2026-07-05T22:09:25.847Z</dcterms:created>
  <dcterms:modified xsi:type="dcterms:W3CDTF">2026-07-05T22:09:25.859Z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