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VIVERE</w:t>
      </w:r>
    </w:p>
    <w:p>
      <w:pPr>
        <w:spacing w:after="400"/>
        <w:jc w:val="center"/>
      </w:pPr>
      <w:r>
        <w:t xml:space="preserve">PLATFORM</w:t>
      </w:r>
    </w:p>
    <w:p>
      <w:pPr>
        <w:pStyle w:val="Heading1"/>
        <w:jc w:val="center"/>
      </w:pPr>
      <w:r>
        <w:t xml:space="preserve">Estado Oficial da Plataforma</w:t>
      </w:r>
    </w:p>
    <w:p>
      <w:pPr>
        <w:pStyle w:val="Heading2"/>
        <w:spacing w:after="200"/>
        <w:jc w:val="center"/>
      </w:pPr>
      <w:r>
        <w:t xml:space="preserve">v4</w:t>
      </w:r>
    </w:p>
    <w:p>
      <w:pPr>
        <w:jc w:val="center"/>
      </w:pPr>
      <w:r>
        <w:rPr>
          <w:i/>
          <w:iCs/>
        </w:rPr>
        <w:t xml:space="preserve">13 de Julho de 2026 · Eduardo Menezes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Substitui v3 (desactualizada desde antes da Fase 8 — registava Publishing Engine como "Planejado")</w:t>
      </w:r>
    </w:p>
    <w:p>
      <w:pPr>
        <w:pStyle w:val="Heading1"/>
        <w:spacing w:after="200" w:before="400"/>
      </w:pPr>
      <w:r>
        <w:t xml:space="preserve">Estado por Módulo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00"/>
      </w:tblGrid>
      <w:tr>
        <w:tc>
          <w:tcPr>
            <w:tcW w:type="dxa" w:w="60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36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Collectors (WordPress, Google Places)</w:t>
            </w:r>
          </w:p>
        </w:tc>
        <w:tc>
          <w:tcPr>
            <w:tcW w:type="dxa" w:w="36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 Layer (Camada A — Raw)</w:t>
            </w:r>
          </w:p>
        </w:tc>
        <w:tc>
          <w:tcPr>
            <w:tcW w:type="dxa" w:w="36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Resolution</w:t>
            </w:r>
          </w:p>
        </w:tc>
        <w:tc>
          <w:tcPr>
            <w:tcW w:type="dxa" w:w="36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6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API</w:t>
            </w:r>
          </w:p>
        </w:tc>
        <w:tc>
          <w:tcPr>
            <w:tcW w:type="dxa" w:w="36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Publishing Engine</w:t>
            </w:r>
          </w:p>
        </w:tc>
        <w:tc>
          <w:tcPr>
            <w:tcW w:type="dxa" w:w="36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Publishing Engine — Marcos de Validação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c>
          <w:tcPr>
            <w:tcW w:type="dxa" w:w="66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Marco</w:t>
            </w:r>
          </w:p>
        </w:tc>
        <w:tc>
          <w:tcPr>
            <w:tcW w:type="dxa" w:w="30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Production Publish</w:t>
            </w:r>
          </w:p>
        </w:tc>
        <w:tc>
          <w:tcPr>
            <w:tcW w:type="dxa" w:w="30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validado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Idempotência (segunda execução)</w:t>
            </w:r>
          </w:p>
        </w:tc>
        <w:tc>
          <w:tcPr>
            <w:tcW w:type="dxa" w:w="30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validado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Keys staging → public (migration 0016)</w:t>
            </w:r>
          </w:p>
        </w:tc>
        <w:tc>
          <w:tcPr>
            <w:tcW w:type="dxa" w:w="30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aplicadas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Preview (--preview fiel ao publish() real)</w:t>
            </w:r>
          </w:p>
        </w:tc>
        <w:tc>
          <w:tcPr>
            <w:tcW w:type="dxa" w:w="30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validado</w:t>
            </w:r>
          </w:p>
        </w:tc>
      </w:tr>
      <w:tr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Expansion</w:t>
            </w:r>
          </w:p>
        </w:tc>
        <w:tc>
          <w:tcPr>
            <w:tcW w:type="dxa" w:w="3000"/>
            <w:shd w:fill="FCF3C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Próximo passo: Brooklin (São Paulo)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Primeira Publicação em Produção</w:t>
      </w:r>
    </w:p>
    <w:p>
      <w:pPr>
        <w:spacing w:after="160"/>
      </w:pPr>
      <w:r>
        <w:t xml:space="preserve">Produto: vivere-60-mais · Região: Cabo Frio, RJ · Data: 13 de Julho de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1 (96e54953...): 26 venues publicados, 1 activity publicada, 3 activities expiradas correctamente ignoradas (ADR-0020), 0 erros.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2 (9f0ccdd0..., mesmo produto, sem alteração em staging): 0 venues publicados, 26 skipped; 0 activities publicadas, 4 skipped; 0 erros.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 duplicação técnica confirmada (nenhum engine_venue_id repetido).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28 eventos gravados na Run 1 (26× VenuePublished, 1× ActivityPublished, 1× PublicationRunCompleted); zero eventos redundantes na Run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Dados legacy (11 venues, 21 activities) inalterados nas duas runs.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Dois pares de venues com nome coincidente ("Praia do Forte"/"Canto do Forte", depois "Canto do Forte"/"Canto do Forte — Hospedagem") identificados pelo relatório de duplicados do --preview, investigados com evidência (place_id, google_types, morada, telefone, contagem de activities associadas) e resolvidos por curadoria de nome — confirmados como entidades distintas, não duplicados técnicos.</w:t>
      </w:r>
    </w:p>
    <w:p>
      <w:pPr>
        <w:pStyle w:val="Heading1"/>
        <w:spacing w:after="200" w:before="400"/>
      </w:pPr>
      <w:r>
        <w:t xml:space="preserve">Migrations Aplicadas (Fase 8)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200"/>
      </w:tblGrid>
      <w:tr>
        <w:tc>
          <w:tcPr>
            <w:tcW w:type="dxa" w:w="14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50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public.venues — campos da engine</w:t>
            </w:r>
          </w:p>
        </w:tc>
        <w:tc>
          <w:tcPr>
            <w:tcW w:type="dxa" w:w="3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aplicada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0013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public.activities — campos da engine</w:t>
            </w:r>
          </w:p>
        </w:tc>
        <w:tc>
          <w:tcPr>
            <w:tcW w:type="dxa" w:w="3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aplicada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0014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(consolidação schema Publishing Engine)</w:t>
            </w:r>
          </w:p>
        </w:tc>
        <w:tc>
          <w:tcPr>
            <w:tcW w:type="dxa" w:w="3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aplicada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(consolidação schema Publishing Engine)</w:t>
            </w:r>
          </w:p>
        </w:tc>
        <w:tc>
          <w:tcPr>
            <w:tcW w:type="dxa" w:w="3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aplicada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0016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FKs staging.promoted_*_id → public.*.id</w:t>
            </w:r>
          </w:p>
        </w:tc>
        <w:tc>
          <w:tcPr>
            <w:tcW w:type="dxa" w:w="3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aplicada (corrigida antes de aplicar)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0017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Backfill occurrences string → jsonb nativo</w:t>
            </w:r>
          </w:p>
        </w:tc>
        <w:tc>
          <w:tcPr>
            <w:tcW w:type="dxa" w:w="3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aplicada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ADRs Consolidadas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2200"/>
      </w:tblGrid>
      <w:tr>
        <w:tc>
          <w:tcPr>
            <w:tcW w:type="dxa" w:w="14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ADR</w:t>
            </w:r>
          </w:p>
        </w:tc>
        <w:tc>
          <w:tcPr>
            <w:tcW w:type="dxa" w:w="60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0015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— Convergência de Campos da Engine</w:t>
            </w:r>
          </w:p>
        </w:tc>
        <w:tc>
          <w:tcPr>
            <w:tcW w:type="dxa" w:w="2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Política de Arquivação</w:t>
            </w:r>
          </w:p>
        </w:tc>
        <w:tc>
          <w:tcPr>
            <w:tcW w:type="dxa" w:w="2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0017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Estratégia de Publicação por Produto</w:t>
            </w:r>
          </w:p>
        </w:tc>
        <w:tc>
          <w:tcPr>
            <w:tcW w:type="dxa" w:w="2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0018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Preservados (whitelist)</w:t>
            </w:r>
          </w:p>
        </w:tc>
        <w:tc>
          <w:tcPr>
            <w:tcW w:type="dxa" w:w="2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0019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 Model</w:t>
            </w:r>
          </w:p>
        </w:tc>
        <w:tc>
          <w:tcPr>
            <w:tcW w:type="dxa" w:w="2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0020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Política de Publicação de Activities com Múltiplas Ocorrências</w:t>
            </w:r>
          </w:p>
        </w:tc>
        <w:tc>
          <w:tcPr>
            <w:tcW w:type="dxa" w:w="2200"/>
            <w:shd w:fill="DFF0D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Pendências de documentação registadas para consolidação futura (já reflectidas no Architecture Book v1.2, ainda sem ADR dedicada):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Assimetria do gate de publicação: venues via proposal_status = promoted; activities via venue_resolution_status + decisão em venue_resolution_decisions (Architecture Book v1.2 §7).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Arquivação automática de activities por expiração periódica (sem nova ingestão) fica para a Fase 9 — Scheduler.</w:t>
      </w:r>
    </w:p>
    <w:p>
      <w:pPr>
        <w:pStyle w:val="Heading1"/>
        <w:spacing w:after="200" w:before="400"/>
      </w:pPr>
      <w:r>
        <w:t xml:space="preserve">Contagem de Testes</w:t>
      </w:r>
    </w:p>
    <w:p>
      <w:pPr>
        <w:spacing w:after="160"/>
      </w:pPr>
      <w:r>
        <w:t xml:space="preserve">O módulo Publishing Engine (src/publishing) tem 160 testes, cobrindo: PublicationTransformer, VenuePublisher, ActivityPublisher, PublishingEngine, contrato dos repositórios, selecção de ocorrência (ADR-0020), parser tolerante de occurrences, precedência de nome curado, e detecção de duplicados.</w:t>
      </w:r>
    </w:p>
    <w:p>
      <w:pPr>
        <w:spacing w:after="160"/>
      </w:pPr>
      <w:r>
        <w:rPr>
          <w:i/>
          <w:iCs/>
        </w:rPr>
        <w:t xml:space="preserve">O total da plataforma (todos os módulos) não foi reconfirmado nesta revisão — a última contagem oficial antes da Fase 8 era de 367 testes (Estado Oficial v3, então já desactualizado noutros aspectos). Recomendo correr a suite completa (ex.: npm test -- --reporter=verbose ou equivalente) antes de fixar o número definitivo neste documento, em vez de assumir uma soma aritmética não verificada.</w:t>
      </w:r>
    </w:p>
    <w:p>
      <w:pPr>
        <w:pStyle w:val="Heading1"/>
        <w:spacing w:after="200" w:before="400"/>
      </w:pPr>
      <w:r>
        <w:t xml:space="preserve">Próximo Ciclo</w:t>
      </w:r>
    </w:p>
    <w:p>
      <w:pPr>
        <w:spacing w:after="160"/>
      </w:pPr>
      <w:r>
        <w:t xml:space="preserve">Arquitectura principal considerada congelada a partir da Sprint 8.8. O foco muda de construir infraestrutura para expandir conteúdo — ver Regional Expansion Playbook.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9 — Brooklin (São Paulo)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Campo Belo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Moema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Santo Amaro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Zona Sul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 São Paulo Capital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2026-07-13T22:12:05.333Z</dcterms:created>
  <dcterms:modified xsi:type="dcterms:W3CDTF">2026-07-13T22:12:05.333Z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