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VIVERE</w:t>
      </w:r>
    </w:p>
    <w:p>
      <w:pPr>
        <w:spacing w:after="400"/>
        <w:jc w:val="center"/>
      </w:pPr>
      <w:r>
        <w:t xml:space="preserve">PLATFORM</w:t>
      </w:r>
    </w:p>
    <w:p>
      <w:pPr>
        <w:pStyle w:val="Heading1"/>
        <w:jc w:val="center"/>
      </w:pPr>
      <w:r>
        <w:t xml:space="preserve">Regional Expansion Checklist</w:t>
      </w:r>
    </w:p>
    <w:p>
      <w:pPr>
        <w:pStyle w:val="Heading2"/>
        <w:spacing w:after="200"/>
        <w:jc w:val="center"/>
      </w:pPr>
      <w:r>
        <w:t xml:space="preserve">v1.0</w:t>
      </w:r>
    </w:p>
    <w:p>
      <w:pPr>
        <w:jc w:val="center"/>
      </w:pPr>
      <w:r>
        <w:rPr>
          <w:i/>
          <w:iCs/>
        </w:rPr>
        <w:t xml:space="preserve">13 de Julho de 2026 · Eduardo Menezes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Companion operacional da ADR-0021 e do Regional Expansion Playbook v1.0. Preencher uma cópia por região.</w:t>
      </w:r>
    </w:p>
    <w:p>
      <w:pPr>
        <w:spacing w:after="160"/>
      </w:pPr>
      <w:r>
        <w:t xml:space="preserve">Região: ______________________     Product key: ______________________</w:t>
      </w:r>
    </w:p>
    <w:p>
      <w:pPr>
        <w:spacing w:after="160"/>
      </w:pPr>
      <w:r>
        <w:t xml:space="preserve">Data de início: ______________________     Data de congelamento: ______________________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Definir região</w:t>
      </w:r>
    </w:p>
    <w:p>
      <w:pPr>
        <w:spacing w:after="90"/>
      </w:pPr>
      <w:r>
        <w:t xml:space="preserve">☐  </w:t>
      </w:r>
      <w:r>
        <w:t xml:space="preserve">Área geográfica delimitada (bairro/cidade/raio)</w:t>
      </w:r>
    </w:p>
    <w:p>
      <w:pPr>
        <w:spacing w:after="90"/>
      </w:pPr>
      <w:r>
        <w:t xml:space="preserve">☐  </w:t>
      </w:r>
      <w:r>
        <w:t xml:space="preserve">product_key definido (novo produto, ou extensão de existente — decisão registada)</w:t>
      </w:r>
    </w:p>
    <w:p>
      <w:pPr>
        <w:pStyle w:val="Heading1"/>
        <w:spacing w:after="200" w:before="400"/>
      </w:pPr>
      <w:r>
        <w:t xml:space="preserve">2. Configurar coletores</w:t>
      </w:r>
    </w:p>
    <w:p>
      <w:pPr>
        <w:spacing w:after="90"/>
      </w:pPr>
      <w:r>
        <w:t xml:space="preserve">☐  </w:t>
      </w:r>
      <w:r>
        <w:t xml:space="preserve">source_query_text ajustado para a nova região, por Collector relevante</w:t>
      </w:r>
    </w:p>
    <w:p>
      <w:pPr>
        <w:spacing w:after="90"/>
      </w:pPr>
      <w:r>
        <w:t xml:space="preserve">☐  </w:t>
      </w:r>
      <w:r>
        <w:t xml:space="preserve">Nenhum Collector novo criado sem necessidade — reutilização confirmada</w:t>
      </w:r>
    </w:p>
    <w:p>
      <w:pPr>
        <w:pStyle w:val="Heading1"/>
        <w:spacing w:after="200" w:before="400"/>
      </w:pPr>
      <w:r>
        <w:t xml:space="preserve">3. Ingestão</w:t>
      </w:r>
    </w:p>
    <w:p>
      <w:pPr>
        <w:spacing w:after="90"/>
      </w:pPr>
      <w:r>
        <w:t xml:space="preserve">☐  </w:t>
      </w:r>
      <w:r>
        <w:t xml:space="preserve">Scripts de ingestão executados para a região</w:t>
      </w:r>
    </w:p>
    <w:p>
      <w:pPr>
        <w:spacing w:after="90"/>
      </w:pPr>
      <w:r>
        <w:t xml:space="preserve">☐  </w:t>
      </w:r>
      <w:r>
        <w:t xml:space="preserve">Contagem de raw_venue_items novos registada: ______</w:t>
      </w:r>
    </w:p>
    <w:p>
      <w:pPr>
        <w:spacing w:after="90"/>
      </w:pPr>
      <w:r>
        <w:t xml:space="preserve">☐  </w:t>
      </w:r>
      <w:r>
        <w:t xml:space="preserve">Contagem de raw_activity_items novos registada: ______</w:t>
      </w:r>
    </w:p>
    <w:p>
      <w:pPr>
        <w:spacing w:after="90"/>
      </w:pPr>
      <w:r>
        <w:t xml:space="preserve">☐  </w:t>
      </w:r>
      <w:r>
        <w:t xml:space="preserve">Tempo de ingestão registado (métrica obrigatória): ______</w:t>
      </w:r>
    </w:p>
    <w:p>
      <w:pPr>
        <w:spacing w:after="90"/>
      </w:pPr>
      <w:r>
        <w:t xml:space="preserve">☐  </w:t>
      </w:r>
      <w:r>
        <w:t xml:space="preserve">Proporção de erros de colecta revista — normal face à experiência anterior, ou investigada se anómala</w:t>
      </w:r>
    </w:p>
    <w:p>
      <w:pPr>
        <w:pStyle w:val="Heading1"/>
        <w:spacing w:after="200" w:before="400"/>
      </w:pPr>
      <w:r>
        <w:t xml:space="preserve">4. Entity Resolution</w:t>
      </w:r>
    </w:p>
    <w:p>
      <w:pPr>
        <w:spacing w:after="90"/>
      </w:pPr>
      <w:r>
        <w:t xml:space="preserve">☐  </w:t>
      </w:r>
      <w:r>
        <w:t xml:space="preserve">Pipeline de ER executado sobre os novos raw_*_items</w:t>
      </w:r>
    </w:p>
    <w:p>
      <w:pPr>
        <w:spacing w:after="90"/>
      </w:pPr>
      <w:r>
        <w:t xml:space="preserve">☐  </w:t>
      </w:r>
      <w:r>
        <w:t xml:space="preserve">Tempo de Entity Resolution registado (métrica obrigatória): ______</w:t>
      </w:r>
    </w:p>
    <w:p>
      <w:pPr>
        <w:spacing w:after="90"/>
      </w:pPr>
      <w:r>
        <w:t xml:space="preserve">☐  </w:t>
      </w:r>
      <w:r>
        <w:t xml:space="preserve">Matchers/thresholds NÃO alterados (ou, se alterados, ADR nova aberta antes de prosseguir)</w:t>
      </w:r>
    </w:p>
    <w:p>
      <w:pPr>
        <w:pStyle w:val="Heading1"/>
        <w:spacing w:after="200" w:before="400"/>
      </w:pPr>
      <w:r>
        <w:t xml:space="preserve">5. Human Review</w:t>
      </w:r>
    </w:p>
    <w:p>
      <w:pPr>
        <w:spacing w:after="90"/>
      </w:pPr>
      <w:r>
        <w:t xml:space="preserve">☐  </w:t>
      </w:r>
      <w:r>
        <w:t xml:space="preserve">Venues revistos: promoted / rejected</w:t>
      </w:r>
    </w:p>
    <w:p>
      <w:pPr>
        <w:spacing w:after="90"/>
      </w:pPr>
      <w:r>
        <w:t xml:space="preserve">☐  </w:t>
      </w:r>
      <w:r>
        <w:t xml:space="preserve">Taxa de confirmação humana registada (métrica obrigatória): ______</w:t>
      </w:r>
    </w:p>
    <w:p>
      <w:pPr>
        <w:spacing w:after="90"/>
      </w:pPr>
      <w:r>
        <w:t xml:space="preserve">☐  </w:t>
      </w:r>
      <w:r>
        <w:t xml:space="preserve">Contagem de matched registada (métrica obrigatória): ______</w:t>
      </w:r>
    </w:p>
    <w:p>
      <w:pPr>
        <w:spacing w:after="90"/>
      </w:pPr>
      <w:r>
        <w:t xml:space="preserve">☐  </w:t>
      </w:r>
      <w:r>
        <w:t xml:space="preserve">Contagem de proposed_new registada (métrica obrigatória): ______</w:t>
      </w:r>
    </w:p>
    <w:p>
      <w:pPr>
        <w:spacing w:after="90"/>
      </w:pPr>
      <w:r>
        <w:t xml:space="preserve">☐  </w:t>
      </w:r>
      <w:r>
        <w:t xml:space="preserve">Contagem de unresolved registada (métrica obrigatória): ______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Preview</w:t>
      </w:r>
    </w:p>
    <w:p>
      <w:pPr>
        <w:spacing w:after="90"/>
      </w:pPr>
      <w:r>
        <w:t xml:space="preserve">☐  </w:t>
      </w:r>
      <w:r>
        <w:t xml:space="preserve">publish.ts --product-key=&lt;produto&gt; --preview executado</w:t>
      </w:r>
    </w:p>
    <w:p>
      <w:pPr>
        <w:spacing w:after="90"/>
      </w:pPr>
      <w:r>
        <w:t xml:space="preserve">☐  </w:t>
      </w:r>
      <w:r>
        <w:t xml:space="preserve">Tempo de Preview registado (métrica obrigatória): ______</w:t>
      </w:r>
    </w:p>
    <w:p>
      <w:pPr>
        <w:spacing w:after="70"/>
      </w:pPr>
      <w:r>
        <w:t xml:space="preserve">     ☐  </w:t>
      </w:r>
      <w:r>
        <w:t xml:space="preserve">Resumo por categoria revisto (venues: novos/dirty/não-dirty/arquivar)</w:t>
      </w:r>
    </w:p>
    <w:p>
      <w:pPr>
        <w:spacing w:after="70"/>
      </w:pPr>
      <w:r>
        <w:t xml:space="preserve">     ☐  </w:t>
      </w:r>
      <w:r>
        <w:t xml:space="preserve">Resumo por categoria revisto (activities: novas/dirty/expiradas/venue pendente-NULL)</w:t>
      </w:r>
    </w:p>
    <w:p>
      <w:pPr>
        <w:spacing w:after="70"/>
      </w:pPr>
      <w:r>
        <w:t xml:space="preserve">     ☐  </w:t>
      </w:r>
      <w:r>
        <w:t xml:space="preserve">Funil de elegibilidade de activities revisto e explicado</w:t>
      </w:r>
    </w:p>
    <w:p>
      <w:pPr>
        <w:spacing w:after="70"/>
      </w:pPr>
      <w:r>
        <w:t xml:space="preserve">     ☐  </w:t>
      </w:r>
      <w:r>
        <w:t xml:space="preserve">Relatório de duplicados obtido</w:t>
      </w:r>
    </w:p>
    <w:p>
      <w:pPr>
        <w:spacing w:after="70"/>
      </w:pPr>
      <w:r>
        <w:t xml:space="preserve">     ☐  </w:t>
      </w:r>
      <w:r>
        <w:t xml:space="preserve">Amostra de itens revista</w:t>
      </w:r>
    </w:p>
    <w:p>
      <w:pPr>
        <w:spacing w:after="90"/>
      </w:pPr>
      <w:r>
        <w:t xml:space="preserve">☐  </w:t>
      </w:r>
      <w:r>
        <w:t xml:space="preserve">Zero ⚠ ANÓMALO sem explicação</w:t>
      </w:r>
    </w:p>
    <w:p>
      <w:pPr>
        <w:pStyle w:val="Heading1"/>
        <w:spacing w:after="200" w:before="400"/>
      </w:pPr>
      <w:r>
        <w:t xml:space="preserve">7. Revisão dos duplicados</w:t>
      </w:r>
    </w:p>
    <w:p>
      <w:pPr>
        <w:spacing w:after="90"/>
      </w:pPr>
      <w:r>
        <w:t xml:space="preserve">☐  </w:t>
      </w:r>
      <w:r>
        <w:t xml:space="preserve">Cada grupo do relatório investigado individualmente com evidência: place_id, google_types, morada, telefone, source_query_text, contagem de activities associadas</w:t>
      </w:r>
    </w:p>
    <w:p>
      <w:pPr>
        <w:spacing w:after="90"/>
      </w:pPr>
      <w:r>
        <w:t xml:space="preserve">☐  </w:t>
      </w:r>
      <w:r>
        <w:t xml:space="preserve">Contagem de grupos de duplicados registada (métrica obrigatória): ______</w:t>
      </w:r>
    </w:p>
    <w:p>
      <w:pPr>
        <w:spacing w:after="90"/>
      </w:pPr>
      <w:r>
        <w:t xml:space="preserve">☐  </w:t>
      </w:r>
      <w:r>
        <w:t xml:space="preserve">Cada grupo resolvido com decisão explícita — fundir / rejeitar / manter separados com nome curado (nunca "ignorado")</w:t>
      </w:r>
    </w:p>
    <w:p>
      <w:pPr>
        <w:spacing w:after="90"/>
      </w:pPr>
      <w:r>
        <w:t xml:space="preserve">☐  </w:t>
      </w:r>
      <w:r>
        <w:t xml:space="preserve">Nenhum dedupe automático aplicado</w:t>
      </w:r>
    </w:p>
    <w:p>
      <w:pPr>
        <w:pStyle w:val="Heading1"/>
        <w:spacing w:after="200" w:before="400"/>
      </w:pPr>
      <w:r>
        <w:t xml:space="preserve">8. Publicação</w:t>
      </w:r>
    </w:p>
    <w:p>
      <w:pPr>
        <w:spacing w:after="90"/>
      </w:pPr>
      <w:r>
        <w:t xml:space="preserve">☐  </w:t>
      </w:r>
      <w:r>
        <w:t xml:space="preserve">Preview limpo confirmado antes de prosseguir (pré-requisito, não opcional)</w:t>
      </w:r>
    </w:p>
    <w:p>
      <w:pPr>
        <w:spacing w:after="90"/>
      </w:pPr>
      <w:r>
        <w:t xml:space="preserve">☐  </w:t>
      </w:r>
      <w:r>
        <w:t xml:space="preserve">publish.ts --product-key=&lt;produto&gt; (sem flags) executado</w:t>
      </w:r>
    </w:p>
    <w:p>
      <w:pPr>
        <w:spacing w:after="90"/>
      </w:pPr>
      <w:r>
        <w:t xml:space="preserve">☐  </w:t>
      </w:r>
      <w:r>
        <w:t xml:space="preserve">Tempo de Publish registado (métrica obrigatória): ______ (duration_ms da run)</w:t>
      </w:r>
    </w:p>
    <w:p>
      <w:pPr>
        <w:spacing w:after="90"/>
      </w:pPr>
      <w:r>
        <w:t xml:space="preserve">☐  </w:t>
      </w:r>
      <w:r>
        <w:t xml:space="preserve">status da run confirmado: success, ou partial com erros explicados</w:t>
      </w:r>
    </w:p>
    <w:p>
      <w:pPr>
        <w:spacing w:after="90"/>
      </w:pPr>
      <w:r>
        <w:t xml:space="preserve">☐  </w:t>
      </w:r>
      <w:r>
        <w:t xml:space="preserve">Zero duplicação técnica confirmada (engine_venue_id / engine_activity_id únicos)</w:t>
      </w:r>
    </w:p>
    <w:p>
      <w:pPr>
        <w:spacing w:after="90"/>
      </w:pPr>
      <w:r>
        <w:t xml:space="preserve">☐  </w:t>
      </w:r>
      <w:r>
        <w:t xml:space="preserve">Eventos gravados confirmados em public.publication_events</w:t>
      </w:r>
    </w:p>
    <w:p>
      <w:pPr>
        <w:spacing w:after="90"/>
      </w:pPr>
      <w:r>
        <w:t xml:space="preserve">☐  </w:t>
      </w:r>
      <w:r>
        <w:t xml:space="preserve">Dados de outras regiões/produtos confirmados inalterados</w:t>
      </w:r>
    </w:p>
    <w:p>
      <w:pPr>
        <w:pStyle w:val="Heading1"/>
        <w:spacing w:after="200" w:before="400"/>
      </w:pPr>
      <w:r>
        <w:t xml:space="preserve">9. Validação em campo</w:t>
      </w:r>
    </w:p>
    <w:p>
      <w:pPr>
        <w:spacing w:after="90"/>
      </w:pPr>
      <w:r>
        <w:t xml:space="preserve">☐  </w:t>
      </w:r>
      <w:r>
        <w:t xml:space="preserve">Conteúdo publicado confirmado correcto por utilizador real da região (ou processo alternativo, se não houver validador dedicado)</w:t>
      </w:r>
    </w:p>
    <w:p>
      <w:pPr>
        <w:spacing w:after="90"/>
      </w:pPr>
      <w:r>
        <w:t xml:space="preserve">☐  </w:t>
      </w:r>
      <w:r>
        <w:t xml:space="preserve">Nomes, moradas, datas de activities e imagens conferem com a realidade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Congelar região — critérios (ADR-0021)</w:t>
      </w:r>
    </w:p>
    <w:p>
      <w:pPr>
        <w:spacing w:after="160"/>
      </w:pPr>
      <w:r>
        <w:t xml:space="preserve">Todos os itens seguintes têm de estar satisfeitos antes de declarar a região congelada:</w:t>
      </w:r>
    </w:p>
    <w:p>
      <w:pPr>
        <w:spacing w:after="90"/>
      </w:pPr>
      <w:r>
        <w:t xml:space="preserve">☐  </w:t>
      </w:r>
      <w:r>
        <w:t xml:space="preserve">(1) --preview revisto, sem anomalias por explicar</w:t>
      </w:r>
    </w:p>
    <w:p>
      <w:pPr>
        <w:spacing w:after="90"/>
      </w:pPr>
      <w:r>
        <w:t xml:space="preserve">☐  </w:t>
      </w:r>
      <w:r>
        <w:t xml:space="preserve">(2) Todos os grupos de duplicados revistos com evidência e decisão explícita</w:t>
      </w:r>
    </w:p>
    <w:p>
      <w:pPr>
        <w:spacing w:after="90"/>
      </w:pPr>
      <w:r>
        <w:t xml:space="preserve">☐  </w:t>
      </w:r>
      <w:r>
        <w:t xml:space="preserve">(3) Publicação real executada, status success/partial explicado</w:t>
      </w:r>
    </w:p>
    <w:p>
      <w:pPr>
        <w:spacing w:after="90"/>
      </w:pPr>
      <w:r>
        <w:t xml:space="preserve">☐  </w:t>
      </w:r>
      <w:r>
        <w:t xml:space="preserve">(4) Segunda execução confirmada idempotente</w:t>
      </w:r>
    </w:p>
    <w:p>
      <w:pPr>
        <w:spacing w:after="90"/>
      </w:pPr>
      <w:r>
        <w:t xml:space="preserve">☐  </w:t>
      </w:r>
      <w:r>
        <w:t xml:space="preserve">(5) Validação em campo concluída</w:t>
      </w:r>
    </w:p>
    <w:p>
      <w:pPr>
        <w:spacing w:after="90"/>
      </w:pPr>
      <w:r>
        <w:t xml:space="preserve">☐  </w:t>
      </w:r>
      <w:r>
        <w:t xml:space="preserve">(6) Todas as métricas obrigatórias registadas (ver tabela a seguir)</w:t>
      </w:r>
    </w:p>
    <w:p>
      <w:pPr>
        <w:spacing w:after="90"/>
      </w:pPr>
      <w:r>
        <w:t xml:space="preserve">☐  </w:t>
      </w:r>
      <w:r>
        <w:t xml:space="preserve">(7) Nenhuma alteração de código pendente por causa desta região</w:t>
      </w:r>
    </w:p>
    <w:p>
      <w:pPr>
        <w:spacing w:after="90"/>
      </w:pPr>
      <w:r>
        <w:t xml:space="preserve">☐  </w:t>
      </w:r>
      <w:r>
        <w:t xml:space="preserve">Região registada como "Production" no Estado Oficial da Plataforma</w:t>
      </w:r>
    </w:p>
    <w:p>
      <w:pPr>
        <w:spacing w:after="90"/>
      </w:pPr>
      <w:r>
        <w:t xml:space="preserve">☐  </w:t>
      </w:r>
      <w:r>
        <w:t xml:space="preserve">Se esta região for o Regional Baseline (Brooklin, ou uma futura baseline declarada) — registada formalmente como tal, e a partir daqui toda mudança de escopo amplo (Collectors, Entity Resolution, Publishing Engine, parsers) deve ser confirmada contra esta região antes de aceite (ADR-0021)</w:t>
      </w:r>
    </w:p>
    <w:p>
      <w:pPr>
        <w:pStyle w:val="Heading1"/>
        <w:spacing w:after="200" w:before="400"/>
      </w:pPr>
      <w:r>
        <w:t xml:space="preserve">11. Expandir para a próxima</w:t>
      </w:r>
    </w:p>
    <w:p>
      <w:pPr>
        <w:spacing w:after="90"/>
      </w:pPr>
      <w:r>
        <w:t xml:space="preserve">☐  </w:t>
      </w:r>
      <w:r>
        <w:t xml:space="preserve">Região seguinte do roadmap identificada</w:t>
      </w:r>
    </w:p>
    <w:p>
      <w:pPr>
        <w:spacing w:after="90"/>
      </w:pPr>
      <w:r>
        <w:t xml:space="preserve">☐  </w:t>
      </w:r>
      <w:r>
        <w:t xml:space="preserve">Lições desta região documentadas (nomes coincidentes, tipos de venue recorrentes, etc.)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GO / NO-GO</w:t>
      </w:r>
    </w:p>
    <w:p>
      <w:pPr>
        <w:spacing w:after="160"/>
      </w:pPr>
      <w:r>
        <w:t xml:space="preserve">Ponto formal de decisão — preencher sempre, mesmo quando a resposta parecer óbvia.</w:t>
      </w:r>
    </w:p>
    <w:p>
      <w:pPr>
        <w:spacing w:after="90"/>
      </w:pPr>
      <w:r>
        <w:t xml:space="preserve">☐  </w:t>
      </w:r>
      <w:r>
        <w:t xml:space="preserve">GO para a próxima região</w:t>
      </w:r>
    </w:p>
    <w:p>
      <w:pPr>
        <w:spacing w:after="90"/>
      </w:pPr>
      <w:r>
        <w:t xml:space="preserve">☐  </w:t>
      </w:r>
      <w:r>
        <w:t xml:space="preserve">NO-GO — motivo registado abaixo, região não avança</w:t>
      </w:r>
    </w:p>
    <w:p>
      <w:pPr>
        <w:spacing w:after="160"/>
      </w:pPr>
      <w:r>
        <w:t xml:space="preserve">Motivo:</w:t>
      </w:r>
    </w:p>
    <w:p>
      <w:pPr>
        <w:spacing w:after="160"/>
      </w:pPr>
      <w:r>
        <w:t xml:space="preserve">______________________________________________________________</w:t>
      </w:r>
    </w:p>
    <w:p>
      <w:pPr>
        <w:spacing w:after="160"/>
      </w:pPr>
      <w:r>
        <w:t xml:space="preserve">______________________________________________________________</w:t>
      </w:r>
    </w:p>
    <w:p>
      <w:pPr>
        <w:spacing w:after="160"/>
      </w:pPr>
      <w:r>
        <w:t xml:space="preserve">Responsável: ______________________________     Data: ______________________</w:t>
      </w:r>
    </w:p>
    <w:p>
      <w:r>
        <w:br w:type="page"/>
      </w:r>
    </w:p>
    <w:p>
      <w:pPr>
        <w:pStyle w:val="Heading1"/>
        <w:spacing w:after="200" w:before="400"/>
      </w:pPr>
      <w:r>
        <w:t xml:space="preserve">Lições Aprendidas</w:t>
      </w:r>
    </w:p>
    <w:p>
      <w:pPr>
        <w:spacing w:after="160"/>
      </w:pPr>
      <w:r>
        <w:t xml:space="preserve">Preencher no fecho da região — alimenta a próxima onda directamente (Playbook, etapa 11) e, ao fim de várias regiões, torna-se referência própria.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64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Lição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Collector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Places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Entity Resolution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Human Review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Publishing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Anexo — Definição exacta das métricas obrigatórias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64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Como medir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Venues encontrados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count(*) de raw_venue_items novos para a região, após ingestão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Activities encontradas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count(*) de raw_activity_items novos para a região, após ingestão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count(*) de activities_staging WHERE product_key = &lt;produto&gt; AND venue_resolution_status = 'matched'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Proposed_new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count(*) de activities_staging WHERE product_key = &lt;produto&gt; AND venue_resolution_status = 'proposed_new'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Unresolved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count(*) de activities_staging WHERE product_key = &lt;produto&gt; AND venue_resolution_status = 'unresolved' (ou NOT IN ('matched','proposed_new'))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Duplicados (venues)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Nº de grupos devolvidos por detectVenueDuplicates() no --preview, mais quantos resultaram em fusão/rejeição vs. mantidos separados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Taxa de confirmação humana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count(proposal_status IN ('promoted','rejected')) / count(*) sobre venues_staging elegíveis para revisão, para o produto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Tempo de ingestão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Diferença entre início e fim da(s) execução(ões) dos scripts de ingestão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Tempo de Entity Resolution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Diferença entre início e fim da execução do pipeline de ER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Tempo de Preview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Diferença entre início e fim da execução de publish.ts --preview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Tempo de Publish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duration_ms da linha correspondente em public.publication_runs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</w:rPr>
        <w:t xml:space="preserve">Registar todos os valores desta tabela, preenchidos, junto com a cópia deste checklist da região — esse par (checklist + valores) é o registo histórico que permite comparar regiões futuras às anteriores (ADR-0021, secção de Justificação).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2026-07-14T07:47:26.259Z</dcterms:created>
  <dcterms:modified xsi:type="dcterms:W3CDTF">2026-07-14T07:47:26.272Z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