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VIVERE</w:t>
      </w:r>
    </w:p>
    <w:p>
      <w:pPr>
        <w:spacing w:after="400"/>
        <w:jc w:val="center"/>
      </w:pPr>
      <w:r>
        <w:t xml:space="preserve">PLATFORM</w:t>
      </w:r>
    </w:p>
    <w:p>
      <w:pPr>
        <w:pStyle w:val="Heading1"/>
        <w:jc w:val="center"/>
      </w:pPr>
      <w:r>
        <w:t xml:space="preserve">Regional Expansion Playbook</w:t>
      </w:r>
    </w:p>
    <w:p>
      <w:pPr>
        <w:pStyle w:val="Heading2"/>
        <w:spacing w:after="200"/>
        <w:jc w:val="center"/>
      </w:pPr>
      <w:r>
        <w:t xml:space="preserve">v1.0</w:t>
      </w:r>
    </w:p>
    <w:p>
      <w:pPr>
        <w:jc w:val="center"/>
      </w:pPr>
      <w:r>
        <w:rPr>
          <w:i/>
          <w:iCs/>
        </w:rPr>
        <w:t xml:space="preserve">13 de Julho de 2026 · Eduardo Menezes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Primeira formalização deste processo. Deriva directamente da experiência real de Cabo Frio (Fase 8) — não é especificação prévia.</w:t>
      </w:r>
    </w:p>
    <w:p>
      <w:pPr>
        <w:pStyle w:val="Heading1"/>
        <w:spacing w:after="200" w:before="400"/>
      </w:pPr>
      <w:r>
        <w:t xml:space="preserve">Propósito</w:t>
      </w:r>
    </w:p>
    <w:p>
      <w:pPr>
        <w:spacing w:after="160"/>
      </w:pPr>
      <w:r>
        <w:t xml:space="preserve">Este documento descreve o processo repetível para expandir a Vivere Platform para uma nova região (cidade/bairro). Depois da Fase 8, a arquitectura principal está congelada — expandir para uma nova região é um processo de conteúdo e curadoria, não de engenharia de infra-estrutura. Este playbook existe para que cada expansão seja mais rápida e mais previsível do que a anterior.</w:t>
      </w:r>
    </w:p>
    <w:p>
      <w:pPr>
        <w:spacing w:after="160"/>
      </w:pPr>
      <w:r>
        <w:t xml:space="preserve">Próxima aplicação prevista: Brooklin (São Paulo), seguida de Campo Belo, Moema, Santo Amaro, Zona Sul, São Paulo Capital.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As 11 Etapas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Definir região</w:t>
      </w:r>
    </w:p>
    <w:p>
      <w:pPr>
        <w:spacing w:after="160"/>
      </w:pPr>
      <w:r>
        <w:t xml:space="preserve">Delimitar a área geográfica e o product_key sob o qual o conteúdo será publicado (novo produto, ou extensão de um existente — decisão de negócio, não técnica). Definir a região com fronteiras claras o suficiente para orientar as queries de busca dos Collectors (bairro, cidade, ou raio a partir de um ponto).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Configurar coletores</w:t>
      </w:r>
    </w:p>
    <w:p>
      <w:pPr>
        <w:spacing w:after="160"/>
      </w:pPr>
      <w:r>
        <w:t xml:space="preserve">Ajustar as source_query_text dos Collectors relevantes (Google Places, WordPress ou outras fontes específicas da região) para a nova área. Reutilizar os Collectors existentes sempre que possível — a Fase 8 não alterou nenhum Collector, só corrigiu um bug de persistência (serialização de occurrences); não há motivo para reescrever esta camada por região.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Ingestão</w:t>
      </w:r>
    </w:p>
    <w:p>
      <w:pPr>
        <w:spacing w:after="160"/>
      </w:pPr>
      <w:r>
        <w:t xml:space="preserve">Correr os scripts de ingestão (ex.: ingest-google-places.ts, ingest-wordpress-content.ts) para a nova região. Confirmar contagem de raw_venue_items/raw_activity_items novos antes de avançar. Erros de colecta (ex.: rate limits, resultados vazios) são esperados em volume baixo — só investigar se a proporção de erro for anormalmente alta face à experiência de Cabo Frio.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Entity Resolution</w:t>
      </w:r>
    </w:p>
    <w:p>
      <w:pPr>
        <w:spacing w:after="160"/>
      </w:pPr>
      <w:r>
        <w:t xml:space="preserve">Correr o pipeline de Entity Resolution sobre os novos raw_*_items. Confirmar que activities ganham venue_resolution_status (matched/proposed_new/unresolved) e resolution_confidence. Não alterar os matchers nem os thresholds sem uma ADR — Entity Resolution está congelada desde a Fase 7.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Human Review</w:t>
      </w:r>
    </w:p>
    <w:p>
      <w:pPr>
        <w:spacing w:after="160"/>
      </w:pPr>
      <w:r>
        <w:t xml:space="preserve">Revisão manual via Admin Panel / Review API: aprovar (proposal_status = promoted) ou rejeitar venues; para activities, a decisão relevante é o venue_resolution_status (matched/proposed_new) já reflectir a realidade — não existe, na Fase 8, um "proposal_status = promoted" equivalente para activities (ver Architecture Book v1.2 §7 — assimetria intencional). Esta é tipicamente a etapa mais lenta e mais importante: dados mal curados aqui propagam-se directamente para o Operational Model.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Preview</w:t>
      </w:r>
    </w:p>
    <w:p>
      <w:pPr>
        <w:spacing w:after="160"/>
      </w:pPr>
      <w:r>
        <w:t xml:space="preserve">Correr npx tsx src/publishing/publish.ts --product-key=&lt;produto&gt; --preview antes de qualquer publicação real. Ler os quatro blocos do relatório: resumo por categoria (novos/dirty/não-dirty/arquivar para venues; novas/dirty/expiradas/venue resolvido-pendente-NULL para activities), funil de elegibilidade de activities (total, por venue_resolution_status, excluídas e motivo), relatório de duplicados, e amostra de itens com acção prevista. O preview usa exactamente a mesma lógica de decisão do publish() real (padrão decide/execute) — não é uma simulação aproximada.</w:t>
      </w:r>
    </w:p>
    <w:p>
      <w:pPr>
        <w:spacing w:after="100"/>
      </w:pPr>
      <w:r>
        <w:rPr>
          <w:b/>
          <w:bCs/>
        </w:rPr>
        <w:t xml:space="preserve">7. </w:t>
      </w:r>
      <w:r>
        <w:t xml:space="preserve">Revisão dos duplicados</w:t>
      </w:r>
    </w:p>
    <w:p>
      <w:pPr>
        <w:spacing w:after="160"/>
      </w:pPr>
      <w:r>
        <w:t xml:space="preserve">Tratar cada grupo do relatório de duplicados individualmente, com evidência — nunca por suposição. Em Cabo Frio, dois pares com nome coincidente foram investigados com: place_id do Google (confirma ou refuta ser o mesmo registo), google_types (categoria do estabelecimento), morada e telefone, source_query_text (qual busca encontrou o quê), e contagem de activities já associadas a cada staging venue. Os dois casos reais resolveram-se como entidades distintas com nome coincidente, corrigido por curadoria de nome (venues_staging.name, que tem precedência sobre o nome bruto da fonte) — nenhum foi fundido nem rejeitado. Não existe dedupe automático nesta etapa por desenho; a decisão fica sempre com um humano.</w:t>
      </w:r>
    </w:p>
    <w:p>
      <w:pPr>
        <w:spacing w:after="100"/>
      </w:pPr>
      <w:r>
        <w:rPr>
          <w:b/>
          <w:bCs/>
        </w:rPr>
        <w:t xml:space="preserve">8. </w:t>
      </w:r>
      <w:r>
        <w:t xml:space="preserve">Publicação</w:t>
      </w:r>
    </w:p>
    <w:p>
      <w:pPr>
        <w:spacing w:after="160"/>
      </w:pPr>
      <w:r>
        <w:t xml:space="preserve">Só depois do preview estar limpo (zero anomalias, duplicados resolvidos, funil de activities a bater certo com a expectativa): correr npx tsx src/publishing/publish.ts --product-key=&lt;produto&gt; (sem flags). Confirmar o resultado impresso (status, contagens) e, no banco: a run em public.publication_runs, ausência de duplicação técnica (engine_venue_id/engine_activity_id únicos), eventos gravados em public.publication_events, e que dados de outras regiões/produtos permanecem inalterados.</w:t>
      </w:r>
    </w:p>
    <w:p>
      <w:pPr>
        <w:spacing w:after="100"/>
      </w:pPr>
      <w:r>
        <w:rPr>
          <w:b/>
          <w:bCs/>
        </w:rPr>
        <w:t xml:space="preserve">9. </w:t>
      </w:r>
      <w:r>
        <w:t xml:space="preserve">Validação em campo</w:t>
      </w:r>
    </w:p>
    <w:p>
      <w:pPr>
        <w:spacing w:after="160"/>
      </w:pPr>
      <w:r>
        <w:t xml:space="preserve">Confirmar no app (ou canal de distribuição relevante) que o conteúdo publicado aparece correctamente para utilizadores reais da região — nomes, moradas, datas de activities, imagens. Esta etapa existe porque a validação técnica (testes, preview, contagens SQL) não substitui ver o resultado final tal como o utilizador o vê.</w:t>
      </w:r>
    </w:p>
    <w:p>
      <w:pPr>
        <w:spacing w:after="100"/>
      </w:pPr>
      <w:r>
        <w:rPr>
          <w:b/>
          <w:bCs/>
        </w:rPr>
        <w:t xml:space="preserve">10. </w:t>
      </w:r>
      <w:r>
        <w:t xml:space="preserve">Congelar região</w:t>
      </w:r>
    </w:p>
    <w:p>
      <w:pPr>
        <w:spacing w:after="160"/>
      </w:pPr>
      <w:r>
        <w:t xml:space="preserve">Depois de validada, a região entra em modo de manutenção: novas ingestões periódicas continuam a alimentar o dirty check (VenuePublisher/ActivityPublisher reavaliam automaticamente quando raw_*_items.collected_at avança), mas não há mais trabalho de configuração inicial. Registar a região como "Production" no Estado Oficial da Plataforma.</w:t>
      </w:r>
    </w:p>
    <w:p>
      <w:pPr>
        <w:spacing w:after="100"/>
      </w:pPr>
      <w:r>
        <w:rPr>
          <w:b/>
          <w:bCs/>
        </w:rPr>
        <w:t xml:space="preserve">11. </w:t>
      </w:r>
      <w:r>
        <w:t xml:space="preserve">Expandir para a próxima</w:t>
      </w:r>
    </w:p>
    <w:p>
      <w:pPr>
        <w:spacing w:after="160"/>
      </w:pPr>
      <w:r>
        <w:t xml:space="preserve">Repetir a partir da etapa 1 para a região seguinte do roadmap. Cada repetição deve ser mais rápida — reaproveitar Collectors já configurados para fontes recorrentes (ex.: Google Places), e usar a experiência de resolução de duplicados da região anterior para reconhecer padrões mais depressa (ex.: nomes genéricos que o Google devolve para features geográficas amplas).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Lições de Cabo Frio (a aplicar nas próximas regiões)</w:t>
      </w:r>
    </w:p>
    <w:p>
      <w:pPr>
        <w:pStyle w:val="Heading2"/>
        <w:spacing w:after="150" w:before="300"/>
      </w:pPr>
      <w:r>
        <w:t xml:space="preserve">Nomes coincidentes não são necessariamente duplicados</w:t>
      </w:r>
    </w:p>
    <w:p>
      <w:pPr>
        <w:spacing w:after="160"/>
      </w:pPr>
      <w:r>
        <w:t xml:space="preserve">O Google Places pode devolver o mesmo nome de exibição para entidades categoricamente distintas (ex.: uma praia como feature natural ampla vs. um ponto de interesse específico dentro dela; ou um local turístico vs. um estabelecimento comercial com o mesmo nome informal). google_types e o source_query_text que originou o resultado são os sinais mais fiáveis para distinguir — mais do que a distância entre coordenadas.</w:t>
      </w:r>
    </w:p>
    <w:p>
      <w:pPr>
        <w:pStyle w:val="Heading2"/>
        <w:spacing w:after="150" w:before="300"/>
      </w:pPr>
      <w:r>
        <w:t xml:space="preserve">Nome curado tem precedência sobre nome bruto</w:t>
      </w:r>
    </w:p>
    <w:p>
      <w:pPr>
        <w:spacing w:after="160"/>
      </w:pPr>
      <w:r>
        <w:t xml:space="preserve">Quando a revisão humana identificar um nome ambíguo (ex.: dois "Canto do Forte" distintos), a correcção é feita em venues_staging.name — nunca em raw_venue_items.name, que permanece imutável como registo da fonte original. venues_staging.name, quando preenchido e não-vazio, sobrepõe-se ao nome bruto na publicação.</w:t>
      </w:r>
    </w:p>
    <w:p>
      <w:pPr>
        <w:pStyle w:val="Heading2"/>
        <w:spacing w:after="150" w:before="300"/>
      </w:pPr>
      <w:r>
        <w:t xml:space="preserve">Activities dependem de venues terem sido resolvidos primeiro</w:t>
      </w:r>
    </w:p>
    <w:p>
      <w:pPr>
        <w:spacing w:after="160"/>
      </w:pPr>
      <w:r>
        <w:t xml:space="preserve">A ordem venues-antes-de-activities na publicação não é arbitrária — activities matched só resolvem venue_id depois do venue correspondente ter sido de facto publicado. No --preview (que nunca escreve), isto aparece como PENDING_PUBLICATION em vez de um venue_id real; na publicação de facto, resolve-se correctamente porque VenuePublisher completa antes de ActivityPublisher começar.</w:t>
      </w:r>
    </w:p>
    <w:p>
      <w:pPr>
        <w:pStyle w:val="Heading2"/>
        <w:spacing w:after="150" w:before="300"/>
      </w:pPr>
      <w:r>
        <w:t xml:space="preserve">Activities com data podem expirar antes de serem publicadas</w:t>
      </w:r>
    </w:p>
    <w:p>
      <w:pPr>
        <w:spacing w:after="160"/>
      </w:pPr>
      <w:r>
        <w:t xml:space="preserve">Uma activity nunca publicada, sem nenhuma ocorrência futura, é correctamente ignorada (skip_expired) — não é um erro nem uma falha de curadoria, é a política ADR-0020 a funcionar. Isto é mais comum em regiões novas com conteúdo histórico misturado (notícias antigas, eventos passados) na mesma fonte que activities futuras reais.</w:t>
      </w:r>
    </w:p>
    <w:p>
      <w:pPr>
        <w:pStyle w:val="Heading2"/>
        <w:spacing w:after="150" w:before="300"/>
      </w:pPr>
      <w:r>
        <w:t xml:space="preserve">O funil de activities pode surpreender</w:t>
      </w:r>
    </w:p>
    <w:p>
      <w:pPr>
        <w:spacing w:after="160"/>
      </w:pPr>
      <w:r>
        <w:t xml:space="preserve">Em Cabo Frio, de 27 activities em staging, só 4 eram elegíveis para publicação (23 ficaram unresolved). Isto não é sinal de falha — é o estado normal de uma região onde Entity Resolution e Human Review ainda estão a processar o volume inicial de ingestão. O --preview mostra este funil explicitamente para não ser preciso adivinhar.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2026-07-13T22:13:44.829Z</dcterms:created>
  <dcterms:modified xsi:type="dcterms:W3CDTF">2026-07-13T22:13:44.829Z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