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F766E"/>
          <w:sz w:val="20"/>
        </w:rPr>
        <w:t>KOMPLIANCE PLATFORM</w:t>
      </w:r>
    </w:p>
    <w:p>
      <w:pPr>
        <w:spacing w:after="80"/>
      </w:pPr>
      <w:r>
        <w:rPr>
          <w:b/>
          <w:color w:val="17365D"/>
          <w:sz w:val="56"/>
        </w:rPr>
        <w:t>Priority Answers Required</w:t>
      </w:r>
    </w:p>
    <w:p>
      <w:pPr>
        <w:spacing w:after="240"/>
        <w:pBdr>
          <w:bottom w:val="single" w:sz="20" w:space="6" w:color="0F766E"/>
        </w:pBdr>
      </w:pPr>
      <w:r>
        <w:rPr>
          <w:color w:val="2E74B5"/>
          <w:sz w:val="36"/>
        </w:rPr>
        <w:t>Marcelo Decision Form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E4E7EC"/>
          <w:left w:val="single" w:sz="2" w:color="E4E7EC"/>
          <w:bottom w:val="single" w:sz="2" w:color="E4E7EC"/>
          <w:right w:val="single" w:sz="2" w:color="E4E7EC"/>
          <w:insideH w:val="single" w:sz="2" w:color="E4E7EC"/>
          <w:insideV w:val="single" w:sz="2" w:color="E4E7EC"/>
        </w:tblBorders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2100"/>
            <w:tcMar>
              <w:top w:w="55" w:type="dxa"/>
              <w:start w:w="120" w:type="dxa"/>
              <w:bottom w:w="55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color w:val="667085"/>
                <w:sz w:val="16"/>
              </w:rPr>
              <w:t>Prepared for</w:t>
            </w:r>
          </w:p>
        </w:tc>
        <w:tc>
          <w:tcPr>
            <w:tcW w:type="dxa" w:w="7260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spacing w:after="0"/>
            </w:pPr>
            <w:r>
              <w:t>Marcelo — priority customer decisions</w:t>
            </w:r>
          </w:p>
        </w:tc>
      </w:tr>
      <w:tr>
        <w:trPr>
          <w:cantSplit/>
        </w:trPr>
        <w:tc>
          <w:tcPr>
            <w:tcW w:type="dxa" w:w="2100"/>
            <w:tcMar>
              <w:top w:w="55" w:type="dxa"/>
              <w:start w:w="120" w:type="dxa"/>
              <w:bottom w:w="55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color w:val="667085"/>
                <w:sz w:val="16"/>
              </w:rPr>
              <w:t>Status date</w:t>
            </w:r>
          </w:p>
        </w:tc>
        <w:tc>
          <w:tcPr>
            <w:tcW w:type="dxa" w:w="7260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spacing w:after="0"/>
            </w:pPr>
            <w:r>
              <w:t>22 July 2026</w:t>
            </w:r>
          </w:p>
        </w:tc>
      </w:tr>
      <w:tr>
        <w:trPr>
          <w:cantSplit/>
        </w:trPr>
        <w:tc>
          <w:tcPr>
            <w:tcW w:type="dxa" w:w="2100"/>
            <w:tcMar>
              <w:top w:w="55" w:type="dxa"/>
              <w:start w:w="120" w:type="dxa"/>
              <w:bottom w:w="55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color w:val="667085"/>
                <w:sz w:val="16"/>
              </w:rPr>
              <w:t>Decision set</w:t>
            </w:r>
          </w:p>
        </w:tc>
        <w:tc>
          <w:tcPr>
            <w:tcW w:type="dxa" w:w="7260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spacing w:after="0"/>
            </w:pPr>
            <w:r>
              <w:t>38 priority answers across five blocking areas</w:t>
            </w:r>
          </w:p>
        </w:tc>
      </w:tr>
      <w:tr>
        <w:trPr>
          <w:cantSplit/>
        </w:trPr>
        <w:tc>
          <w:tcPr>
            <w:tcW w:type="dxa" w:w="2100"/>
            <w:tcMar>
              <w:top w:w="55" w:type="dxa"/>
              <w:start w:w="120" w:type="dxa"/>
              <w:bottom w:w="55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color w:val="667085"/>
                <w:sz w:val="16"/>
              </w:rPr>
              <w:t>Immediate outcome</w:t>
            </w:r>
          </w:p>
        </w:tc>
        <w:tc>
          <w:tcPr>
            <w:tcW w:type="dxa" w:w="7260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spacing w:after="0"/>
            </w:pPr>
            <w:r>
              <w:t>Confirm pilot ownership and remove avoidable release uncertainty</w:t>
            </w:r>
          </w:p>
        </w:tc>
      </w:tr>
    </w:tbl>
    <w:p>
      <w:pPr>
        <w:pStyle w:val="Heading1"/>
      </w:pPr>
      <w:r>
        <w:t>Why these answers are needed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DBEAFE"/>
          <w:left w:val="single" w:sz="2" w:color="DBEAFE"/>
          <w:bottom w:val="single" w:sz="2" w:color="DBEAFE"/>
          <w:right w:val="single" w:sz="2" w:color="DBEAFE"/>
          <w:insideH w:val="single" w:sz="2" w:color="DBEAFE"/>
          <w:insideV w:val="single" w:sz="2" w:color="DBEAFE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DBEAFE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b/>
                <w:color w:val="1E40AF"/>
                <w:sz w:val="18"/>
              </w:rPr>
              <w:t>FOCUSED DECISION PACK</w:t>
            </w:r>
          </w:p>
          <w:p>
            <w:pPr>
              <w:spacing w:after="0"/>
            </w:pPr>
            <w:r>
              <w:rPr>
                <w:b/>
                <w:color w:val="27364A"/>
                <w:sz w:val="22"/>
              </w:rPr>
              <w:t>This document extracts only the priority decisions from the full 101-question questionnaire. Marcelo can answer directly, nominate the correct owner, or give a target date. These answers do not replace legal or security review where specialist approval is required.</w:t>
            </w:r>
          </w:p>
        </w:tc>
      </w:tr>
    </w:tbl>
    <w:p/>
    <w:p>
      <w:pPr>
        <w:pStyle w:val="ListBullet"/>
      </w:pPr>
      <w:r>
        <w:t>Answer pilot sign-off items first; they determine the acceptance session and immediate release decision.</w:t>
      </w:r>
    </w:p>
    <w:p>
      <w:pPr>
        <w:pStyle w:val="ListBullet"/>
      </w:pPr>
      <w:r>
        <w:t>For commercial-launch items, record the responsible owner and target date if the final decision is not yet available.</w:t>
      </w:r>
    </w:p>
    <w:p>
      <w:pPr>
        <w:pStyle w:val="ListBullet"/>
      </w:pPr>
      <w:r>
        <w:t>Do not enter passwords, OAuth values, recovery codes, private keys or personal-data examples in this document.</w:t>
      </w:r>
    </w:p>
    <w:p>
      <w:pPr>
        <w:pStyle w:val="ListBullet"/>
      </w:pPr>
      <w:r>
        <w:t>Accepted answers should be copied into the release checklist, operating procedures and project issue tracker.</w:t>
      </w:r>
    </w:p>
    <w:p>
      <w:r>
        <w:br w:type="page"/>
      </w:r>
    </w:p>
    <w:p>
      <w:pPr>
        <w:pStyle w:val="Heading1"/>
        <w:keepNext/>
      </w:pPr>
      <w:r>
        <w:t>1. Acceptance scope and decision owners</w:t>
      </w:r>
    </w:p>
    <w:p>
      <w:pPr>
        <w:keepNext/>
        <w:spacing w:after="120"/>
      </w:pPr>
      <w:r>
        <w:t>These answers define what Marcelo is accepting, who may decide, and when the pilot can close.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62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436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Question and reason</w:t>
            </w:r>
          </w:p>
        </w:tc>
        <w:tc>
          <w:tcPr>
            <w:tcW w:type="dxa" w:w="304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Marcelo response</w:t>
            </w:r>
          </w:p>
        </w:tc>
        <w:tc>
          <w:tcPr>
            <w:tcW w:type="dxa" w:w="134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Gate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1.2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Which parts of the platform must work for Marcelo to accept the current pilot?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Acceptance needs a defined minimum scope.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List the must-pass workflows.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DCFCE7"/>
          </w:tcPr>
          <w:p>
            <w:pPr>
              <w:spacing w:after="0"/>
            </w:pPr>
            <w:r>
              <w:rPr>
                <w:b/>
                <w:color w:val="166534"/>
                <w:sz w:val="15"/>
              </w:rPr>
              <w:t>Pilot sign-off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1.4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Who is the business owner authorised to accept or reject the pilot?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A named decision-maker is required.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Name, role and contact method.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DCFCE7"/>
          </w:tcPr>
          <w:p>
            <w:pPr>
              <w:spacing w:after="0"/>
            </w:pPr>
            <w:r>
              <w:rPr>
                <w:b/>
                <w:color w:val="166534"/>
                <w:sz w:val="15"/>
              </w:rPr>
              <w:t>Pilot sign-off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1.5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Who will be the technical owner for defects, releases and operational decisions?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The platform needs a named technical counterpart.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Name, role and contact method.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DCFCE7"/>
          </w:tcPr>
          <w:p>
            <w:pPr>
              <w:spacing w:after="0"/>
            </w:pPr>
            <w:r>
              <w:rPr>
                <w:b/>
                <w:color w:val="166534"/>
                <w:sz w:val="15"/>
              </w:rPr>
              <w:t>Pilot sign-off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1.6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Which company, sites and teams should participate in the first acceptance test?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Testing should cover representative operations without widening data access unnecessarily.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Company, site and team list.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DCFCE7"/>
          </w:tcPr>
          <w:p>
            <w:pPr>
              <w:spacing w:after="0"/>
            </w:pPr>
            <w:r>
              <w:rPr>
                <w:b/>
                <w:color w:val="166534"/>
                <w:sz w:val="15"/>
              </w:rPr>
              <w:t>Pilot sign-off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1.7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What date should pilot testing start and when is the acceptance decision expected?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A defined window is needed for triage and release planning.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Start date, end date and decision meeting.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DCFCE7"/>
          </w:tcPr>
          <w:p>
            <w:pPr>
              <w:spacing w:after="0"/>
            </w:pPr>
            <w:r>
              <w:rPr>
                <w:b/>
                <w:color w:val="166534"/>
                <w:sz w:val="15"/>
              </w:rPr>
              <w:t>Pilot sign-off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12.3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What severity definitions should be used for blocking, high, normal and cosmetic defects?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Release decisions need consistent triage.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Define impact and response for each severity.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DCFCE7"/>
          </w:tcPr>
          <w:p>
            <w:pPr>
              <w:spacing w:after="0"/>
            </w:pPr>
            <w:r>
              <w:rPr>
                <w:b/>
                <w:color w:val="166534"/>
                <w:sz w:val="15"/>
              </w:rPr>
              <w:t>Pilot sign-off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12.4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Which defect severities must be closed before acceptance?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Accepted-with-conditions needs a clear rule.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Choose blocking criteria and permitted deferrals.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DCFCE7"/>
          </w:tcPr>
          <w:p>
            <w:pPr>
              <w:spacing w:after="0"/>
            </w:pPr>
            <w:r>
              <w:rPr>
                <w:b/>
                <w:color w:val="166534"/>
                <w:sz w:val="15"/>
              </w:rPr>
              <w:t>Pilot sign-off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12.7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Who signs the business, technical and pilot-user acceptance record?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All three approvals are listed in the current checklist.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Name and role for each signature.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DCFCE7"/>
          </w:tcPr>
          <w:p>
            <w:pPr>
              <w:spacing w:after="0"/>
            </w:pPr>
            <w:r>
              <w:rPr>
                <w:b/>
                <w:color w:val="166534"/>
                <w:sz w:val="15"/>
              </w:rPr>
              <w:t>Pilot sign-off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12.9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After acceptance, what is the exact next release scope?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Single-company production, multi-company rollout and public demo have different gates.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Choose scope, target users and target date.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FEF3C7"/>
          </w:tcPr>
          <w:p>
            <w:pPr>
              <w:spacing w:after="0"/>
            </w:pPr>
            <w:r>
              <w:rPr>
                <w:b/>
                <w:color w:val="92400E"/>
                <w:sz w:val="15"/>
              </w:rPr>
              <w:t>Commercial launch</w:t>
            </w:r>
          </w:p>
        </w:tc>
      </w:tr>
    </w:tbl>
    <w:p>
      <w:pPr>
        <w:pStyle w:val="Heading1"/>
        <w:keepNext/>
      </w:pPr>
      <w:r>
        <w:t>2. Roles and permissions</w:t>
      </w:r>
    </w:p>
    <w:p>
      <w:pPr>
        <w:keepNext/>
        <w:spacing w:after="120"/>
      </w:pPr>
      <w:r>
        <w:t>These answers determine who may view, download, change, approve and administer information.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62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436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Question and reason</w:t>
            </w:r>
          </w:p>
        </w:tc>
        <w:tc>
          <w:tcPr>
            <w:tcW w:type="dxa" w:w="304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Marcelo response</w:t>
            </w:r>
          </w:p>
        </w:tc>
        <w:tc>
          <w:tcPr>
            <w:tcW w:type="dxa" w:w="134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Gate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2.1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Which user roles are required at launch?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The current product includes Administrator, Editor and Viewer roles plus worker access.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Confirm roles and add any missing roles.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DCFCE7"/>
          </w:tcPr>
          <w:p>
            <w:pPr>
              <w:spacing w:after="0"/>
            </w:pPr>
            <w:r>
              <w:rPr>
                <w:b/>
                <w:color w:val="166534"/>
                <w:sz w:val="15"/>
              </w:rPr>
              <w:t>Pilot sign-off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2.2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What may an Administrator create, edit, delete, export and approve?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Administrative power must be explicit.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Describe allowed and prohibited actions.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FEF3C7"/>
          </w:tcPr>
          <w:p>
            <w:pPr>
              <w:spacing w:after="0"/>
            </w:pPr>
            <w:r>
              <w:rPr>
                <w:b/>
                <w:color w:val="92400E"/>
                <w:sz w:val="15"/>
              </w:rPr>
              <w:t>Commercial launch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2.3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What may an Editor create or change, and which actions require approval?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Current Editors can manage local workflows but not users or system settings.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Confirm or correct the permission boundary.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DCFCE7"/>
          </w:tcPr>
          <w:p>
            <w:pPr>
              <w:spacing w:after="0"/>
            </w:pPr>
            <w:r>
              <w:rPr>
                <w:b/>
                <w:color w:val="166534"/>
                <w:sz w:val="15"/>
              </w:rPr>
              <w:t>Pilot sign-off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2.4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Should Viewers be allowed to download documents, or only view them in the browser?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Viewing and downloading are separate data-access decisions.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Choose: view only / view and download / category-based.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DCFCE7"/>
          </w:tcPr>
          <w:p>
            <w:pPr>
              <w:spacing w:after="0"/>
            </w:pPr>
            <w:r>
              <w:rPr>
                <w:b/>
                <w:color w:val="166534"/>
                <w:sz w:val="15"/>
              </w:rPr>
              <w:t>Pilot sign-off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2.5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Which roles may access personal, medical, emergency-contact and certification information?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Sensitive worker fields need least-privilege rules.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Role-to-field access matrix.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FEF3C7"/>
          </w:tcPr>
          <w:p>
            <w:pPr>
              <w:spacing w:after="0"/>
            </w:pPr>
            <w:r>
              <w:rPr>
                <w:b/>
                <w:color w:val="92400E"/>
                <w:sz w:val="15"/>
              </w:rPr>
              <w:t>Commercial launch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2.6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Is authenticator-app MFA mandatory for Administrators, Editors, all company users, or optional?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MFA is implemented but enrolment policy is a business decision.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Choose users, enforcement date and recovery owner.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DCFCE7"/>
          </w:tcPr>
          <w:p>
            <w:pPr>
              <w:spacing w:after="0"/>
            </w:pPr>
            <w:r>
              <w:rPr>
                <w:b/>
                <w:color w:val="166534"/>
                <w:sz w:val="15"/>
              </w:rPr>
              <w:t>Pilot sign-off</w:t>
            </w:r>
          </w:p>
        </w:tc>
      </w:tr>
    </w:tbl>
    <w:p>
      <w:pPr>
        <w:pStyle w:val="Heading1"/>
        <w:keepNext/>
      </w:pPr>
      <w:r>
        <w:t>3. Retention, privacy and sensitive information</w:t>
      </w:r>
    </w:p>
    <w:p>
      <w:pPr>
        <w:keepNext/>
        <w:spacing w:after="120"/>
      </w:pPr>
      <w:r>
        <w:t>These answers are required to approve how personal information and records are stored and removed.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62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436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Question and reason</w:t>
            </w:r>
          </w:p>
        </w:tc>
        <w:tc>
          <w:tcPr>
            <w:tcW w:type="dxa" w:w="304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Marcelo response</w:t>
            </w:r>
          </w:p>
        </w:tc>
        <w:tc>
          <w:tcPr>
            <w:tcW w:type="dxa" w:w="134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Gate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3.3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Should optional medical information be stored at all?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Medical data is special-category personal data and needs a clear lawful purpose.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Choose: no / yes; provide purpose, access and retention.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FEF3C7"/>
          </w:tcPr>
          <w:p>
            <w:pPr>
              <w:spacing w:after="0"/>
            </w:pPr>
            <w:r>
              <w:rPr>
                <w:b/>
                <w:color w:val="92400E"/>
                <w:sz w:val="15"/>
              </w:rPr>
              <w:t>Commercial launch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3.10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Should workers be able to close their account, and what information must be retained afterward?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Account closure and statutory/audit retention need defined rules.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Describe deletion, anonymisation and retention.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FEF3C7"/>
          </w:tcPr>
          <w:p>
            <w:pPr>
              <w:spacing w:after="0"/>
            </w:pPr>
            <w:r>
              <w:rPr>
                <w:b/>
                <w:color w:val="92400E"/>
                <w:sz w:val="15"/>
              </w:rPr>
              <w:t>Commercial launch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4.10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How long must documents and document versions be retained?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Retention must match operational and legal requirements.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Retention by category and deletion authority.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FEF3C7"/>
          </w:tcPr>
          <w:p>
            <w:pPr>
              <w:spacing w:after="0"/>
            </w:pPr>
            <w:r>
              <w:rPr>
                <w:b/>
                <w:color w:val="92400E"/>
                <w:sz w:val="15"/>
              </w:rPr>
              <w:t>Commercial launch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8.8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How long should migration packages, source exports and reconciliation reports be retained?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These artifacts may contain personal data and need lifecycle controls.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Retention and secure-destruction rule.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FEF3C7"/>
          </w:tcPr>
          <w:p>
            <w:pPr>
              <w:spacing w:after="0"/>
            </w:pPr>
            <w:r>
              <w:rPr>
                <w:b/>
                <w:color w:val="92400E"/>
                <w:sz w:val="15"/>
              </w:rPr>
              <w:t>Commercial launch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9.1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Who is the approved privacy contact shown to users?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The platform needs a real privacy owner and contact channel.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Name, role, email/phone and escalation route.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DCFCE7"/>
          </w:tcPr>
          <w:p>
            <w:pPr>
              <w:spacing w:after="0"/>
            </w:pPr>
            <w:r>
              <w:rPr>
                <w:b/>
                <w:color w:val="166534"/>
                <w:sz w:val="15"/>
              </w:rPr>
              <w:t>Pilot sign-off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9.2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What is the lawful basis for processing worker profiles, documents, medical data and cross-company sharing?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Irish/EU privacy compliance requires a documented basis by purpose.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Legal/privacy owner response by data purpose.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FEF3C7"/>
          </w:tcPr>
          <w:p>
            <w:pPr>
              <w:spacing w:after="0"/>
            </w:pPr>
            <w:r>
              <w:rPr>
                <w:b/>
                <w:color w:val="92400E"/>
                <w:sz w:val="15"/>
              </w:rPr>
              <w:t>Commercial launch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9.3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Which entity is controller and which entities are processors for each workflow?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Multi-company sharing changes controller/processor responsibilities.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Provide responsibility model and DPA owner.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FEF3C7"/>
          </w:tcPr>
          <w:p>
            <w:pPr>
              <w:spacing w:after="0"/>
            </w:pPr>
            <w:r>
              <w:rPr>
                <w:b/>
                <w:color w:val="92400E"/>
                <w:sz w:val="15"/>
              </w:rPr>
              <w:t>Commercial launch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9.4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What retention period applies to accounts, documents, submissions, certificates, messages, notifications and audit logs?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Current protected records are never removed by local cleanup.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Retention schedule by record type.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FEF3C7"/>
          </w:tcPr>
          <w:p>
            <w:pPr>
              <w:spacing w:after="0"/>
            </w:pPr>
            <w:r>
              <w:rPr>
                <w:b/>
                <w:color w:val="92400E"/>
                <w:sz w:val="15"/>
              </w:rPr>
              <w:t>Commercial launch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9.5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How should access, correction, restriction, portability and erasure requests be handled?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Data-subject request operations need owner, verification and response timing.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Process owner and SLA.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FEF3C7"/>
          </w:tcPr>
          <w:p>
            <w:pPr>
              <w:spacing w:after="0"/>
            </w:pPr>
            <w:r>
              <w:rPr>
                <w:b/>
                <w:color w:val="92400E"/>
                <w:sz w:val="15"/>
              </w:rPr>
              <w:t>Commercial launch</w:t>
            </w:r>
          </w:p>
        </w:tc>
      </w:tr>
    </w:tbl>
    <w:p>
      <w:pPr>
        <w:pStyle w:val="Heading1"/>
        <w:keepNext/>
      </w:pPr>
      <w:r>
        <w:t>4. Responsible contacts and routing</w:t>
      </w:r>
    </w:p>
    <w:p>
      <w:pPr>
        <w:keepNext/>
        <w:spacing w:after="120"/>
      </w:pPr>
      <w:r>
        <w:t>These answers ensure requests, reviews, incidents and delivery failures always reach a named owner.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62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436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Question and reason</w:t>
            </w:r>
          </w:p>
        </w:tc>
        <w:tc>
          <w:tcPr>
            <w:tcW w:type="dxa" w:w="304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Marcelo response</w:t>
            </w:r>
          </w:p>
        </w:tc>
        <w:tc>
          <w:tcPr>
            <w:tcW w:type="dxa" w:w="134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Gate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5.2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Which departments exist and who is the responsible contact for each?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Routing requires approved Safety, HR, Plant, Training and Administration contacts or their replacements.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Department, primary contact and backup contact.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DCFCE7"/>
          </w:tcPr>
          <w:p>
            <w:pPr>
              <w:spacing w:after="0"/>
            </w:pPr>
            <w:r>
              <w:rPr>
                <w:b/>
                <w:color w:val="166534"/>
                <w:sz w:val="15"/>
              </w:rPr>
              <w:t>Pilot sign-off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5.3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How should requests be routed when a department contact is absent or inactive?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Fallback ownership prevents unhandled requests.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Define fallback and escalation order.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FEF3C7"/>
          </w:tcPr>
          <w:p>
            <w:pPr>
              <w:spacing w:after="0"/>
            </w:pPr>
            <w:r>
              <w:rPr>
                <w:b/>
                <w:color w:val="92400E"/>
                <w:sz w:val="15"/>
              </w:rPr>
              <w:t>Commercial launch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5.6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Who may approve or decline an induction?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The platform records reviewer, date, decision, comments and history.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Role/site/company approval matrix.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DCFCE7"/>
          </w:tcPr>
          <w:p>
            <w:pPr>
              <w:spacing w:after="0"/>
            </w:pPr>
            <w:r>
              <w:rPr>
                <w:b/>
                <w:color w:val="166534"/>
                <w:sz w:val="15"/>
              </w:rPr>
              <w:t>Pilot sign-off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6.3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Who should receive expiry reminders for worker, company, plant, equipment and site records?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Recipients must be approved before automation is enabled.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Role/contact per record type.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DCFCE7"/>
          </w:tcPr>
          <w:p>
            <w:pPr>
              <w:spacing w:after="0"/>
            </w:pPr>
            <w:r>
              <w:rPr>
                <w:b/>
                <w:color w:val="166534"/>
                <w:sz w:val="15"/>
              </w:rPr>
              <w:t>Pilot sign-off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6.9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Who will monitor failed deliveries and retry or escalate them?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Delivery history and retries exist but need operational ownership.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Name role and response target.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FEF3C7"/>
          </w:tcPr>
          <w:p>
            <w:pPr>
              <w:spacing w:after="0"/>
            </w:pPr>
            <w:r>
              <w:rPr>
                <w:b/>
                <w:color w:val="92400E"/>
                <w:sz w:val="15"/>
              </w:rPr>
              <w:t>Commercial launch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9.7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Who is responsible for incident response and notifying affected organisations or individuals?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A live service needs a documented response chain.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Names, contact route and escalation times.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FEF3C7"/>
          </w:tcPr>
          <w:p>
            <w:pPr>
              <w:spacing w:after="0"/>
            </w:pPr>
            <w:r>
              <w:rPr>
                <w:b/>
                <w:color w:val="92400E"/>
                <w:sz w:val="15"/>
              </w:rPr>
              <w:t>Commercial launch</w:t>
            </w:r>
          </w:p>
        </w:tc>
      </w:tr>
    </w:tbl>
    <w:p>
      <w:pPr>
        <w:pStyle w:val="Heading1"/>
        <w:keepNext/>
      </w:pPr>
      <w:r>
        <w:t>5. Notification and scheduler rules</w:t>
      </w:r>
    </w:p>
    <w:p>
      <w:pPr>
        <w:keepNext/>
        <w:spacing w:after="120"/>
      </w:pPr>
      <w:r>
        <w:t>These answers must be approved before automated reminders are enabled.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62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436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Question and reason</w:t>
            </w:r>
          </w:p>
        </w:tc>
        <w:tc>
          <w:tcPr>
            <w:tcW w:type="dxa" w:w="304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Marcelo response</w:t>
            </w:r>
          </w:p>
        </w:tc>
        <w:tc>
          <w:tcPr>
            <w:tcW w:type="dxa" w:w="134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Gate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6.1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Which notifications must be sent in-app, by email, by SMS or by push?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In-app and Gmail send capability exist; SMS/push need providers.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Event-to-channel matrix.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FEF3C7"/>
          </w:tcPr>
          <w:p>
            <w:pPr>
              <w:spacing w:after="0"/>
            </w:pPr>
            <w:r>
              <w:rPr>
                <w:b/>
                <w:color w:val="92400E"/>
                <w:sz w:val="15"/>
              </w:rPr>
              <w:t>Commercial launch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6.2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May users choose their own notification channels, or are some messages mandatory?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Preferences are implemented, but mandatory safety notices may override them.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Define optional and mandatory channels.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FEF3C7"/>
          </w:tcPr>
          <w:p>
            <w:pPr>
              <w:spacing w:after="0"/>
            </w:pPr>
            <w:r>
              <w:rPr>
                <w:b/>
                <w:color w:val="92400E"/>
                <w:sz w:val="15"/>
              </w:rPr>
              <w:t>Commercial launch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6.4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Which reminder intervals are required?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The platform supports 7, 14, 30, 60 and 90-day windows.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Choose intervals by category.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DCFCE7"/>
          </w:tcPr>
          <w:p>
            <w:pPr>
              <w:spacing w:after="0"/>
            </w:pPr>
            <w:r>
              <w:rPr>
                <w:b/>
                <w:color w:val="166534"/>
                <w:sz w:val="15"/>
              </w:rPr>
              <w:t>Pilot sign-off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6.5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Should reminders repeat after the first message, and when should they stop?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Deduplication exists; escalation cadence needs a business rule.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Define repeats, escalation and stop condition.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FEF3C7"/>
          </w:tcPr>
          <w:p>
            <w:pPr>
              <w:spacing w:after="0"/>
            </w:pPr>
            <w:r>
              <w:rPr>
                <w:b/>
                <w:color w:val="92400E"/>
                <w:sz w:val="15"/>
              </w:rPr>
              <w:t>Commercial launch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6.6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Is the current Gmail sender acceptable for the pilot, and what sender identity should be used commercially?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A controlled live send was accepted by Gmail; a business sender identity still needs approval.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Pilot sender and future sender address/display name.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DCFCE7"/>
          </w:tcPr>
          <w:p>
            <w:pPr>
              <w:spacing w:after="0"/>
            </w:pPr>
            <w:r>
              <w:rPr>
                <w:b/>
                <w:color w:val="166534"/>
                <w:sz w:val="15"/>
              </w:rPr>
              <w:t>Pilot sign-off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6.7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Who authorises enabling the automatic scheduler?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The scheduler is intentionally disabled until recipients, intervals and governance are approved.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Name approver and prerequisites.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DCFCE7"/>
          </w:tcPr>
          <w:p>
            <w:pPr>
              <w:spacing w:after="0"/>
            </w:pPr>
            <w:r>
              <w:rPr>
                <w:b/>
                <w:color w:val="166534"/>
                <w:sz w:val="15"/>
              </w:rPr>
              <w:t>Pilot sign-off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6.8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Are SMS and push notifications launch requirements or later enhancements?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No provider has been selected.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Choose launch gate / later phase / not required.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FEF3C7"/>
          </w:tcPr>
          <w:p>
            <w:pPr>
              <w:spacing w:after="0"/>
            </w:pPr>
            <w:r>
              <w:rPr>
                <w:b/>
                <w:color w:val="92400E"/>
                <w:sz w:val="15"/>
              </w:rPr>
              <w:t>Commercial launch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12.6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Who approves enabling automated reminders after the controlled email test?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Scheduler activation is a separate release action.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Name approver and acceptance evidence.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DCFCE7"/>
          </w:tcPr>
          <w:p>
            <w:pPr>
              <w:spacing w:after="0"/>
            </w:pPr>
            <w:r>
              <w:rPr>
                <w:b/>
                <w:color w:val="166534"/>
                <w:sz w:val="15"/>
              </w:rPr>
              <w:t>Pilot sign-off</w:t>
            </w:r>
          </w:p>
        </w:tc>
      </w:tr>
    </w:tbl>
    <w:p>
      <w:pPr>
        <w:pStyle w:val="Heading1"/>
      </w:pPr>
      <w:r>
        <w:t>Decision completion record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Current status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Awaiting Marcelo’s priority answers</w:t>
            </w:r>
          </w:p>
        </w:tc>
      </w:tr>
      <w:tr>
        <w:trPr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Pilot decision owner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To be named in section 1</w:t>
            </w:r>
          </w:p>
        </w:tc>
      </w:tr>
      <w:tr>
        <w:trPr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Technical decision owner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To be named in section 1</w:t>
            </w:r>
          </w:p>
        </w:tc>
      </w:tr>
      <w:tr>
        <w:trPr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Notification approval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Scheduler remains disabled until section 5 is approved</w:t>
            </w:r>
          </w:p>
        </w:tc>
      </w:tr>
      <w:tr>
        <w:trPr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Next action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Review responses, update the acceptance checklist and assign unresolved commercial items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FEF3C7"/>
          <w:left w:val="single" w:sz="2" w:color="FEF3C7"/>
          <w:bottom w:val="single" w:sz="2" w:color="FEF3C7"/>
          <w:right w:val="single" w:sz="2" w:color="FEF3C7"/>
          <w:insideH w:val="single" w:sz="2" w:color="FEF3C7"/>
          <w:insideV w:val="single" w:sz="2" w:color="FEF3C7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EF3C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b/>
                <w:color w:val="92400E"/>
                <w:sz w:val="18"/>
              </w:rPr>
              <w:t>RELEASE CONTROL</w:t>
            </w:r>
          </w:p>
          <w:p>
            <w:pPr>
              <w:spacing w:after="0"/>
            </w:pPr>
            <w:r>
              <w:rPr>
                <w:b/>
                <w:color w:val="27364A"/>
                <w:sz w:val="22"/>
              </w:rPr>
              <w:t>The platform remains suitable for controlled testing. Commercial launch and automated reminders remain conditional on the approvals recorded in this form and the release checklist.</w:t>
            </w:r>
          </w:p>
        </w:tc>
      </w:tr>
    </w:tbl>
    <w:p>
      <w:pPr>
        <w:spacing w:before="280"/>
        <w:jc w:val="center"/>
      </w:pPr>
      <w:r>
        <w:rPr>
          <w:b/>
          <w:color w:val="667085"/>
          <w:sz w:val="16"/>
        </w:rPr>
        <w:t>END OF PRIORITY DECISION FORM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152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7085"/>
        <w:sz w:val="16"/>
      </w:rPr>
      <w:t xml:space="preserve">Confidential — priority decision form  •  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6" w:color="D0D5DD"/>
      </w:pBdr>
    </w:pPr>
    <w:r>
      <w:rPr>
        <w:rFonts w:ascii="Calibri" w:hAnsi="Calibri"/>
        <w:b/>
        <w:color w:val="17365D"/>
        <w:sz w:val="16"/>
      </w:rPr>
      <w:t>KOMPLIANCE  |  PRIORITY ANSWERS FROM MARCELO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4" w:lineRule="auto"/>
    </w:pPr>
    <w:rPr>
      <w:rFonts w:ascii="Calibri" w:hAnsi="Calibri"/>
      <w:color w:val="34405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/>
      <w:color w:val="344054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/>
      <w:color w:val="344054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Kompliance – Priority Answers Required from Marcelo</dc:title>
  <dc:subject>Focused roles, permissions, retention, contacts and notification decision form</dc:subject>
  <dc:creator>Kompliance Project Team</dc:creator>
  <cp:keywords>Kompliance, requirements, delivery, review, pilot, compliance</cp:keywords>
  <dc:description>Focused companion to the full Questions for Marcelo questionnaire.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