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80"/>
        </w:rPr>
        <w:t>Twin KMS</w:t>
      </w:r>
    </w:p>
    <w:p>
      <w:pPr>
        <w:jc w:val="center"/>
      </w:pPr>
      <w:r>
        <w:rPr>
          <w:color w:val="5A5A5A"/>
          <w:sz w:val="40"/>
        </w:rPr>
        <w:t>QA Test Plan &amp; Outsourcing Pack</w:t>
      </w:r>
    </w:p>
    <w:p>
      <w:pPr>
        <w:jc w:val="center"/>
      </w:pPr>
      <w:r>
        <w:rPr>
          <w:sz w:val="24"/>
        </w:rPr>
        <w:t>Operator console — user stories, user flows, and screen-by-screen test scripts</w:t>
        <w:br/>
        <w:t>for E2E automation and manual (offshore) testing</w:t>
      </w:r>
    </w:p>
    <w:p/>
    <w:p/>
    <w:p/>
    <w:p/>
    <w:p/>
    <w:p/>
    <w:p/>
    <w:p/>
    <w:p>
      <w:pPr>
        <w:jc w:val="center"/>
      </w:pPr>
      <w:r>
        <w:rPr>
          <w:color w:val="5A5A5A"/>
          <w:sz w:val="22"/>
        </w:rPr>
        <w:t>Version 1.0  ·  2026-06-26  ·  CONFIDENTIAL</w:t>
        <w:br/>
        <w:t>Scope: lightrag_webui_twin (React 19 operator console) + /twin/api overlay</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Purpose &amp; how to use this document</w:t>
      </w:r>
    </w:p>
    <w:p>
      <w:pPr>
        <w:spacing w:after="120"/>
      </w:pPr>
      <w:r>
        <w:rPr>
          <w:b w:val="0"/>
          <w:i w:val="0"/>
        </w:rPr>
        <w:t>This document is the single source of truth for outsourced QA of the Twin KMS operator console. It maps the product's user stories and user flows to concrete, executable test cases, and splits them across two delivery streams:</w:t>
      </w:r>
    </w:p>
    <w:p>
      <w:pPr>
        <w:pStyle w:val="ListBullet"/>
      </w:pPr>
      <w:r>
        <w:rPr>
          <w:b/>
        </w:rPr>
        <w:t xml:space="preserve">Stream A — E2E automation. </w:t>
      </w:r>
      <w:r>
        <w:t>Automated end-to-end (E2E) regression of operator journeys against a deterministic, mocked backend (and a real backend variant). Owned by the test-automation vendor.</w:t>
      </w:r>
    </w:p>
    <w:p>
      <w:pPr>
        <w:pStyle w:val="ListBullet"/>
      </w:pPr>
      <w:r>
        <w:rPr>
          <w:b/>
        </w:rPr>
        <w:t xml:space="preserve">Stream B — Manual (offshore). </w:t>
      </w:r>
      <w:r>
        <w:t>Human, exploratory and judgement-based testing: visual fidelity, real-document ingestion, answer quality, cross-browser behaviour, and role-based access. Owned by the offshore manual QA team.</w:t>
      </w:r>
    </w:p>
    <w:p>
      <w:pPr>
        <w:spacing w:after="120"/>
      </w:pPr>
      <w:r>
        <w:rPr>
          <w:b w:val="0"/>
          <w:i w:val="0"/>
        </w:rPr>
        <w:t>Each test case below is tagged with its stream and the maximum severity to assign if it fails. The automation vendor implements / extends the E2E suite; the manual team executes the Manual cases and reports defects using the template in §3.5.</w:t>
      </w:r>
    </w:p>
    <w:tbl>
      <w:tblPr>
        <w:tblStyle w:val="TableGrid"/>
        <w:tblW w:type="auto" w:w="0"/>
        <w:tblLook w:firstColumn="1" w:firstRow="1" w:lastColumn="0" w:lastRow="0" w:noHBand="0" w:noVBand="1" w:val="04A0"/>
      </w:tblPr>
      <w:tblGrid>
        <w:gridCol w:w="8640"/>
      </w:tblGrid>
      <w:tr>
        <w:tc>
          <w:tcPr>
            <w:tcW w:type="dxa" w:w="8640"/>
            <w:shd w:val="clear" w:fill="FCE5CD"/>
          </w:tcPr>
          <w:p>
            <w:r/>
            <w:r>
              <w:rPr>
                <w:b/>
                <w:sz w:val="20"/>
              </w:rPr>
              <w:t>Read §4 (Known limitations) BEFORE testing.</w:t>
            </w:r>
          </w:p>
          <w:p>
            <w:pPr>
              <w:spacing w:after="40"/>
            </w:pPr>
            <w:r>
              <w:rPr>
                <w:b/>
              </w:rPr>
              <w:t xml:space="preserve">• </w:t>
            </w:r>
            <w:r>
              <w:rPr>
                <w:sz w:val="18"/>
              </w:rPr>
              <w:t>Several behaviours look like bugs but are documented, accepted product limitations of the 1.0.0 release. Reporting them wastes triage time. They are listed in §4 with the audit reference.</w:t>
            </w:r>
          </w:p>
        </w:tc>
      </w:tr>
    </w:tbl>
    <w:p>
      <w:pPr>
        <w:spacing w:after="120"/>
      </w:pPr>
    </w:p>
    <w:p>
      <w:pPr>
        <w:pStyle w:val="Heading1"/>
      </w:pPr>
      <w:r>
        <w:t>2. Test environments &amp; access</w:t>
      </w:r>
    </w:p>
    <w:p>
      <w:pPr>
        <w:spacing w:after="120"/>
      </w:pPr>
      <w:r>
        <w:rPr>
          <w:b w:val="0"/>
          <w:i w:val="0"/>
        </w:rPr>
        <w:t>Two builds exist. Choose the build that matches the test's intent.</w:t>
      </w:r>
    </w:p>
    <w:p>
      <w:pPr>
        <w:pStyle w:val="Heading2"/>
      </w:pPr>
      <w:r>
        <w:t>2.1 Mocked build (MSW) — default for UI / flow / visual testing</w:t>
      </w:r>
    </w:p>
    <w:p>
      <w:pPr>
        <w:spacing w:after="120"/>
      </w:pPr>
      <w:r>
        <w:rPr>
          <w:b w:val="0"/>
          <w:i w:val="0"/>
        </w:rPr>
        <w:t>The console ships with an in-browser mock backend (Mock Service Worker). All screens render realistic, deterministic data with no database, no LLM and no network dependency. This is the correct environment for Stream A regression and for most Stream B screen/flow testing.</w:t>
      </w:r>
    </w:p>
    <w:p>
      <w:pPr>
        <w:pStyle w:val="ListBullet"/>
      </w:pPr>
      <w:r>
        <w:rPr>
          <w:b/>
        </w:rPr>
        <w:t xml:space="preserve">Boot: </w:t>
      </w:r>
      <w:r>
        <w:t>cd lightrag_webui_twin &amp;&amp; bun install &amp;&amp; bun run dev</w:t>
      </w:r>
    </w:p>
    <w:p>
      <w:pPr>
        <w:pStyle w:val="ListBullet"/>
      </w:pPr>
      <w:r>
        <w:rPr>
          <w:b/>
        </w:rPr>
        <w:t xml:space="preserve">Identity: </w:t>
      </w:r>
      <w:r>
        <w:t>The dev user is an administrator, so every admin-gated control is visible.</w:t>
      </w:r>
    </w:p>
    <w:p>
      <w:pPr>
        <w:pStyle w:val="ListBullet"/>
      </w:pPr>
      <w:r>
        <w:rPr>
          <w:b/>
        </w:rPr>
        <w:t xml:space="preserve">Caveat: </w:t>
      </w:r>
      <w:r>
        <w:t>LLM answers are mock strings ("Mock retrieval response for: …") and retrieval sources are fixtures. Answer quality cannot be judged here.</w:t>
      </w:r>
    </w:p>
    <w:p>
      <w:pPr>
        <w:pStyle w:val="Heading2"/>
      </w:pPr>
      <w:r>
        <w:t>2.2 Real-backend build — for ingestion &amp; retrieval-quality testing</w:t>
      </w:r>
    </w:p>
    <w:p>
      <w:pPr>
        <w:spacing w:after="120"/>
      </w:pPr>
      <w:r>
        <w:rPr>
          <w:b w:val="0"/>
          <w:i w:val="0"/>
        </w:rPr>
        <w:t>A full runtime (Memgraph + LightRAG + LLM credentials) is required to test document ingestion, classification, real retrieval/answer quality and folder data isolation. The integration environment URL and credentials are provided separately by the Twincore team. Stream B uses this build only for the cases explicitly marked "Real backend".</w:t>
      </w:r>
    </w:p>
    <w:p>
      <w:pPr>
        <w:pStyle w:val="Heading2"/>
      </w:pPr>
      <w:r>
        <w:t>2.3 Roles &amp; permissions</w:t>
      </w:r>
    </w:p>
    <w:p>
      <w:pPr>
        <w:spacing w:after="120"/>
      </w:pPr>
      <w:r>
        <w:rPr>
          <w:b w:val="0"/>
          <w:i w:val="0"/>
        </w:rPr>
        <w:t>Access is tiered. Many controls are hidden or rejected based on the operator's role. Stream B must verify gating with each role where a real/IdP-configured environment is available.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304"/>
          </w:tcPr>
          <w:p>
            <w:r/>
            <w:r>
              <w:rPr>
                <w:b/>
                <w:sz w:val="18"/>
              </w:rPr>
              <w:t>Role / tier</w:t>
            </w:r>
          </w:p>
        </w:tc>
        <w:tc>
          <w:tcPr>
            <w:tcW w:type="dxa" w:w="3744"/>
          </w:tcPr>
          <w:p>
            <w:r/>
            <w:r>
              <w:rPr>
                <w:b/>
                <w:sz w:val="18"/>
              </w:rPr>
              <w:t>Can do</w:t>
            </w:r>
          </w:p>
        </w:tc>
        <w:tc>
          <w:tcPr>
            <w:tcW w:type="dxa" w:w="3168"/>
          </w:tcPr>
          <w:p>
            <w:r/>
            <w:r>
              <w:rPr>
                <w:b/>
                <w:sz w:val="18"/>
              </w:rPr>
              <w:t>Cannot do</w:t>
            </w:r>
          </w:p>
        </w:tc>
      </w:tr>
      <w:tr>
        <w:tc>
          <w:tcPr>
            <w:tcW w:type="dxa" w:w="2304"/>
          </w:tcPr>
          <w:p>
            <w:r/>
            <w:r>
              <w:rPr>
                <w:b w:val="0"/>
                <w:sz w:val="18"/>
              </w:rPr>
              <w:t>Reader (Tier 1)</w:t>
            </w:r>
          </w:p>
        </w:tc>
        <w:tc>
          <w:tcPr>
            <w:tcW w:type="dxa" w:w="3744"/>
          </w:tcPr>
          <w:p>
            <w:r/>
            <w:r>
              <w:rPr>
                <w:b w:val="0"/>
                <w:sz w:val="18"/>
              </w:rPr>
              <w:t>Read documents, tags, graph, activity; run retrieval queries.</w:t>
            </w:r>
          </w:p>
        </w:tc>
        <w:tc>
          <w:tcPr>
            <w:tcW w:type="dxa" w:w="3168"/>
          </w:tcPr>
          <w:p>
            <w:r/>
            <w:r>
              <w:rPr>
                <w:b w:val="0"/>
                <w:sz w:val="18"/>
              </w:rPr>
              <w:t>Approve/reject docs; create/edit/delete tags; mutate graph; manage folders or API keys.</w:t>
            </w:r>
          </w:p>
        </w:tc>
      </w:tr>
      <w:tr>
        <w:tc>
          <w:tcPr>
            <w:tcW w:type="dxa" w:w="2304"/>
          </w:tcPr>
          <w:p>
            <w:r/>
            <w:r>
              <w:rPr>
                <w:b w:val="0"/>
                <w:sz w:val="18"/>
              </w:rPr>
              <w:t>Steward / Contributor (Tier 2)</w:t>
            </w:r>
          </w:p>
        </w:tc>
        <w:tc>
          <w:tcPr>
            <w:tcW w:type="dxa" w:w="3744"/>
          </w:tcPr>
          <w:p>
            <w:r/>
            <w:r>
              <w:rPr>
                <w:b w:val="0"/>
                <w:sz w:val="18"/>
              </w:rPr>
              <w:t>Everything a Reader can, plus approve/reject documents and suggest tag edits (queued for review).</w:t>
            </w:r>
          </w:p>
        </w:tc>
        <w:tc>
          <w:tcPr>
            <w:tcW w:type="dxa" w:w="3168"/>
          </w:tcPr>
          <w:p>
            <w:r/>
            <w:r>
              <w:rPr>
                <w:b w:val="0"/>
                <w:sz w:val="18"/>
              </w:rPr>
              <w:t>In-place tag edit/delete; folder CRUD (unless granted admin:folders).</w:t>
            </w:r>
          </w:p>
        </w:tc>
      </w:tr>
      <w:tr>
        <w:tc>
          <w:tcPr>
            <w:tcW w:type="dxa" w:w="2304"/>
          </w:tcPr>
          <w:p>
            <w:r/>
            <w:r>
              <w:rPr>
                <w:b w:val="0"/>
                <w:sz w:val="18"/>
              </w:rPr>
              <w:t>Admin (Tier 3)</w:t>
            </w:r>
          </w:p>
        </w:tc>
        <w:tc>
          <w:tcPr>
            <w:tcW w:type="dxa" w:w="3744"/>
          </w:tcPr>
          <w:p>
            <w:r/>
            <w:r>
              <w:rPr>
                <w:b w:val="0"/>
                <w:sz w:val="18"/>
              </w:rPr>
              <w:t>Full CRUD on tags, graph entities/relations, folders (with admin:folders scope), API keys, tag categories; clear activity.</w:t>
            </w:r>
          </w:p>
        </w:tc>
        <w:tc>
          <w:tcPr>
            <w:tcW w:type="dxa" w:w="3168"/>
          </w:tcPr>
          <w:p>
            <w:r/>
            <w:r>
              <w:rPr>
                <w:b w:val="0"/>
                <w:sz w:val="18"/>
              </w:rPr>
              <w:t>—</w:t>
            </w:r>
          </w:p>
        </w:tc>
      </w:tr>
    </w:tbl>
    <w:p>
      <w:pPr>
        <w:spacing w:after="80"/>
      </w:pPr>
    </w:p>
    <w:p>
      <w:pPr>
        <w:spacing w:after="120"/>
      </w:pPr>
      <w:r>
        <w:rPr>
          <w:b w:val="0"/>
          <w:i/>
          <w:sz w:val="18"/>
        </w:rPr>
        <w:t>Folder administration specifically requires the admin:folders gateway scope. In a mocked build the dev user holds it; in a real build it is granted when the user's IdP groups intersect the configured admin groups.</w:t>
      </w:r>
    </w:p>
    <w:p>
      <w:pPr>
        <w:pStyle w:val="Heading1"/>
      </w:pPr>
      <w:r>
        <w:t>3. Methodology</w:t>
      </w:r>
    </w:p>
    <w:p>
      <w:pPr>
        <w:pStyle w:val="Heading2"/>
      </w:pPr>
      <w:r>
        <w:t>3.1 Identifier scheme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1872"/>
          </w:tcPr>
          <w:p>
            <w:r/>
            <w:r>
              <w:rPr>
                <w:b/>
                <w:sz w:val="18"/>
              </w:rPr>
              <w:t>Prefix</w:t>
            </w:r>
          </w:p>
        </w:tc>
        <w:tc>
          <w:tcPr>
            <w:tcW w:type="dxa" w:w="4896"/>
          </w:tcPr>
          <w:p>
            <w:r/>
            <w:r>
              <w:rPr>
                <w:b/>
                <w:sz w:val="18"/>
              </w:rPr>
              <w:t>Meaning</w:t>
            </w:r>
          </w:p>
        </w:tc>
        <w:tc>
          <w:tcPr>
            <w:tcW w:type="dxa" w:w="2448"/>
          </w:tcPr>
          <w:p>
            <w:r/>
            <w:r>
              <w:rPr>
                <w:b/>
                <w:sz w:val="18"/>
              </w:rPr>
              <w:t>Example</w:t>
            </w:r>
          </w:p>
        </w:tc>
      </w:tr>
      <w:tr>
        <w:tc>
          <w:tcPr>
            <w:tcW w:type="dxa" w:w="1872"/>
          </w:tcPr>
          <w:p>
            <w:r/>
            <w:r>
              <w:rPr>
                <w:b w:val="0"/>
                <w:sz w:val="18"/>
              </w:rPr>
              <w:t>US-xx</w:t>
            </w:r>
          </w:p>
        </w:tc>
        <w:tc>
          <w:tcPr>
            <w:tcW w:type="dxa" w:w="4896"/>
          </w:tcPr>
          <w:p>
            <w:r/>
            <w:r>
              <w:rPr>
                <w:b w:val="0"/>
                <w:sz w:val="18"/>
              </w:rPr>
              <w:t>User story (epic-grouped)</w:t>
            </w:r>
          </w:p>
        </w:tc>
        <w:tc>
          <w:tcPr>
            <w:tcW w:type="dxa" w:w="2448"/>
          </w:tcPr>
          <w:p>
            <w:r/>
            <w:r>
              <w:rPr>
                <w:b w:val="0"/>
                <w:sz w:val="18"/>
              </w:rPr>
              <w:t>US-DOC-03</w:t>
            </w:r>
          </w:p>
        </w:tc>
      </w:tr>
      <w:tr>
        <w:tc>
          <w:tcPr>
            <w:tcW w:type="dxa" w:w="1872"/>
          </w:tcPr>
          <w:p>
            <w:r/>
            <w:r>
              <w:rPr>
                <w:b w:val="0"/>
                <w:sz w:val="18"/>
              </w:rPr>
              <w:t>TC-xxx</w:t>
            </w:r>
          </w:p>
        </w:tc>
        <w:tc>
          <w:tcPr>
            <w:tcW w:type="dxa" w:w="4896"/>
          </w:tcPr>
          <w:p>
            <w:r/>
            <w:r>
              <w:rPr>
                <w:b w:val="0"/>
                <w:sz w:val="18"/>
              </w:rPr>
              <w:t>Test case (executed by a tester)</w:t>
            </w:r>
          </w:p>
        </w:tc>
        <w:tc>
          <w:tcPr>
            <w:tcW w:type="dxa" w:w="2448"/>
          </w:tcPr>
          <w:p>
            <w:r/>
            <w:r>
              <w:rPr>
                <w:b w:val="0"/>
                <w:sz w:val="18"/>
              </w:rPr>
              <w:t>TC-DOC-12</w:t>
            </w:r>
          </w:p>
        </w:tc>
      </w:tr>
      <w:tr>
        <w:tc>
          <w:tcPr>
            <w:tcW w:type="dxa" w:w="1872"/>
          </w:tcPr>
          <w:p>
            <w:r/>
            <w:r>
              <w:rPr>
                <w:b w:val="0"/>
                <w:sz w:val="18"/>
              </w:rPr>
              <w:t>E2E</w:t>
            </w:r>
          </w:p>
        </w:tc>
        <w:tc>
          <w:tcPr>
            <w:tcW w:type="dxa" w:w="4896"/>
          </w:tcPr>
          <w:p>
            <w:r/>
            <w:r>
              <w:rPr>
                <w:b w:val="0"/>
                <w:sz w:val="18"/>
              </w:rPr>
              <w:t>Already covered by an automated Playwright spec</w:t>
            </w:r>
          </w:p>
        </w:tc>
        <w:tc>
          <w:tcPr>
            <w:tcW w:type="dxa" w:w="2448"/>
          </w:tcPr>
          <w:p>
            <w:r/>
            <w:r>
              <w:rPr>
                <w:b w:val="0"/>
                <w:sz w:val="18"/>
              </w:rPr>
              <w:t>documents.spec.ts</w:t>
            </w:r>
          </w:p>
        </w:tc>
      </w:tr>
    </w:tbl>
    <w:p>
      <w:pPr>
        <w:spacing w:after="80"/>
      </w:pPr>
    </w:p>
    <w:p>
      <w:pPr>
        <w:pStyle w:val="Heading2"/>
      </w:pPr>
      <w:r>
        <w:t>3.2 Test case types</w:t>
      </w:r>
    </w:p>
    <w:p>
      <w:pPr>
        <w:pStyle w:val="ListBullet"/>
      </w:pPr>
      <w:r>
        <w:rPr>
          <w:b/>
        </w:rPr>
        <w:t xml:space="preserve">E2E (automated): </w:t>
      </w:r>
      <w:r>
        <w:t>the journey is already automated; the manual team performs a one-pass smoke confirmation only, and the automation vendor maintains the spec.</w:t>
      </w:r>
    </w:p>
    <w:p>
      <w:pPr>
        <w:pStyle w:val="ListBullet"/>
      </w:pPr>
      <w:r>
        <w:rPr>
          <w:b/>
        </w:rPr>
        <w:t xml:space="preserve">E2E (to build): </w:t>
      </w:r>
      <w:r>
        <w:t>an automated journey that does not yet exist and is recommended for the vendor to build.</w:t>
      </w:r>
    </w:p>
    <w:p>
      <w:pPr>
        <w:pStyle w:val="ListBullet"/>
      </w:pPr>
      <w:r>
        <w:rPr>
          <w:b/>
        </w:rPr>
        <w:t xml:space="preserve">Manual: </w:t>
      </w:r>
      <w:r>
        <w:t>requires human judgement (visual, semantic, real data, cross-browser) — owned by the offshore team.</w:t>
      </w:r>
    </w:p>
    <w:p>
      <w:pPr>
        <w:pStyle w:val="Heading2"/>
      </w:pPr>
      <w:r>
        <w:t>3.3 Severity scale</w:t>
      </w:r>
    </w:p>
    <w:p>
      <w:pPr>
        <w:spacing w:after="120"/>
      </w:pPr>
      <w:r>
        <w:rPr>
          <w:b w:val="0"/>
          <w:i w:val="0"/>
        </w:rPr>
        <w:t>Use this scale for every defect. It mirrors the project's internal audit scale (bloquant / sérieux / modéré / info).</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1152"/>
          </w:tcPr>
          <w:p>
            <w:r/>
            <w:r>
              <w:rPr>
                <w:b/>
                <w:sz w:val="18"/>
              </w:rPr>
              <w:t>Severity</w:t>
            </w:r>
          </w:p>
        </w:tc>
        <w:tc>
          <w:tcPr>
            <w:tcW w:type="dxa" w:w="1440"/>
          </w:tcPr>
          <w:p>
            <w:r/>
            <w:r>
              <w:rPr>
                <w:b/>
                <w:sz w:val="18"/>
              </w:rPr>
              <w:t>Label</w:t>
            </w:r>
          </w:p>
        </w:tc>
        <w:tc>
          <w:tcPr>
            <w:tcW w:type="dxa" w:w="4752"/>
          </w:tcPr>
          <w:p>
            <w:r/>
            <w:r>
              <w:rPr>
                <w:b/>
                <w:sz w:val="18"/>
              </w:rPr>
              <w:t>Definition</w:t>
            </w:r>
          </w:p>
        </w:tc>
        <w:tc>
          <w:tcPr>
            <w:tcW w:type="dxa" w:w="1872"/>
          </w:tcPr>
          <w:p>
            <w:r/>
            <w:r>
              <w:rPr>
                <w:b/>
                <w:sz w:val="18"/>
              </w:rPr>
              <w:t>Internal equivalent</w:t>
            </w:r>
          </w:p>
        </w:tc>
      </w:tr>
      <w:tr>
        <w:tc>
          <w:tcPr>
            <w:tcW w:type="dxa" w:w="1152"/>
            <w:shd w:val="clear" w:fill="F4CCCC"/>
          </w:tcPr>
          <w:p>
            <w:r/>
            <w:r>
              <w:rPr>
                <w:b w:val="0"/>
                <w:sz w:val="18"/>
              </w:rPr>
              <w:t>S1</w:t>
            </w:r>
          </w:p>
        </w:tc>
        <w:tc>
          <w:tcPr>
            <w:tcW w:type="dxa" w:w="1440"/>
          </w:tcPr>
          <w:p>
            <w:r/>
            <w:r>
              <w:rPr>
                <w:b w:val="0"/>
                <w:sz w:val="18"/>
              </w:rPr>
              <w:t>Blocker</w:t>
            </w:r>
          </w:p>
        </w:tc>
        <w:tc>
          <w:tcPr>
            <w:tcW w:type="dxa" w:w="4752"/>
          </w:tcPr>
          <w:p>
            <w:r/>
            <w:r>
              <w:rPr>
                <w:b w:val="0"/>
                <w:sz w:val="18"/>
              </w:rPr>
              <w:t>A core operator flow is impossible; data loss/corruption; security or access-control bypass. Stop-ship.</w:t>
            </w:r>
          </w:p>
        </w:tc>
        <w:tc>
          <w:tcPr>
            <w:tcW w:type="dxa" w:w="1872"/>
          </w:tcPr>
          <w:p>
            <w:r/>
            <w:r>
              <w:rPr>
                <w:b w:val="0"/>
                <w:sz w:val="18"/>
              </w:rPr>
              <w:t>bloquant</w:t>
            </w:r>
          </w:p>
        </w:tc>
      </w:tr>
      <w:tr>
        <w:tc>
          <w:tcPr>
            <w:tcW w:type="dxa" w:w="1152"/>
            <w:shd w:val="clear" w:fill="FCE5CD"/>
          </w:tcPr>
          <w:p>
            <w:r/>
            <w:r>
              <w:rPr>
                <w:b w:val="0"/>
                <w:sz w:val="18"/>
              </w:rPr>
              <w:t>S2</w:t>
            </w:r>
          </w:p>
        </w:tc>
        <w:tc>
          <w:tcPr>
            <w:tcW w:type="dxa" w:w="1440"/>
          </w:tcPr>
          <w:p>
            <w:r/>
            <w:r>
              <w:rPr>
                <w:b w:val="0"/>
                <w:sz w:val="18"/>
              </w:rPr>
              <w:t>Critical</w:t>
            </w:r>
          </w:p>
        </w:tc>
        <w:tc>
          <w:tcPr>
            <w:tcW w:type="dxa" w:w="4752"/>
          </w:tcPr>
          <w:p>
            <w:r/>
            <w:r>
              <w:rPr>
                <w:b w:val="0"/>
                <w:sz w:val="18"/>
              </w:rPr>
              <w:t>A major feature is broken with no reasonable workaround, or wrong data is presented as authoritative.</w:t>
            </w:r>
          </w:p>
        </w:tc>
        <w:tc>
          <w:tcPr>
            <w:tcW w:type="dxa" w:w="1872"/>
          </w:tcPr>
          <w:p>
            <w:r/>
            <w:r>
              <w:rPr>
                <w:b w:val="0"/>
                <w:sz w:val="18"/>
              </w:rPr>
              <w:t>sérieux</w:t>
            </w:r>
          </w:p>
        </w:tc>
      </w:tr>
      <w:tr>
        <w:tc>
          <w:tcPr>
            <w:tcW w:type="dxa" w:w="1152"/>
            <w:shd w:val="clear" w:fill="FFF2CC"/>
          </w:tcPr>
          <w:p>
            <w:r/>
            <w:r>
              <w:rPr>
                <w:b w:val="0"/>
                <w:sz w:val="18"/>
              </w:rPr>
              <w:t>S3</w:t>
            </w:r>
          </w:p>
        </w:tc>
        <w:tc>
          <w:tcPr>
            <w:tcW w:type="dxa" w:w="1440"/>
          </w:tcPr>
          <w:p>
            <w:r/>
            <w:r>
              <w:rPr>
                <w:b w:val="0"/>
                <w:sz w:val="18"/>
              </w:rPr>
              <w:t>Major</w:t>
            </w:r>
          </w:p>
        </w:tc>
        <w:tc>
          <w:tcPr>
            <w:tcW w:type="dxa" w:w="4752"/>
          </w:tcPr>
          <w:p>
            <w:r/>
            <w:r>
              <w:rPr>
                <w:b w:val="0"/>
                <w:sz w:val="18"/>
              </w:rPr>
              <w:t>Feature degraded but a workaround exists; significant UX or layout defect.</w:t>
            </w:r>
          </w:p>
        </w:tc>
        <w:tc>
          <w:tcPr>
            <w:tcW w:type="dxa" w:w="1872"/>
          </w:tcPr>
          <w:p>
            <w:r/>
            <w:r>
              <w:rPr>
                <w:b w:val="0"/>
                <w:sz w:val="18"/>
              </w:rPr>
              <w:t>modéré</w:t>
            </w:r>
          </w:p>
        </w:tc>
      </w:tr>
      <w:tr>
        <w:tc>
          <w:tcPr>
            <w:tcW w:type="dxa" w:w="1152"/>
            <w:shd w:val="clear" w:fill="D9EAD3"/>
          </w:tcPr>
          <w:p>
            <w:r/>
            <w:r>
              <w:rPr>
                <w:b w:val="0"/>
                <w:sz w:val="18"/>
              </w:rPr>
              <w:t>S4</w:t>
            </w:r>
          </w:p>
        </w:tc>
        <w:tc>
          <w:tcPr>
            <w:tcW w:type="dxa" w:w="1440"/>
          </w:tcPr>
          <w:p>
            <w:r/>
            <w:r>
              <w:rPr>
                <w:b w:val="0"/>
                <w:sz w:val="18"/>
              </w:rPr>
              <w:t>Minor</w:t>
            </w:r>
          </w:p>
        </w:tc>
        <w:tc>
          <w:tcPr>
            <w:tcW w:type="dxa" w:w="4752"/>
          </w:tcPr>
          <w:p>
            <w:r/>
            <w:r>
              <w:rPr>
                <w:b w:val="0"/>
                <w:sz w:val="18"/>
              </w:rPr>
              <w:t>Cosmetic, copy, or minor visual issue; no functional impact.</w:t>
            </w:r>
          </w:p>
        </w:tc>
        <w:tc>
          <w:tcPr>
            <w:tcW w:type="dxa" w:w="1872"/>
          </w:tcPr>
          <w:p>
            <w:r/>
            <w:r>
              <w:rPr>
                <w:b w:val="0"/>
                <w:sz w:val="18"/>
              </w:rPr>
              <w:t>info</w:t>
            </w:r>
          </w:p>
        </w:tc>
      </w:tr>
    </w:tbl>
    <w:p>
      <w:pPr>
        <w:spacing w:after="80"/>
      </w:pPr>
    </w:p>
    <w:p>
      <w:pPr>
        <w:pStyle w:val="Heading2"/>
      </w:pPr>
      <w:r>
        <w:t>3.4 Definition of done for a test pass</w:t>
      </w:r>
    </w:p>
    <w:p>
      <w:pPr>
        <w:pStyle w:val="ListBullet"/>
      </w:pPr>
      <w:r>
        <w:t>Every Manual TC executed on the agreed browser matrix (§7.2) with a recorded verdict.</w:t>
      </w:r>
    </w:p>
    <w:p>
      <w:pPr>
        <w:pStyle w:val="ListBullet"/>
      </w:pPr>
      <w:r>
        <w:t>Each defect has: screenshot/video, exact steps, expected vs actual, severity, environment.</w:t>
      </w:r>
    </w:p>
    <w:p>
      <w:pPr>
        <w:pStyle w:val="ListBullet"/>
      </w:pPr>
      <w:r>
        <w:t>No defect filed for any item listed in §4 (Known limitations).</w:t>
      </w:r>
    </w:p>
    <w:p>
      <w:pPr>
        <w:pStyle w:val="Heading2"/>
      </w:pPr>
      <w:r>
        <w:t>3.5 Defect report template (Stream B)</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2016"/>
          </w:tcPr>
          <w:p>
            <w:r/>
            <w:r>
              <w:rPr>
                <w:b/>
                <w:sz w:val="18"/>
              </w:rPr>
              <w:t>Field</w:t>
            </w:r>
          </w:p>
        </w:tc>
        <w:tc>
          <w:tcPr>
            <w:tcW w:type="dxa" w:w="7200"/>
          </w:tcPr>
          <w:p>
            <w:r/>
            <w:r>
              <w:rPr>
                <w:b/>
                <w:sz w:val="18"/>
              </w:rPr>
              <w:t>Content</w:t>
            </w:r>
          </w:p>
        </w:tc>
      </w:tr>
      <w:tr>
        <w:tc>
          <w:tcPr>
            <w:tcW w:type="dxa" w:w="2016"/>
          </w:tcPr>
          <w:p>
            <w:r/>
            <w:r>
              <w:rPr>
                <w:b w:val="0"/>
                <w:sz w:val="18"/>
              </w:rPr>
              <w:t>ID</w:t>
            </w:r>
          </w:p>
        </w:tc>
        <w:tc>
          <w:tcPr>
            <w:tcW w:type="dxa" w:w="7200"/>
          </w:tcPr>
          <w:p>
            <w:r/>
            <w:r>
              <w:rPr>
                <w:b w:val="0"/>
                <w:sz w:val="18"/>
              </w:rPr>
              <w:t>BUG-&lt;area&gt;-&lt;n&gt; (e.g. BUG-DOC-07)</w:t>
            </w:r>
          </w:p>
        </w:tc>
      </w:tr>
      <w:tr>
        <w:tc>
          <w:tcPr>
            <w:tcW w:type="dxa" w:w="2016"/>
          </w:tcPr>
          <w:p>
            <w:r/>
            <w:r>
              <w:rPr>
                <w:b w:val="0"/>
                <w:sz w:val="18"/>
              </w:rPr>
              <w:t>Title</w:t>
            </w:r>
          </w:p>
        </w:tc>
        <w:tc>
          <w:tcPr>
            <w:tcW w:type="dxa" w:w="7200"/>
          </w:tcPr>
          <w:p>
            <w:r/>
            <w:r>
              <w:rPr>
                <w:b w:val="0"/>
                <w:sz w:val="18"/>
              </w:rPr>
              <w:t>One line: screen + symptom</w:t>
            </w:r>
          </w:p>
        </w:tc>
      </w:tr>
      <w:tr>
        <w:tc>
          <w:tcPr>
            <w:tcW w:type="dxa" w:w="2016"/>
          </w:tcPr>
          <w:p>
            <w:r/>
            <w:r>
              <w:rPr>
                <w:b w:val="0"/>
                <w:sz w:val="18"/>
              </w:rPr>
              <w:t>Screen / TC</w:t>
            </w:r>
          </w:p>
        </w:tc>
        <w:tc>
          <w:tcPr>
            <w:tcW w:type="dxa" w:w="7200"/>
          </w:tcPr>
          <w:p>
            <w:r/>
            <w:r>
              <w:rPr>
                <w:b w:val="0"/>
                <w:sz w:val="18"/>
              </w:rPr>
              <w:t>e.g. Documents / TC-DOC-12</w:t>
            </w:r>
          </w:p>
        </w:tc>
      </w:tr>
      <w:tr>
        <w:tc>
          <w:tcPr>
            <w:tcW w:type="dxa" w:w="2016"/>
          </w:tcPr>
          <w:p>
            <w:r/>
            <w:r>
              <w:rPr>
                <w:b w:val="0"/>
                <w:sz w:val="18"/>
              </w:rPr>
              <w:t>Environment</w:t>
            </w:r>
          </w:p>
        </w:tc>
        <w:tc>
          <w:tcPr>
            <w:tcW w:type="dxa" w:w="7200"/>
          </w:tcPr>
          <w:p>
            <w:r/>
            <w:r>
              <w:rPr>
                <w:b w:val="0"/>
                <w:sz w:val="18"/>
              </w:rPr>
              <w:t>Mocked or Real backend; browser + version; OS; viewport</w:t>
            </w:r>
          </w:p>
        </w:tc>
      </w:tr>
      <w:tr>
        <w:tc>
          <w:tcPr>
            <w:tcW w:type="dxa" w:w="2016"/>
          </w:tcPr>
          <w:p>
            <w:r/>
            <w:r>
              <w:rPr>
                <w:b w:val="0"/>
                <w:sz w:val="18"/>
              </w:rPr>
              <w:t>Role</w:t>
            </w:r>
          </w:p>
        </w:tc>
        <w:tc>
          <w:tcPr>
            <w:tcW w:type="dxa" w:w="7200"/>
          </w:tcPr>
          <w:p>
            <w:r/>
            <w:r>
              <w:rPr>
                <w:b w:val="0"/>
                <w:sz w:val="18"/>
              </w:rPr>
              <w:t>Reader / Steward / Admin</w:t>
            </w:r>
          </w:p>
        </w:tc>
      </w:tr>
      <w:tr>
        <w:tc>
          <w:tcPr>
            <w:tcW w:type="dxa" w:w="2016"/>
          </w:tcPr>
          <w:p>
            <w:r/>
            <w:r>
              <w:rPr>
                <w:b w:val="0"/>
                <w:sz w:val="18"/>
              </w:rPr>
              <w:t>Preconditions</w:t>
            </w:r>
          </w:p>
        </w:tc>
        <w:tc>
          <w:tcPr>
            <w:tcW w:type="dxa" w:w="7200"/>
          </w:tcPr>
          <w:p>
            <w:r/>
            <w:r>
              <w:rPr>
                <w:b w:val="0"/>
                <w:sz w:val="18"/>
              </w:rPr>
              <w:t>State required before step 1</w:t>
            </w:r>
          </w:p>
        </w:tc>
      </w:tr>
      <w:tr>
        <w:tc>
          <w:tcPr>
            <w:tcW w:type="dxa" w:w="2016"/>
          </w:tcPr>
          <w:p>
            <w:r/>
            <w:r>
              <w:rPr>
                <w:b w:val="0"/>
                <w:sz w:val="18"/>
              </w:rPr>
              <w:t>Steps</w:t>
            </w:r>
          </w:p>
        </w:tc>
        <w:tc>
          <w:tcPr>
            <w:tcW w:type="dxa" w:w="7200"/>
          </w:tcPr>
          <w:p>
            <w:r/>
            <w:r>
              <w:rPr>
                <w:b w:val="0"/>
                <w:sz w:val="18"/>
              </w:rPr>
              <w:t>Numbered, reproducible</w:t>
            </w:r>
          </w:p>
        </w:tc>
      </w:tr>
      <w:tr>
        <w:tc>
          <w:tcPr>
            <w:tcW w:type="dxa" w:w="2016"/>
          </w:tcPr>
          <w:p>
            <w:r/>
            <w:r>
              <w:rPr>
                <w:b w:val="0"/>
                <w:sz w:val="18"/>
              </w:rPr>
              <w:t>Expected</w:t>
            </w:r>
          </w:p>
        </w:tc>
        <w:tc>
          <w:tcPr>
            <w:tcW w:type="dxa" w:w="7200"/>
          </w:tcPr>
          <w:p>
            <w:r/>
            <w:r>
              <w:rPr>
                <w:b w:val="0"/>
                <w:sz w:val="18"/>
              </w:rPr>
              <w:t>What should happen (cite the TC)</w:t>
            </w:r>
          </w:p>
        </w:tc>
      </w:tr>
      <w:tr>
        <w:tc>
          <w:tcPr>
            <w:tcW w:type="dxa" w:w="2016"/>
          </w:tcPr>
          <w:p>
            <w:r/>
            <w:r>
              <w:rPr>
                <w:b w:val="0"/>
                <w:sz w:val="18"/>
              </w:rPr>
              <w:t>Actual</w:t>
            </w:r>
          </w:p>
        </w:tc>
        <w:tc>
          <w:tcPr>
            <w:tcW w:type="dxa" w:w="7200"/>
          </w:tcPr>
          <w:p>
            <w:r/>
            <w:r>
              <w:rPr>
                <w:b w:val="0"/>
                <w:sz w:val="18"/>
              </w:rPr>
              <w:t>What happened</w:t>
            </w:r>
          </w:p>
        </w:tc>
      </w:tr>
      <w:tr>
        <w:tc>
          <w:tcPr>
            <w:tcW w:type="dxa" w:w="2016"/>
          </w:tcPr>
          <w:p>
            <w:r/>
            <w:r>
              <w:rPr>
                <w:b w:val="0"/>
                <w:sz w:val="18"/>
              </w:rPr>
              <w:t>Severity</w:t>
            </w:r>
          </w:p>
        </w:tc>
        <w:tc>
          <w:tcPr>
            <w:tcW w:type="dxa" w:w="7200"/>
          </w:tcPr>
          <w:p>
            <w:r/>
            <w:r>
              <w:rPr>
                <w:b w:val="0"/>
                <w:sz w:val="18"/>
              </w:rPr>
              <w:t>S1–S4 per §3.3</w:t>
            </w:r>
          </w:p>
        </w:tc>
      </w:tr>
      <w:tr>
        <w:tc>
          <w:tcPr>
            <w:tcW w:type="dxa" w:w="2016"/>
          </w:tcPr>
          <w:p>
            <w:r/>
            <w:r>
              <w:rPr>
                <w:b w:val="0"/>
                <w:sz w:val="18"/>
              </w:rPr>
              <w:t>Evidence</w:t>
            </w:r>
          </w:p>
        </w:tc>
        <w:tc>
          <w:tcPr>
            <w:tcW w:type="dxa" w:w="7200"/>
          </w:tcPr>
          <w:p>
            <w:r/>
            <w:r>
              <w:rPr>
                <w:b w:val="0"/>
                <w:sz w:val="18"/>
              </w:rPr>
              <w:t>Screenshot / screen recording attached</w:t>
            </w:r>
          </w:p>
        </w:tc>
      </w:tr>
    </w:tbl>
    <w:p>
      <w:pPr>
        <w:spacing w:after="80"/>
      </w:pPr>
    </w:p>
    <w:p>
      <w:r>
        <w:br w:type="page"/>
      </w:r>
    </w:p>
    <w:p>
      <w:pPr>
        <w:pStyle w:val="Heading1"/>
      </w:pPr>
      <w:r>
        <w:t>4. Known limitations — DO NOT report these as defects</w:t>
      </w:r>
    </w:p>
    <w:p>
      <w:pPr>
        <w:spacing w:after="120"/>
      </w:pPr>
      <w:r>
        <w:rPr>
          <w:b w:val="0"/>
          <w:i w:val="0"/>
        </w:rPr>
        <w:t>The following behaviours are documented, accepted limitations of the 1.0.0 release, traced to the internal interaction audit (2026-06-13). They are expected. Do not raise defects for them. If a test step appears to contradict one of these, follow the limitation, not your intuition.</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3744"/>
          </w:tcPr>
          <w:p>
            <w:r/>
            <w:r>
              <w:rPr>
                <w:b/>
                <w:sz w:val="18"/>
              </w:rPr>
              <w:t>Behaviour you will observe</w:t>
            </w:r>
          </w:p>
        </w:tc>
        <w:tc>
          <w:tcPr>
            <w:tcW w:type="dxa" w:w="4176"/>
          </w:tcPr>
          <w:p>
            <w:r/>
            <w:r>
              <w:rPr>
                <w:b/>
                <w:sz w:val="18"/>
              </w:rPr>
              <w:t>Why it is expected</w:t>
            </w:r>
          </w:p>
        </w:tc>
        <w:tc>
          <w:tcPr>
            <w:tcW w:type="dxa" w:w="720"/>
          </w:tcPr>
          <w:p>
            <w:r/>
            <w:r>
              <w:rPr>
                <w:b/>
                <w:sz w:val="18"/>
              </w:rPr>
              <w:t>Ref</w:t>
            </w:r>
          </w:p>
        </w:tc>
      </w:tr>
      <w:tr>
        <w:tc>
          <w:tcPr>
            <w:tcW w:type="dxa" w:w="432"/>
          </w:tcPr>
          <w:p>
            <w:r/>
            <w:r>
              <w:rPr>
                <w:b w:val="0"/>
                <w:sz w:val="18"/>
              </w:rPr>
              <w:t>1</w:t>
            </w:r>
          </w:p>
        </w:tc>
        <w:tc>
          <w:tcPr>
            <w:tcW w:type="dxa" w:w="3744"/>
          </w:tcPr>
          <w:p>
            <w:r/>
            <w:r>
              <w:rPr>
                <w:b w:val="0"/>
                <w:sz w:val="18"/>
              </w:rPr>
              <w:t>On the Retrieval tab, adding a Source-tag filter does NOT narrow the answer. The answer can still cite material outside the selected tags.</w:t>
            </w:r>
          </w:p>
        </w:tc>
        <w:tc>
          <w:tcPr>
            <w:tcW w:type="dxa" w:w="4176"/>
          </w:tcPr>
          <w:p>
            <w:r/>
            <w:r>
              <w:rPr>
                <w:b w:val="0"/>
                <w:sz w:val="18"/>
              </w:rPr>
              <w:t>LightRAG 1.4.9.11 has no tag_filter at retrieval time; the /query path rejects it. The filter is only honoured on the structured /query/data route.</w:t>
            </w:r>
          </w:p>
        </w:tc>
        <w:tc>
          <w:tcPr>
            <w:tcW w:type="dxa" w:w="720"/>
          </w:tcPr>
          <w:p>
            <w:r/>
            <w:r>
              <w:rPr>
                <w:b w:val="0"/>
                <w:sz w:val="18"/>
              </w:rPr>
              <w:t>C1</w:t>
            </w:r>
          </w:p>
        </w:tc>
      </w:tr>
      <w:tr>
        <w:tc>
          <w:tcPr>
            <w:tcW w:type="dxa" w:w="432"/>
          </w:tcPr>
          <w:p>
            <w:r/>
            <w:r>
              <w:rPr>
                <w:b w:val="0"/>
                <w:sz w:val="18"/>
              </w:rPr>
              <w:t>2</w:t>
            </w:r>
          </w:p>
        </w:tc>
        <w:tc>
          <w:tcPr>
            <w:tcW w:type="dxa" w:w="3744"/>
          </w:tcPr>
          <w:p>
            <w:r/>
            <w:r>
              <w:rPr>
                <w:b w:val="0"/>
                <w:sz w:val="18"/>
              </w:rPr>
              <w:t>The Retrieval "Sources" panel may list chunks that are not exactly what the model grounded its answer on.</w:t>
            </w:r>
          </w:p>
        </w:tc>
        <w:tc>
          <w:tcPr>
            <w:tcW w:type="dxa" w:w="4176"/>
          </w:tcPr>
          <w:p>
            <w:r/>
            <w:r>
              <w:rPr>
                <w:b w:val="0"/>
                <w:sz w:val="18"/>
              </w:rPr>
              <w:t>Sources are reconstructed by a secondary retrieval, not yet the model's own references. Treat them as candidate sources, not citations.</w:t>
            </w:r>
          </w:p>
        </w:tc>
        <w:tc>
          <w:tcPr>
            <w:tcW w:type="dxa" w:w="720"/>
          </w:tcPr>
          <w:p>
            <w:r/>
            <w:r>
              <w:rPr>
                <w:b w:val="0"/>
                <w:sz w:val="18"/>
              </w:rPr>
              <w:t>C0/C3</w:t>
            </w:r>
          </w:p>
        </w:tc>
      </w:tr>
      <w:tr>
        <w:tc>
          <w:tcPr>
            <w:tcW w:type="dxa" w:w="432"/>
          </w:tcPr>
          <w:p>
            <w:r/>
            <w:r>
              <w:rPr>
                <w:b w:val="0"/>
                <w:sz w:val="18"/>
              </w:rPr>
              <w:t>3</w:t>
            </w:r>
          </w:p>
        </w:tc>
        <w:tc>
          <w:tcPr>
            <w:tcW w:type="dxa" w:w="3744"/>
          </w:tcPr>
          <w:p>
            <w:r/>
            <w:r>
              <w:rPr>
                <w:b w:val="0"/>
                <w:sz w:val="18"/>
              </w:rPr>
              <w:t>The Knowledge Graph may show demo entities even when the real KB is empty.</w:t>
            </w:r>
          </w:p>
        </w:tc>
        <w:tc>
          <w:tcPr>
            <w:tcW w:type="dxa" w:w="4176"/>
          </w:tcPr>
          <w:p>
            <w:r/>
            <w:r>
              <w:rPr>
                <w:b w:val="0"/>
                <w:sz w:val="18"/>
              </w:rPr>
              <w:t>A seed fallback keeps the demo/pre-ingestion path renderable. In the mocked build ALL graph data is fixture data by design.</w:t>
            </w:r>
          </w:p>
        </w:tc>
        <w:tc>
          <w:tcPr>
            <w:tcW w:type="dxa" w:w="720"/>
          </w:tcPr>
          <w:p>
            <w:r/>
            <w:r>
              <w:rPr>
                <w:b w:val="0"/>
                <w:sz w:val="18"/>
              </w:rPr>
              <w:t>C5</w:t>
            </w:r>
          </w:p>
        </w:tc>
      </w:tr>
      <w:tr>
        <w:tc>
          <w:tcPr>
            <w:tcW w:type="dxa" w:w="432"/>
          </w:tcPr>
          <w:p>
            <w:r/>
            <w:r>
              <w:rPr>
                <w:b w:val="0"/>
                <w:sz w:val="18"/>
              </w:rPr>
              <w:t>4</w:t>
            </w:r>
          </w:p>
        </w:tc>
        <w:tc>
          <w:tcPr>
            <w:tcW w:type="dxa" w:w="3744"/>
          </w:tcPr>
          <w:p>
            <w:r/>
            <w:r>
              <w:rPr>
                <w:b w:val="0"/>
                <w:sz w:val="18"/>
              </w:rPr>
              <w:t>"Read source" / indexed-chunks preview may show placeholder text rather than the real extracted document text.</w:t>
            </w:r>
          </w:p>
        </w:tc>
        <w:tc>
          <w:tcPr>
            <w:tcW w:type="dxa" w:w="4176"/>
          </w:tcPr>
          <w:p>
            <w:r/>
            <w:r>
              <w:rPr>
                <w:b w:val="0"/>
                <w:sz w:val="18"/>
              </w:rPr>
              <w:t>Real extracted-text view is a later backend phase; the modal is a contract placeholder.</w:t>
            </w:r>
          </w:p>
        </w:tc>
        <w:tc>
          <w:tcPr>
            <w:tcW w:type="dxa" w:w="720"/>
          </w:tcPr>
          <w:p>
            <w:r/>
            <w:r>
              <w:rPr>
                <w:b w:val="0"/>
                <w:sz w:val="18"/>
              </w:rPr>
              <w:t>C6</w:t>
            </w:r>
          </w:p>
        </w:tc>
      </w:tr>
      <w:tr>
        <w:tc>
          <w:tcPr>
            <w:tcW w:type="dxa" w:w="432"/>
          </w:tcPr>
          <w:p>
            <w:r/>
            <w:r>
              <w:rPr>
                <w:b w:val="0"/>
                <w:sz w:val="18"/>
              </w:rPr>
              <w:t>5</w:t>
            </w:r>
          </w:p>
        </w:tc>
        <w:tc>
          <w:tcPr>
            <w:tcW w:type="dxa" w:w="3744"/>
          </w:tcPr>
          <w:p>
            <w:r/>
            <w:r>
              <w:rPr>
                <w:b w:val="0"/>
                <w:sz w:val="18"/>
              </w:rPr>
              <w:t>"View raw" in the document detail panel opens a notice instead of downloading.</w:t>
            </w:r>
          </w:p>
        </w:tc>
        <w:tc>
          <w:tcPr>
            <w:tcW w:type="dxa" w:w="4176"/>
          </w:tcPr>
          <w:p>
            <w:r/>
            <w:r>
              <w:rPr>
                <w:b w:val="0"/>
                <w:sz w:val="18"/>
              </w:rPr>
              <w:t>The raw-download endpoint is backend phase 2; the button is intentionally a notice gate.</w:t>
            </w:r>
          </w:p>
        </w:tc>
        <w:tc>
          <w:tcPr>
            <w:tcW w:type="dxa" w:w="720"/>
          </w:tcPr>
          <w:p>
            <w:r/>
            <w:r>
              <w:rPr>
                <w:b w:val="0"/>
                <w:sz w:val="18"/>
              </w:rPr>
              <w:t>—</w:t>
            </w:r>
          </w:p>
        </w:tc>
      </w:tr>
      <w:tr>
        <w:tc>
          <w:tcPr>
            <w:tcW w:type="dxa" w:w="432"/>
          </w:tcPr>
          <w:p>
            <w:r/>
            <w:r>
              <w:rPr>
                <w:b w:val="0"/>
                <w:sz w:val="18"/>
              </w:rPr>
              <w:t>6</w:t>
            </w:r>
          </w:p>
        </w:tc>
        <w:tc>
          <w:tcPr>
            <w:tcW w:type="dxa" w:w="3744"/>
          </w:tcPr>
          <w:p>
            <w:r/>
            <w:r>
              <w:rPr>
                <w:b w:val="0"/>
                <w:sz w:val="18"/>
              </w:rPr>
              <w:t>Folders filter the WebUI governance surface but do not create separate KB instances; graph reads are membership-scoped, not physically isolated.</w:t>
            </w:r>
          </w:p>
        </w:tc>
        <w:tc>
          <w:tcPr>
            <w:tcW w:type="dxa" w:w="4176"/>
          </w:tcPr>
          <w:p>
            <w:r/>
            <w:r>
              <w:rPr>
                <w:b w:val="0"/>
                <w:sz w:val="18"/>
              </w:rPr>
              <w:t>By design — one physical namespace, folders are a logical many-to-many membership layer.</w:t>
            </w:r>
          </w:p>
        </w:tc>
        <w:tc>
          <w:tcPr>
            <w:tcW w:type="dxa" w:w="720"/>
          </w:tcPr>
          <w:p>
            <w:r/>
            <w:r>
              <w:rPr>
                <w:b w:val="0"/>
                <w:sz w:val="18"/>
              </w:rPr>
              <w:t>C4</w:t>
            </w:r>
          </w:p>
        </w:tc>
      </w:tr>
    </w:tbl>
    <w:p>
      <w:pPr>
        <w:spacing w:after="80"/>
      </w:pPr>
    </w:p>
    <w:p>
      <w:r>
        <w:br w:type="page"/>
      </w:r>
    </w:p>
    <w:p>
      <w:pPr>
        <w:pStyle w:val="Heading1"/>
      </w:pPr>
      <w:r>
        <w:t>5. User-story catalogue</w:t>
      </w:r>
    </w:p>
    <w:p>
      <w:pPr>
        <w:spacing w:after="120"/>
      </w:pPr>
      <w:r>
        <w:rPr>
          <w:b w:val="0"/>
          <w:i w:val="0"/>
        </w:rPr>
        <w:t>Stories are grouped by epic. Each maps to the screen section (§6) where its flows are tested.</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1584"/>
          </w:tcPr>
          <w:p>
            <w:r/>
            <w:r>
              <w:rPr>
                <w:b/>
                <w:sz w:val="18"/>
              </w:rPr>
              <w:t>US</w:t>
            </w:r>
          </w:p>
        </w:tc>
        <w:tc>
          <w:tcPr>
            <w:tcW w:type="dxa" w:w="6336"/>
          </w:tcPr>
          <w:p>
            <w:r/>
            <w:r>
              <w:rPr>
                <w:b/>
                <w:sz w:val="18"/>
              </w:rPr>
              <w:t>As a… I want… so that…</w:t>
            </w:r>
          </w:p>
        </w:tc>
        <w:tc>
          <w:tcPr>
            <w:tcW w:type="dxa" w:w="1296"/>
          </w:tcPr>
          <w:p>
            <w:r/>
            <w:r>
              <w:rPr>
                <w:b/>
                <w:sz w:val="18"/>
              </w:rPr>
              <w:t>Tested in</w:t>
            </w:r>
          </w:p>
        </w:tc>
      </w:tr>
      <w:tr>
        <w:tc>
          <w:tcPr>
            <w:tcW w:type="dxa" w:w="1584"/>
          </w:tcPr>
          <w:p>
            <w:r/>
            <w:r>
              <w:rPr>
                <w:b w:val="0"/>
                <w:sz w:val="18"/>
              </w:rPr>
              <w:t>US-AUTH-01</w:t>
            </w:r>
          </w:p>
        </w:tc>
        <w:tc>
          <w:tcPr>
            <w:tcW w:type="dxa" w:w="6336"/>
          </w:tcPr>
          <w:p>
            <w:r/>
            <w:r>
              <w:rPr>
                <w:b w:val="0"/>
                <w:sz w:val="18"/>
              </w:rPr>
              <w:t>operator, I sign in with my credentials so that only authorised staff reach the KB.</w:t>
            </w:r>
          </w:p>
        </w:tc>
        <w:tc>
          <w:tcPr>
            <w:tcW w:type="dxa" w:w="1296"/>
          </w:tcPr>
          <w:p>
            <w:r/>
            <w:r>
              <w:rPr>
                <w:b w:val="0"/>
                <w:sz w:val="18"/>
              </w:rPr>
              <w:t>§6.1</w:t>
            </w:r>
          </w:p>
        </w:tc>
      </w:tr>
      <w:tr>
        <w:tc>
          <w:tcPr>
            <w:tcW w:type="dxa" w:w="1584"/>
          </w:tcPr>
          <w:p>
            <w:r/>
            <w:r>
              <w:rPr>
                <w:b w:val="0"/>
                <w:sz w:val="18"/>
              </w:rPr>
              <w:t>US-AUTH-02</w:t>
            </w:r>
          </w:p>
        </w:tc>
        <w:tc>
          <w:tcPr>
            <w:tcW w:type="dxa" w:w="6336"/>
          </w:tcPr>
          <w:p>
            <w:r/>
            <w:r>
              <w:rPr>
                <w:b w:val="0"/>
                <w:sz w:val="18"/>
              </w:rPr>
              <w:t>operator, I sign out and have my local session/threads cleared.</w:t>
            </w:r>
          </w:p>
        </w:tc>
        <w:tc>
          <w:tcPr>
            <w:tcW w:type="dxa" w:w="1296"/>
          </w:tcPr>
          <w:p>
            <w:r/>
            <w:r>
              <w:rPr>
                <w:b w:val="0"/>
                <w:sz w:val="18"/>
              </w:rPr>
              <w:t>§6.1 / §6.10</w:t>
            </w:r>
          </w:p>
        </w:tc>
      </w:tr>
      <w:tr>
        <w:tc>
          <w:tcPr>
            <w:tcW w:type="dxa" w:w="1584"/>
          </w:tcPr>
          <w:p>
            <w:r/>
            <w:r>
              <w:rPr>
                <w:b w:val="0"/>
                <w:sz w:val="18"/>
              </w:rPr>
              <w:t>US-NAV-01</w:t>
            </w:r>
          </w:p>
        </w:tc>
        <w:tc>
          <w:tcPr>
            <w:tcW w:type="dxa" w:w="6336"/>
          </w:tcPr>
          <w:p>
            <w:r/>
            <w:r>
              <w:rPr>
                <w:b w:val="0"/>
                <w:sz w:val="18"/>
              </w:rPr>
              <w:t>operator, I switch between the active folders I am entitled to.</w:t>
            </w:r>
          </w:p>
        </w:tc>
        <w:tc>
          <w:tcPr>
            <w:tcW w:type="dxa" w:w="1296"/>
          </w:tcPr>
          <w:p>
            <w:r/>
            <w:r>
              <w:rPr>
                <w:b w:val="0"/>
                <w:sz w:val="18"/>
              </w:rPr>
              <w:t>§6.2</w:t>
            </w:r>
          </w:p>
        </w:tc>
      </w:tr>
      <w:tr>
        <w:tc>
          <w:tcPr>
            <w:tcW w:type="dxa" w:w="1584"/>
          </w:tcPr>
          <w:p>
            <w:r/>
            <w:r>
              <w:rPr>
                <w:b w:val="0"/>
                <w:sz w:val="18"/>
              </w:rPr>
              <w:t>US-NAV-02</w:t>
            </w:r>
          </w:p>
        </w:tc>
        <w:tc>
          <w:tcPr>
            <w:tcW w:type="dxa" w:w="6336"/>
          </w:tcPr>
          <w:p>
            <w:r/>
            <w:r>
              <w:rPr>
                <w:b w:val="0"/>
                <w:sz w:val="18"/>
              </w:rPr>
              <w:t>operator, I see and triage my notifications from any screen.</w:t>
            </w:r>
          </w:p>
        </w:tc>
        <w:tc>
          <w:tcPr>
            <w:tcW w:type="dxa" w:w="1296"/>
          </w:tcPr>
          <w:p>
            <w:r/>
            <w:r>
              <w:rPr>
                <w:b w:val="0"/>
                <w:sz w:val="18"/>
              </w:rPr>
              <w:t>§6.2</w:t>
            </w:r>
          </w:p>
        </w:tc>
      </w:tr>
      <w:tr>
        <w:tc>
          <w:tcPr>
            <w:tcW w:type="dxa" w:w="1584"/>
          </w:tcPr>
          <w:p>
            <w:r/>
            <w:r>
              <w:rPr>
                <w:b w:val="0"/>
                <w:sz w:val="18"/>
              </w:rPr>
              <w:t>US-DOC-01</w:t>
            </w:r>
          </w:p>
        </w:tc>
        <w:tc>
          <w:tcPr>
            <w:tcW w:type="dxa" w:w="6336"/>
          </w:tcPr>
          <w:p>
            <w:r/>
            <w:r>
              <w:rPr>
                <w:b w:val="0"/>
                <w:sz w:val="18"/>
              </w:rPr>
              <w:t>operator, I browse, search and filter the document inventory by status, tag and source.</w:t>
            </w:r>
          </w:p>
        </w:tc>
        <w:tc>
          <w:tcPr>
            <w:tcW w:type="dxa" w:w="1296"/>
          </w:tcPr>
          <w:p>
            <w:r/>
            <w:r>
              <w:rPr>
                <w:b w:val="0"/>
                <w:sz w:val="18"/>
              </w:rPr>
              <w:t>§6.3</w:t>
            </w:r>
          </w:p>
        </w:tc>
      </w:tr>
      <w:tr>
        <w:tc>
          <w:tcPr>
            <w:tcW w:type="dxa" w:w="1584"/>
          </w:tcPr>
          <w:p>
            <w:r/>
            <w:r>
              <w:rPr>
                <w:b w:val="0"/>
                <w:sz w:val="18"/>
              </w:rPr>
              <w:t>US-DOC-02</w:t>
            </w:r>
          </w:p>
        </w:tc>
        <w:tc>
          <w:tcPr>
            <w:tcW w:type="dxa" w:w="6336"/>
          </w:tcPr>
          <w:p>
            <w:r/>
            <w:r>
              <w:rPr>
                <w:b w:val="0"/>
                <w:sz w:val="18"/>
              </w:rPr>
              <w:t>operator, I inspect a document's chunks, lineage and audit trail.</w:t>
            </w:r>
          </w:p>
        </w:tc>
        <w:tc>
          <w:tcPr>
            <w:tcW w:type="dxa" w:w="1296"/>
          </w:tcPr>
          <w:p>
            <w:r/>
            <w:r>
              <w:rPr>
                <w:b w:val="0"/>
                <w:sz w:val="18"/>
              </w:rPr>
              <w:t>§6.3</w:t>
            </w:r>
          </w:p>
        </w:tc>
      </w:tr>
      <w:tr>
        <w:tc>
          <w:tcPr>
            <w:tcW w:type="dxa" w:w="1584"/>
          </w:tcPr>
          <w:p>
            <w:r/>
            <w:r>
              <w:rPr>
                <w:b w:val="0"/>
                <w:sz w:val="18"/>
              </w:rPr>
              <w:t>US-DOC-03</w:t>
            </w:r>
          </w:p>
        </w:tc>
        <w:tc>
          <w:tcPr>
            <w:tcW w:type="dxa" w:w="6336"/>
          </w:tcPr>
          <w:p>
            <w:r/>
            <w:r>
              <w:rPr>
                <w:b w:val="0"/>
                <w:sz w:val="18"/>
              </w:rPr>
              <w:t>steward, I approve or reject newly submitted / modified sources.</w:t>
            </w:r>
          </w:p>
        </w:tc>
        <w:tc>
          <w:tcPr>
            <w:tcW w:type="dxa" w:w="1296"/>
          </w:tcPr>
          <w:p>
            <w:r/>
            <w:r>
              <w:rPr>
                <w:b w:val="0"/>
                <w:sz w:val="18"/>
              </w:rPr>
              <w:t>§6.3</w:t>
            </w:r>
          </w:p>
        </w:tc>
      </w:tr>
      <w:tr>
        <w:tc>
          <w:tcPr>
            <w:tcW w:type="dxa" w:w="1584"/>
          </w:tcPr>
          <w:p>
            <w:r/>
            <w:r>
              <w:rPr>
                <w:b w:val="0"/>
                <w:sz w:val="18"/>
              </w:rPr>
              <w:t>US-DOC-04</w:t>
            </w:r>
          </w:p>
        </w:tc>
        <w:tc>
          <w:tcPr>
            <w:tcW w:type="dxa" w:w="6336"/>
          </w:tcPr>
          <w:p>
            <w:r/>
            <w:r>
              <w:rPr>
                <w:b w:val="0"/>
                <w:sz w:val="18"/>
              </w:rPr>
              <w:t>operator, I retag one or many documents and see the impact before applying.</w:t>
            </w:r>
          </w:p>
        </w:tc>
        <w:tc>
          <w:tcPr>
            <w:tcW w:type="dxa" w:w="1296"/>
          </w:tcPr>
          <w:p>
            <w:r/>
            <w:r>
              <w:rPr>
                <w:b w:val="0"/>
                <w:sz w:val="18"/>
              </w:rPr>
              <w:t>§6.3</w:t>
            </w:r>
          </w:p>
        </w:tc>
      </w:tr>
      <w:tr>
        <w:tc>
          <w:tcPr>
            <w:tcW w:type="dxa" w:w="1584"/>
          </w:tcPr>
          <w:p>
            <w:r/>
            <w:r>
              <w:rPr>
                <w:b w:val="0"/>
                <w:sz w:val="18"/>
              </w:rPr>
              <w:t>US-DOC-05</w:t>
            </w:r>
          </w:p>
        </w:tc>
        <w:tc>
          <w:tcPr>
            <w:tcW w:type="dxa" w:w="6336"/>
          </w:tcPr>
          <w:p>
            <w:r/>
            <w:r>
              <w:rPr>
                <w:b w:val="0"/>
                <w:sz w:val="18"/>
              </w:rPr>
              <w:t>operator, I delete a document (single or bulk) with a confirmation guard and undo.</w:t>
            </w:r>
          </w:p>
        </w:tc>
        <w:tc>
          <w:tcPr>
            <w:tcW w:type="dxa" w:w="1296"/>
          </w:tcPr>
          <w:p>
            <w:r/>
            <w:r>
              <w:rPr>
                <w:b w:val="0"/>
                <w:sz w:val="18"/>
              </w:rPr>
              <w:t>§6.3</w:t>
            </w:r>
          </w:p>
        </w:tc>
      </w:tr>
      <w:tr>
        <w:tc>
          <w:tcPr>
            <w:tcW w:type="dxa" w:w="1584"/>
          </w:tcPr>
          <w:p>
            <w:r/>
            <w:r>
              <w:rPr>
                <w:b w:val="0"/>
                <w:sz w:val="18"/>
              </w:rPr>
              <w:t>US-DOC-06</w:t>
            </w:r>
          </w:p>
        </w:tc>
        <w:tc>
          <w:tcPr>
            <w:tcW w:type="dxa" w:w="6336"/>
          </w:tcPr>
          <w:p>
            <w:r/>
            <w:r>
              <w:rPr>
                <w:b w:val="0"/>
                <w:sz w:val="18"/>
              </w:rPr>
              <w:t>operator, I reprocess failed documents.</w:t>
            </w:r>
          </w:p>
        </w:tc>
        <w:tc>
          <w:tcPr>
            <w:tcW w:type="dxa" w:w="1296"/>
          </w:tcPr>
          <w:p>
            <w:r/>
            <w:r>
              <w:rPr>
                <w:b w:val="0"/>
                <w:sz w:val="18"/>
              </w:rPr>
              <w:t>§6.3</w:t>
            </w:r>
          </w:p>
        </w:tc>
      </w:tr>
      <w:tr>
        <w:tc>
          <w:tcPr>
            <w:tcW w:type="dxa" w:w="1584"/>
          </w:tcPr>
          <w:p>
            <w:r/>
            <w:r>
              <w:rPr>
                <w:b w:val="0"/>
                <w:sz w:val="18"/>
              </w:rPr>
              <w:t>US-UPL-01</w:t>
            </w:r>
          </w:p>
        </w:tc>
        <w:tc>
          <w:tcPr>
            <w:tcW w:type="dxa" w:w="6336"/>
          </w:tcPr>
          <w:p>
            <w:r/>
            <w:r>
              <w:rPr>
                <w:b w:val="0"/>
                <w:sz w:val="18"/>
              </w:rPr>
              <w:t>operator, I upload files (or add URLs), assign tags, and set a sensitivity class.</w:t>
            </w:r>
          </w:p>
        </w:tc>
        <w:tc>
          <w:tcPr>
            <w:tcW w:type="dxa" w:w="1296"/>
          </w:tcPr>
          <w:p>
            <w:r/>
            <w:r>
              <w:rPr>
                <w:b w:val="0"/>
                <w:sz w:val="18"/>
              </w:rPr>
              <w:t>§6.4</w:t>
            </w:r>
          </w:p>
        </w:tc>
      </w:tr>
      <w:tr>
        <w:tc>
          <w:tcPr>
            <w:tcW w:type="dxa" w:w="1584"/>
          </w:tcPr>
          <w:p>
            <w:r/>
            <w:r>
              <w:rPr>
                <w:b w:val="0"/>
                <w:sz w:val="18"/>
              </w:rPr>
              <w:t>US-UPL-02</w:t>
            </w:r>
          </w:p>
        </w:tc>
        <w:tc>
          <w:tcPr>
            <w:tcW w:type="dxa" w:w="6336"/>
          </w:tcPr>
          <w:p>
            <w:r/>
            <w:r>
              <w:rPr>
                <w:b w:val="0"/>
                <w:sz w:val="18"/>
              </w:rPr>
              <w:t>operator, files above the allowed sensitivity ceiling are refused, not indexed.</w:t>
            </w:r>
          </w:p>
        </w:tc>
        <w:tc>
          <w:tcPr>
            <w:tcW w:type="dxa" w:w="1296"/>
          </w:tcPr>
          <w:p>
            <w:r/>
            <w:r>
              <w:rPr>
                <w:b w:val="0"/>
                <w:sz w:val="18"/>
              </w:rPr>
              <w:t>§6.4</w:t>
            </w:r>
          </w:p>
        </w:tc>
      </w:tr>
      <w:tr>
        <w:tc>
          <w:tcPr>
            <w:tcW w:type="dxa" w:w="1584"/>
          </w:tcPr>
          <w:p>
            <w:r/>
            <w:r>
              <w:rPr>
                <w:b w:val="0"/>
                <w:sz w:val="18"/>
              </w:rPr>
              <w:t>US-TAG-01</w:t>
            </w:r>
          </w:p>
        </w:tc>
        <w:tc>
          <w:tcPr>
            <w:tcW w:type="dxa" w:w="6336"/>
          </w:tcPr>
          <w:p>
            <w:r/>
            <w:r>
              <w:rPr>
                <w:b w:val="0"/>
                <w:sz w:val="18"/>
              </w:rPr>
              <w:t>operator, I request a new tag for review.</w:t>
            </w:r>
          </w:p>
        </w:tc>
        <w:tc>
          <w:tcPr>
            <w:tcW w:type="dxa" w:w="1296"/>
          </w:tcPr>
          <w:p>
            <w:r/>
            <w:r>
              <w:rPr>
                <w:b w:val="0"/>
                <w:sz w:val="18"/>
              </w:rPr>
              <w:t>§6.5</w:t>
            </w:r>
          </w:p>
        </w:tc>
      </w:tr>
      <w:tr>
        <w:tc>
          <w:tcPr>
            <w:tcW w:type="dxa" w:w="1584"/>
          </w:tcPr>
          <w:p>
            <w:r/>
            <w:r>
              <w:rPr>
                <w:b w:val="0"/>
                <w:sz w:val="18"/>
              </w:rPr>
              <w:t>US-TAG-02</w:t>
            </w:r>
          </w:p>
        </w:tc>
        <w:tc>
          <w:tcPr>
            <w:tcW w:type="dxa" w:w="6336"/>
          </w:tcPr>
          <w:p>
            <w:r/>
            <w:r>
              <w:rPr>
                <w:b w:val="0"/>
                <w:sz w:val="18"/>
              </w:rPr>
              <w:t>admin, I edit, deprecate, manage synonyms of, or delete a tag (with migration).</w:t>
            </w:r>
          </w:p>
        </w:tc>
        <w:tc>
          <w:tcPr>
            <w:tcW w:type="dxa" w:w="1296"/>
          </w:tcPr>
          <w:p>
            <w:r/>
            <w:r>
              <w:rPr>
                <w:b w:val="0"/>
                <w:sz w:val="18"/>
              </w:rPr>
              <w:t>§6.5</w:t>
            </w:r>
          </w:p>
        </w:tc>
      </w:tr>
      <w:tr>
        <w:tc>
          <w:tcPr>
            <w:tcW w:type="dxa" w:w="1584"/>
          </w:tcPr>
          <w:p>
            <w:r/>
            <w:r>
              <w:rPr>
                <w:b w:val="0"/>
                <w:sz w:val="18"/>
              </w:rPr>
              <w:t>US-TAG-03</w:t>
            </w:r>
          </w:p>
        </w:tc>
        <w:tc>
          <w:tcPr>
            <w:tcW w:type="dxa" w:w="6336"/>
          </w:tcPr>
          <w:p>
            <w:r/>
            <w:r>
              <w:rPr>
                <w:b w:val="0"/>
                <w:sz w:val="18"/>
              </w:rPr>
              <w:t>admin, I approve / reject pending tag requests.</w:t>
            </w:r>
          </w:p>
        </w:tc>
        <w:tc>
          <w:tcPr>
            <w:tcW w:type="dxa" w:w="1296"/>
          </w:tcPr>
          <w:p>
            <w:r/>
            <w:r>
              <w:rPr>
                <w:b w:val="0"/>
                <w:sz w:val="18"/>
              </w:rPr>
              <w:t>§6.5</w:t>
            </w:r>
          </w:p>
        </w:tc>
      </w:tr>
      <w:tr>
        <w:tc>
          <w:tcPr>
            <w:tcW w:type="dxa" w:w="1584"/>
          </w:tcPr>
          <w:p>
            <w:r/>
            <w:r>
              <w:rPr>
                <w:b w:val="0"/>
                <w:sz w:val="18"/>
              </w:rPr>
              <w:t>US-TAG-04</w:t>
            </w:r>
          </w:p>
        </w:tc>
        <w:tc>
          <w:tcPr>
            <w:tcW w:type="dxa" w:w="6336"/>
          </w:tcPr>
          <w:p>
            <w:r/>
            <w:r>
              <w:rPr>
                <w:b w:val="0"/>
                <w:sz w:val="18"/>
              </w:rPr>
              <w:t>admin, I manage the tag-category taxonomy (add, import, template).</w:t>
            </w:r>
          </w:p>
        </w:tc>
        <w:tc>
          <w:tcPr>
            <w:tcW w:type="dxa" w:w="1296"/>
          </w:tcPr>
          <w:p>
            <w:r/>
            <w:r>
              <w:rPr>
                <w:b w:val="0"/>
                <w:sz w:val="18"/>
              </w:rPr>
              <w:t>§6.5</w:t>
            </w:r>
          </w:p>
        </w:tc>
      </w:tr>
      <w:tr>
        <w:tc>
          <w:tcPr>
            <w:tcW w:type="dxa" w:w="1584"/>
          </w:tcPr>
          <w:p>
            <w:r/>
            <w:r>
              <w:rPr>
                <w:b w:val="0"/>
                <w:sz w:val="18"/>
              </w:rPr>
              <w:t>US-RET-01</w:t>
            </w:r>
          </w:p>
        </w:tc>
        <w:tc>
          <w:tcPr>
            <w:tcW w:type="dxa" w:w="6336"/>
          </w:tcPr>
          <w:p>
            <w:r/>
            <w:r>
              <w:rPr>
                <w:b w:val="0"/>
                <w:sz w:val="18"/>
              </w:rPr>
              <w:t>operator, I ask a question and receive an answer with a sources panel.</w:t>
            </w:r>
          </w:p>
        </w:tc>
        <w:tc>
          <w:tcPr>
            <w:tcW w:type="dxa" w:w="1296"/>
          </w:tcPr>
          <w:p>
            <w:r/>
            <w:r>
              <w:rPr>
                <w:b w:val="0"/>
                <w:sz w:val="18"/>
              </w:rPr>
              <w:t>§6.6</w:t>
            </w:r>
          </w:p>
        </w:tc>
      </w:tr>
      <w:tr>
        <w:tc>
          <w:tcPr>
            <w:tcW w:type="dxa" w:w="1584"/>
          </w:tcPr>
          <w:p>
            <w:r/>
            <w:r>
              <w:rPr>
                <w:b w:val="0"/>
                <w:sz w:val="18"/>
              </w:rPr>
              <w:t>US-RET-02</w:t>
            </w:r>
          </w:p>
        </w:tc>
        <w:tc>
          <w:tcPr>
            <w:tcW w:type="dxa" w:w="6336"/>
          </w:tcPr>
          <w:p>
            <w:r/>
            <w:r>
              <w:rPr>
                <w:b w:val="0"/>
                <w:sz w:val="18"/>
              </w:rPr>
              <w:t>operator, I tune retrieval parameters (mode, top-k, rerank, filters).</w:t>
            </w:r>
          </w:p>
        </w:tc>
        <w:tc>
          <w:tcPr>
            <w:tcW w:type="dxa" w:w="1296"/>
          </w:tcPr>
          <w:p>
            <w:r/>
            <w:r>
              <w:rPr>
                <w:b w:val="0"/>
                <w:sz w:val="18"/>
              </w:rPr>
              <w:t>§6.6</w:t>
            </w:r>
          </w:p>
        </w:tc>
      </w:tr>
      <w:tr>
        <w:tc>
          <w:tcPr>
            <w:tcW w:type="dxa" w:w="1584"/>
          </w:tcPr>
          <w:p>
            <w:r/>
            <w:r>
              <w:rPr>
                <w:b w:val="0"/>
                <w:sz w:val="18"/>
              </w:rPr>
              <w:t>US-RET-03</w:t>
            </w:r>
          </w:p>
        </w:tc>
        <w:tc>
          <w:tcPr>
            <w:tcW w:type="dxa" w:w="6336"/>
          </w:tcPr>
          <w:p>
            <w:r/>
            <w:r>
              <w:rPr>
                <w:b w:val="0"/>
                <w:sz w:val="18"/>
              </w:rPr>
              <w:t>operator, my conversation threads persist locally across reloads.</w:t>
            </w:r>
          </w:p>
        </w:tc>
        <w:tc>
          <w:tcPr>
            <w:tcW w:type="dxa" w:w="1296"/>
          </w:tcPr>
          <w:p>
            <w:r/>
            <w:r>
              <w:rPr>
                <w:b w:val="0"/>
                <w:sz w:val="18"/>
              </w:rPr>
              <w:t>§6.6</w:t>
            </w:r>
          </w:p>
        </w:tc>
      </w:tr>
      <w:tr>
        <w:tc>
          <w:tcPr>
            <w:tcW w:type="dxa" w:w="1584"/>
          </w:tcPr>
          <w:p>
            <w:r/>
            <w:r>
              <w:rPr>
                <w:b w:val="0"/>
                <w:sz w:val="18"/>
              </w:rPr>
              <w:t>US-GRAPH-01</w:t>
            </w:r>
          </w:p>
        </w:tc>
        <w:tc>
          <w:tcPr>
            <w:tcW w:type="dxa" w:w="6336"/>
          </w:tcPr>
          <w:p>
            <w:r/>
            <w:r>
              <w:rPr>
                <w:b w:val="0"/>
                <w:sz w:val="18"/>
              </w:rPr>
              <w:t>operator, I explore the knowledge graph and filter by type / tag / document.</w:t>
            </w:r>
          </w:p>
        </w:tc>
        <w:tc>
          <w:tcPr>
            <w:tcW w:type="dxa" w:w="1296"/>
          </w:tcPr>
          <w:p>
            <w:r/>
            <w:r>
              <w:rPr>
                <w:b w:val="0"/>
                <w:sz w:val="18"/>
              </w:rPr>
              <w:t>§6.7</w:t>
            </w:r>
          </w:p>
        </w:tc>
      </w:tr>
      <w:tr>
        <w:tc>
          <w:tcPr>
            <w:tcW w:type="dxa" w:w="1584"/>
          </w:tcPr>
          <w:p>
            <w:r/>
            <w:r>
              <w:rPr>
                <w:b w:val="0"/>
                <w:sz w:val="18"/>
              </w:rPr>
              <w:t>US-GRAPH-02</w:t>
            </w:r>
          </w:p>
        </w:tc>
        <w:tc>
          <w:tcPr>
            <w:tcW w:type="dxa" w:w="6336"/>
          </w:tcPr>
          <w:p>
            <w:r/>
            <w:r>
              <w:rPr>
                <w:b w:val="0"/>
                <w:sz w:val="18"/>
              </w:rPr>
              <w:t>operator, I inspect an entity and its relations and pin it.</w:t>
            </w:r>
          </w:p>
        </w:tc>
        <w:tc>
          <w:tcPr>
            <w:tcW w:type="dxa" w:w="1296"/>
          </w:tcPr>
          <w:p>
            <w:r/>
            <w:r>
              <w:rPr>
                <w:b w:val="0"/>
                <w:sz w:val="18"/>
              </w:rPr>
              <w:t>§6.7</w:t>
            </w:r>
          </w:p>
        </w:tc>
      </w:tr>
      <w:tr>
        <w:tc>
          <w:tcPr>
            <w:tcW w:type="dxa" w:w="1584"/>
          </w:tcPr>
          <w:p>
            <w:r/>
            <w:r>
              <w:rPr>
                <w:b w:val="0"/>
                <w:sz w:val="18"/>
              </w:rPr>
              <w:t>US-GRAPH-03</w:t>
            </w:r>
          </w:p>
        </w:tc>
        <w:tc>
          <w:tcPr>
            <w:tcW w:type="dxa" w:w="6336"/>
          </w:tcPr>
          <w:p>
            <w:r/>
            <w:r>
              <w:rPr>
                <w:b w:val="0"/>
                <w:sz w:val="18"/>
              </w:rPr>
              <w:t>admin, I create / edit / delete entities and relations.</w:t>
            </w:r>
          </w:p>
        </w:tc>
        <w:tc>
          <w:tcPr>
            <w:tcW w:type="dxa" w:w="1296"/>
          </w:tcPr>
          <w:p>
            <w:r/>
            <w:r>
              <w:rPr>
                <w:b w:val="0"/>
                <w:sz w:val="18"/>
              </w:rPr>
              <w:t>§6.7</w:t>
            </w:r>
          </w:p>
        </w:tc>
      </w:tr>
      <w:tr>
        <w:tc>
          <w:tcPr>
            <w:tcW w:type="dxa" w:w="1584"/>
          </w:tcPr>
          <w:p>
            <w:r/>
            <w:r>
              <w:rPr>
                <w:b w:val="0"/>
                <w:sz w:val="18"/>
              </w:rPr>
              <w:t>US-ACT-01</w:t>
            </w:r>
          </w:p>
        </w:tc>
        <w:tc>
          <w:tcPr>
            <w:tcW w:type="dxa" w:w="6336"/>
          </w:tcPr>
          <w:p>
            <w:r/>
            <w:r>
              <w:rPr>
                <w:b w:val="0"/>
                <w:sz w:val="18"/>
              </w:rPr>
              <w:t>operator, I review the audit feed and filter by time, kind, severity, actor.</w:t>
            </w:r>
          </w:p>
        </w:tc>
        <w:tc>
          <w:tcPr>
            <w:tcW w:type="dxa" w:w="1296"/>
          </w:tcPr>
          <w:p>
            <w:r/>
            <w:r>
              <w:rPr>
                <w:b w:val="0"/>
                <w:sz w:val="18"/>
              </w:rPr>
              <w:t>§6.8</w:t>
            </w:r>
          </w:p>
        </w:tc>
      </w:tr>
      <w:tr>
        <w:tc>
          <w:tcPr>
            <w:tcW w:type="dxa" w:w="1584"/>
          </w:tcPr>
          <w:p>
            <w:r/>
            <w:r>
              <w:rPr>
                <w:b w:val="0"/>
                <w:sz w:val="18"/>
              </w:rPr>
              <w:t>US-ACT-02</w:t>
            </w:r>
          </w:p>
        </w:tc>
        <w:tc>
          <w:tcPr>
            <w:tcW w:type="dxa" w:w="6336"/>
          </w:tcPr>
          <w:p>
            <w:r/>
            <w:r>
              <w:rPr>
                <w:b w:val="0"/>
                <w:sz w:val="18"/>
              </w:rPr>
              <w:t>operator, I open an event and drill down to its source document.</w:t>
            </w:r>
          </w:p>
        </w:tc>
        <w:tc>
          <w:tcPr>
            <w:tcW w:type="dxa" w:w="1296"/>
          </w:tcPr>
          <w:p>
            <w:r/>
            <w:r>
              <w:rPr>
                <w:b w:val="0"/>
                <w:sz w:val="18"/>
              </w:rPr>
              <w:t>§6.8</w:t>
            </w:r>
          </w:p>
        </w:tc>
      </w:tr>
      <w:tr>
        <w:tc>
          <w:tcPr>
            <w:tcW w:type="dxa" w:w="1584"/>
          </w:tcPr>
          <w:p>
            <w:r/>
            <w:r>
              <w:rPr>
                <w:b w:val="0"/>
                <w:sz w:val="18"/>
              </w:rPr>
              <w:t>US-SET-01</w:t>
            </w:r>
          </w:p>
        </w:tc>
        <w:tc>
          <w:tcPr>
            <w:tcW w:type="dxa" w:w="6336"/>
          </w:tcPr>
          <w:p>
            <w:r/>
            <w:r>
              <w:rPr>
                <w:b w:val="0"/>
                <w:sz w:val="18"/>
              </w:rPr>
              <w:t>operator, I view my profile, identity provider and gateway scopes.</w:t>
            </w:r>
          </w:p>
        </w:tc>
        <w:tc>
          <w:tcPr>
            <w:tcW w:type="dxa" w:w="1296"/>
          </w:tcPr>
          <w:p>
            <w:r/>
            <w:r>
              <w:rPr>
                <w:b w:val="0"/>
                <w:sz w:val="18"/>
              </w:rPr>
              <w:t>§6.9</w:t>
            </w:r>
          </w:p>
        </w:tc>
      </w:tr>
      <w:tr>
        <w:tc>
          <w:tcPr>
            <w:tcW w:type="dxa" w:w="1584"/>
          </w:tcPr>
          <w:p>
            <w:r/>
            <w:r>
              <w:rPr>
                <w:b w:val="0"/>
                <w:sz w:val="18"/>
              </w:rPr>
              <w:t>US-SET-02</w:t>
            </w:r>
          </w:p>
        </w:tc>
        <w:tc>
          <w:tcPr>
            <w:tcW w:type="dxa" w:w="6336"/>
          </w:tcPr>
          <w:p>
            <w:r/>
            <w:r>
              <w:rPr>
                <w:b w:val="0"/>
                <w:sz w:val="18"/>
              </w:rPr>
              <w:t>operator, I browse the live API surface.</w:t>
            </w:r>
          </w:p>
        </w:tc>
        <w:tc>
          <w:tcPr>
            <w:tcW w:type="dxa" w:w="1296"/>
          </w:tcPr>
          <w:p>
            <w:r/>
            <w:r>
              <w:rPr>
                <w:b w:val="0"/>
                <w:sz w:val="18"/>
              </w:rPr>
              <w:t>§6.9</w:t>
            </w:r>
          </w:p>
        </w:tc>
      </w:tr>
      <w:tr>
        <w:tc>
          <w:tcPr>
            <w:tcW w:type="dxa" w:w="1584"/>
          </w:tcPr>
          <w:p>
            <w:r/>
            <w:r>
              <w:rPr>
                <w:b w:val="0"/>
                <w:sz w:val="18"/>
              </w:rPr>
              <w:t>US-SET-03</w:t>
            </w:r>
          </w:p>
        </w:tc>
        <w:tc>
          <w:tcPr>
            <w:tcW w:type="dxa" w:w="6336"/>
          </w:tcPr>
          <w:p>
            <w:r/>
            <w:r>
              <w:rPr>
                <w:b w:val="0"/>
                <w:sz w:val="18"/>
              </w:rPr>
              <w:t>admin, I mint, reveal-once, and revoke per-operator API keys.</w:t>
            </w:r>
          </w:p>
        </w:tc>
        <w:tc>
          <w:tcPr>
            <w:tcW w:type="dxa" w:w="1296"/>
          </w:tcPr>
          <w:p>
            <w:r/>
            <w:r>
              <w:rPr>
                <w:b w:val="0"/>
                <w:sz w:val="18"/>
              </w:rPr>
              <w:t>§6.9</w:t>
            </w:r>
          </w:p>
        </w:tc>
      </w:tr>
      <w:tr>
        <w:tc>
          <w:tcPr>
            <w:tcW w:type="dxa" w:w="1584"/>
          </w:tcPr>
          <w:p>
            <w:r/>
            <w:r>
              <w:rPr>
                <w:b w:val="0"/>
                <w:sz w:val="18"/>
              </w:rPr>
              <w:t>US-SET-04</w:t>
            </w:r>
          </w:p>
        </w:tc>
        <w:tc>
          <w:tcPr>
            <w:tcW w:type="dxa" w:w="6336"/>
          </w:tcPr>
          <w:p>
            <w:r/>
            <w:r>
              <w:rPr>
                <w:b w:val="0"/>
                <w:sz w:val="18"/>
              </w:rPr>
              <w:t>admin, I create / edit / delete runtime folders within the cap.</w:t>
            </w:r>
          </w:p>
        </w:tc>
        <w:tc>
          <w:tcPr>
            <w:tcW w:type="dxa" w:w="1296"/>
          </w:tcPr>
          <w:p>
            <w:r/>
            <w:r>
              <w:rPr>
                <w:b w:val="0"/>
                <w:sz w:val="18"/>
              </w:rPr>
              <w:t>§6.9</w:t>
            </w:r>
          </w:p>
        </w:tc>
      </w:tr>
    </w:tbl>
    <w:p>
      <w:pPr>
        <w:spacing w:after="80"/>
      </w:pPr>
    </w:p>
    <w:p>
      <w:r>
        <w:br w:type="page"/>
      </w:r>
    </w:p>
    <w:p>
      <w:pPr>
        <w:pStyle w:val="Heading1"/>
      </w:pPr>
      <w:r>
        <w:t>6. Screen-by-screen test scripts</w:t>
      </w:r>
    </w:p>
    <w:p>
      <w:pPr>
        <w:spacing w:after="120"/>
      </w:pPr>
      <w:r>
        <w:rPr>
          <w:b w:val="0"/>
          <w:i w:val="0"/>
        </w:rPr>
        <w:t>Each subsection: a screenshot, what the screen does, the stories it covers, then the test cases. Cases marked E2E (automated) already have Playwright coverage — the manual team runs them once as a smoke check.</w:t>
      </w:r>
    </w:p>
    <w:p>
      <w:pPr>
        <w:pStyle w:val="Heading2"/>
      </w:pPr>
      <w:r>
        <w:t>6.1 Login &amp; session</w:t>
      </w:r>
    </w:p>
    <w:p>
      <w:pPr>
        <w:jc w:val="center"/>
      </w:pPr>
      <w:r>
        <w:drawing>
          <wp:inline xmlns:a="http://schemas.openxmlformats.org/drawingml/2006/main" xmlns:pic="http://schemas.openxmlformats.org/drawingml/2006/picture">
            <wp:extent cx="5852160" cy="44704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852160" cy="4470400"/>
                    </a:xfrm>
                    <a:prstGeom prst="rect"/>
                  </pic:spPr>
                </pic:pic>
              </a:graphicData>
            </a:graphic>
          </wp:inline>
        </w:drawing>
      </w:r>
    </w:p>
    <w:p>
      <w:pPr>
        <w:spacing w:after="200"/>
        <w:jc w:val="center"/>
      </w:pPr>
      <w:r>
        <w:rPr>
          <w:i/>
          <w:color w:val="5A5A5A"/>
          <w:sz w:val="17"/>
        </w:rPr>
        <w:t>Figure — Auth gate (shown when an authentication backend is configured).</w:t>
      </w:r>
    </w:p>
    <w:p>
      <w:pPr>
        <w:spacing w:after="120"/>
      </w:pPr>
      <w:r>
        <w:rPr>
          <w:b w:val="0"/>
          <w:i w:val="0"/>
        </w:rPr>
        <w:t>The login gate appears only when the deployment configures an auth backend (API key, local JWT, or IdP). In the open-access default it is skipped. Local login issues an HttpOnly session cookie; sign-out clears it and purges local conversation threads.</w:t>
      </w:r>
    </w:p>
    <w:p>
      <w:pPr>
        <w:spacing w:after="80"/>
      </w:pPr>
      <w:r>
        <w:rPr>
          <w:b/>
          <w:sz w:val="18"/>
        </w:rPr>
        <w:t xml:space="preserve">Reach: </w:t>
      </w:r>
      <w:r>
        <w:rPr>
          <w:sz w:val="18"/>
        </w:rPr>
        <w:t>First screen on load when auth is enabled; sign-out from Settings › Profile returns here.</w:t>
      </w:r>
    </w:p>
    <w:p>
      <w:pPr>
        <w:spacing w:after="120"/>
      </w:pPr>
      <w:r>
        <w:rPr>
          <w:b/>
          <w:sz w:val="18"/>
        </w:rPr>
        <w:t xml:space="preserve">Stories: </w:t>
      </w:r>
      <w:r>
        <w:rPr>
          <w:sz w:val="18"/>
        </w:rPr>
        <w:t>US-AUTH-01, US-AUTH-02</w:t>
      </w:r>
    </w:p>
    <w:p>
      <w:pPr>
        <w:spacing w:before="160" w:after="40"/>
      </w:pPr>
      <w:r>
        <w:rPr>
          <w:b/>
          <w:color w:val="1F4E79"/>
          <w:sz w:val="21"/>
        </w:rPr>
        <w:t>TC-AUTH-01 — Submit is disabled until both fields are filled</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Auth gate enabled; login screen shown.</w:t>
      </w:r>
    </w:p>
    <w:p>
      <w:pPr>
        <w:spacing w:after="40"/>
      </w:pPr>
      <w:r>
        <w:rPr>
          <w:b/>
        </w:rPr>
        <w:t>Steps:</w:t>
      </w:r>
    </w:p>
    <w:p>
      <w:pPr>
        <w:pStyle w:val="ListNumber"/>
        <w:spacing w:after="20"/>
      </w:pPr>
      <w:r>
        <w:rPr>
          <w:sz w:val="18"/>
        </w:rPr>
        <w:t>Observe the Sign-in button is disabled.</w:t>
      </w:r>
    </w:p>
    <w:p>
      <w:pPr>
        <w:pStyle w:val="ListNumber"/>
        <w:spacing w:after="20"/>
      </w:pPr>
      <w:r>
        <w:rPr>
          <w:sz w:val="18"/>
        </w:rPr>
        <w:t>Type a username only — button stays disabled.</w:t>
      </w:r>
    </w:p>
    <w:p>
      <w:pPr>
        <w:pStyle w:val="ListNumber"/>
        <w:spacing w:after="20"/>
      </w:pPr>
      <w:r>
        <w:rPr>
          <w:sz w:val="18"/>
        </w:rPr>
        <w:t>Type a password — button becomes enabled.</w:t>
      </w:r>
    </w:p>
    <w:p>
      <w:pPr>
        <w:spacing w:after="40"/>
      </w:pPr>
      <w:r>
        <w:rPr>
          <w:b/>
          <w:color w:val="1F7A3D"/>
          <w:sz w:val="18"/>
        </w:rPr>
        <w:t xml:space="preserve">Expected result: </w:t>
      </w:r>
      <w:r>
        <w:rPr>
          <w:sz w:val="18"/>
        </w:rPr>
        <w:t>Sign-in enables only when both username and password are non-empty; the app shell is not visible behind the gate.</w:t>
      </w:r>
    </w:p>
    <w:p>
      <w:pPr>
        <w:spacing w:before="160" w:after="40"/>
      </w:pPr>
      <w:r>
        <w:rPr>
          <w:b/>
          <w:color w:val="1F4E79"/>
          <w:sz w:val="21"/>
        </w:rPr>
        <w:t>TC-AUTH-02 — Bad credentials show an error and keep the gate</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Login screen shown.</w:t>
      </w:r>
    </w:p>
    <w:p>
      <w:pPr>
        <w:spacing w:after="40"/>
      </w:pPr>
      <w:r>
        <w:rPr>
          <w:b/>
        </w:rPr>
        <w:t>Steps:</w:t>
      </w:r>
    </w:p>
    <w:p>
      <w:pPr>
        <w:pStyle w:val="ListNumber"/>
        <w:spacing w:after="20"/>
      </w:pPr>
      <w:r>
        <w:rPr>
          <w:sz w:val="18"/>
        </w:rPr>
        <w:t>Enter a valid username and a wrong password.</w:t>
      </w:r>
    </w:p>
    <w:p>
      <w:pPr>
        <w:pStyle w:val="ListNumber"/>
        <w:spacing w:after="20"/>
      </w:pPr>
      <w:r>
        <w:rPr>
          <w:sz w:val="18"/>
        </w:rPr>
        <w:t>Click Sign in.</w:t>
      </w:r>
    </w:p>
    <w:p>
      <w:pPr>
        <w:spacing w:after="40"/>
      </w:pPr>
      <w:r>
        <w:rPr>
          <w:b/>
          <w:color w:val="1F7A3D"/>
          <w:sz w:val="18"/>
        </w:rPr>
        <w:t xml:space="preserve">Expected result: </w:t>
      </w:r>
      <w:r>
        <w:rPr>
          <w:sz w:val="18"/>
        </w:rPr>
        <w:t>An inline error appears; the login screen remains; no app content leaks.</w:t>
      </w:r>
    </w:p>
    <w:p>
      <w:pPr>
        <w:spacing w:before="160" w:after="40"/>
      </w:pPr>
      <w:r>
        <w:rPr>
          <w:b/>
          <w:color w:val="1F4E79"/>
          <w:sz w:val="21"/>
        </w:rPr>
        <w:t>TC-AUTH-03 — Valid credentials enter the app and survive reload</w:t>
      </w:r>
    </w:p>
    <w:p>
      <w:pPr>
        <w:spacing w:after="40"/>
      </w:pPr>
      <w:r>
        <w:rPr>
          <w:color w:val="5A5A5A"/>
          <w:sz w:val="17"/>
        </w:rPr>
        <w:t>Type: E2E (automated)</w:t>
      </w:r>
      <w:r>
        <w:rPr>
          <w:b/>
          <w:color w:val="B02A2A"/>
          <w:sz w:val="17"/>
        </w:rPr>
        <w:t xml:space="preserve">     Max severity if it fails: S1</w:t>
      </w:r>
    </w:p>
    <w:p>
      <w:pPr>
        <w:spacing w:after="40"/>
      </w:pPr>
      <w:r>
        <w:rPr>
          <w:b/>
          <w:sz w:val="18"/>
        </w:rPr>
        <w:t xml:space="preserve">Preconditions: </w:t>
      </w:r>
      <w:r>
        <w:rPr>
          <w:sz w:val="18"/>
        </w:rPr>
        <w:t>Login screen shown.</w:t>
      </w:r>
    </w:p>
    <w:p>
      <w:pPr>
        <w:spacing w:after="40"/>
      </w:pPr>
      <w:r>
        <w:rPr>
          <w:b/>
        </w:rPr>
        <w:t>Steps:</w:t>
      </w:r>
    </w:p>
    <w:p>
      <w:pPr>
        <w:pStyle w:val="ListNumber"/>
        <w:spacing w:after="20"/>
      </w:pPr>
      <w:r>
        <w:rPr>
          <w:sz w:val="18"/>
        </w:rPr>
        <w:t>Enter valid credentials and click Sign in.</w:t>
      </w:r>
    </w:p>
    <w:p>
      <w:pPr>
        <w:pStyle w:val="ListNumber"/>
        <w:spacing w:after="20"/>
      </w:pPr>
      <w:r>
        <w:rPr>
          <w:sz w:val="18"/>
        </w:rPr>
        <w:t>Confirm the Documents screen loads.</w:t>
      </w:r>
    </w:p>
    <w:p>
      <w:pPr>
        <w:pStyle w:val="ListNumber"/>
        <w:spacing w:after="20"/>
      </w:pPr>
      <w:r>
        <w:rPr>
          <w:sz w:val="18"/>
        </w:rPr>
        <w:t>Reload the page.</w:t>
      </w:r>
    </w:p>
    <w:p>
      <w:pPr>
        <w:spacing w:after="40"/>
      </w:pPr>
      <w:r>
        <w:rPr>
          <w:b/>
          <w:color w:val="1F7A3D"/>
          <w:sz w:val="18"/>
        </w:rPr>
        <w:t xml:space="preserve">Expected result: </w:t>
      </w:r>
      <w:r>
        <w:rPr>
          <w:sz w:val="18"/>
        </w:rPr>
        <w:t>The session persists across reload; the operator stays signed in.</w:t>
      </w:r>
    </w:p>
    <w:p>
      <w:pPr>
        <w:spacing w:before="160" w:after="40"/>
      </w:pPr>
      <w:r>
        <w:rPr>
          <w:b/>
          <w:color w:val="1F4E79"/>
          <w:sz w:val="21"/>
        </w:rPr>
        <w:t>TC-AUTH-04 — Sign-out returns to the gate and clears local threads</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Signed in.</w:t>
      </w:r>
    </w:p>
    <w:p>
      <w:pPr>
        <w:spacing w:after="40"/>
      </w:pPr>
      <w:r>
        <w:rPr>
          <w:b/>
        </w:rPr>
        <w:t>Steps:</w:t>
      </w:r>
    </w:p>
    <w:p>
      <w:pPr>
        <w:pStyle w:val="ListNumber"/>
        <w:spacing w:after="20"/>
      </w:pPr>
      <w:r>
        <w:rPr>
          <w:sz w:val="18"/>
        </w:rPr>
        <w:t>Go to Settings › Profile.</w:t>
      </w:r>
    </w:p>
    <w:p>
      <w:pPr>
        <w:pStyle w:val="ListNumber"/>
        <w:spacing w:after="20"/>
      </w:pPr>
      <w:r>
        <w:rPr>
          <w:sz w:val="18"/>
        </w:rPr>
        <w:t>Click Sign out.</w:t>
      </w:r>
    </w:p>
    <w:p>
      <w:pPr>
        <w:pStyle w:val="ListNumber"/>
        <w:spacing w:after="20"/>
      </w:pPr>
      <w:r>
        <w:rPr>
          <w:sz w:val="18"/>
        </w:rPr>
        <w:t>Inspect browser localStorage for twin-rag.* keys.</w:t>
      </w:r>
    </w:p>
    <w:p>
      <w:pPr>
        <w:spacing w:after="40"/>
      </w:pPr>
      <w:r>
        <w:rPr>
          <w:b/>
          <w:color w:val="1F7A3D"/>
          <w:sz w:val="18"/>
        </w:rPr>
        <w:t xml:space="preserve">Expected result: </w:t>
      </w:r>
      <w:r>
        <w:rPr>
          <w:sz w:val="18"/>
        </w:rPr>
        <w:t>The login gate returns and all twin-rag.* local keys are removed.</w:t>
      </w:r>
    </w:p>
    <w:p>
      <w:pPr>
        <w:spacing w:before="160" w:after="40"/>
      </w:pPr>
      <w:r>
        <w:rPr>
          <w:b/>
          <w:color w:val="1F4E79"/>
          <w:sz w:val="21"/>
        </w:rPr>
        <w:t>TC-AUTH-05 — Session expiry forces re-authentication</w:t>
      </w:r>
    </w:p>
    <w:p>
      <w:pPr>
        <w:spacing w:after="40"/>
      </w:pPr>
      <w:r>
        <w:rPr>
          <w:color w:val="5A5A5A"/>
          <w:sz w:val="17"/>
        </w:rPr>
        <w:t>Type: Manual</w:t>
      </w:r>
      <w:r>
        <w:rPr>
          <w:b/>
          <w:color w:val="B02A2A"/>
          <w:sz w:val="17"/>
        </w:rPr>
        <w:t xml:space="preserve">     Max severity if it fails: S2</w:t>
      </w:r>
    </w:p>
    <w:p>
      <w:pPr>
        <w:spacing w:after="40"/>
      </w:pPr>
      <w:r>
        <w:rPr>
          <w:b/>
          <w:sz w:val="18"/>
        </w:rPr>
        <w:t xml:space="preserve">Preconditions: </w:t>
      </w:r>
      <w:r>
        <w:rPr>
          <w:sz w:val="18"/>
        </w:rPr>
        <w:t>Real backend with a short token TTL, signed in.</w:t>
      </w:r>
    </w:p>
    <w:p>
      <w:pPr>
        <w:spacing w:after="40"/>
      </w:pPr>
      <w:r>
        <w:rPr>
          <w:b/>
        </w:rPr>
        <w:t>Steps:</w:t>
      </w:r>
    </w:p>
    <w:p>
      <w:pPr>
        <w:pStyle w:val="ListNumber"/>
        <w:spacing w:after="20"/>
      </w:pPr>
      <w:r>
        <w:rPr>
          <w:sz w:val="18"/>
        </w:rPr>
        <w:t>Stay idle until the token expires.</w:t>
      </w:r>
    </w:p>
    <w:p>
      <w:pPr>
        <w:pStyle w:val="ListNumber"/>
        <w:spacing w:after="20"/>
      </w:pPr>
      <w:r>
        <w:rPr>
          <w:sz w:val="18"/>
        </w:rPr>
        <w:t>Trigger any authenticated action (e.g. open Documents).</w:t>
      </w:r>
    </w:p>
    <w:p>
      <w:pPr>
        <w:spacing w:after="40"/>
      </w:pPr>
      <w:r>
        <w:rPr>
          <w:b/>
          <w:color w:val="1F7A3D"/>
          <w:sz w:val="18"/>
        </w:rPr>
        <w:t xml:space="preserve">Expected result: </w:t>
      </w:r>
      <w:r>
        <w:rPr>
          <w:sz w:val="18"/>
        </w:rPr>
        <w:t>The operator is challenged to re-authenticate; no stale data is shown as live.</w:t>
      </w:r>
    </w:p>
    <w:p>
      <w:pPr>
        <w:spacing w:after="120"/>
      </w:pPr>
      <w:r>
        <w:rPr>
          <w:b/>
          <w:sz w:val="17"/>
        </w:rPr>
        <w:t xml:space="preserve">Note: </w:t>
      </w:r>
      <w:r>
        <w:rPr>
          <w:i/>
          <w:sz w:val="17"/>
        </w:rPr>
        <w:t>Real-backend only; the mocked build does not expire tokens.</w:t>
      </w:r>
    </w:p>
    <w:p>
      <w:r>
        <w:br w:type="page"/>
      </w:r>
    </w:p>
    <w:p>
      <w:pPr>
        <w:pStyle w:val="Heading2"/>
      </w:pPr>
      <w:r>
        <w:t>6.2 Topbar — navigation, folders, notifications</w:t>
      </w:r>
    </w:p>
    <w:p>
      <w:pPr>
        <w:jc w:val="center"/>
      </w:pPr>
      <w:r>
        <w:drawing>
          <wp:inline xmlns:a="http://schemas.openxmlformats.org/drawingml/2006/main" xmlns:pic="http://schemas.openxmlformats.org/drawingml/2006/picture">
            <wp:extent cx="5852160" cy="4470400"/>
            <wp:docPr id="2" name="Picture 2"/>
            <wp:cNvGraphicFramePr>
              <a:graphicFrameLocks noChangeAspect="1"/>
            </wp:cNvGraphicFramePr>
            <a:graphic>
              <a:graphicData uri="http://schemas.openxmlformats.org/drawingml/2006/picture">
                <pic:pic>
                  <pic:nvPicPr>
                    <pic:cNvPr id="0" name="21-folder-switcher.png"/>
                    <pic:cNvPicPr/>
                  </pic:nvPicPr>
                  <pic:blipFill>
                    <a:blip r:embed="rId10"/>
                    <a:stretch>
                      <a:fillRect/>
                    </a:stretch>
                  </pic:blipFill>
                  <pic:spPr>
                    <a:xfrm>
                      <a:off x="0" y="0"/>
                      <a:ext cx="5852160" cy="4470400"/>
                    </a:xfrm>
                    <a:prstGeom prst="rect"/>
                  </pic:spPr>
                </pic:pic>
              </a:graphicData>
            </a:graphic>
          </wp:inline>
        </w:drawing>
      </w:r>
    </w:p>
    <w:p>
      <w:pPr>
        <w:spacing w:after="200"/>
        <w:jc w:val="center"/>
      </w:pPr>
      <w:r>
        <w:rPr>
          <w:i/>
          <w:color w:val="5A5A5A"/>
          <w:sz w:val="17"/>
        </w:rPr>
        <w:t>Figure — Folder switcher menu open in the topbar.</w:t>
      </w:r>
    </w:p>
    <w:p>
      <w:pPr>
        <w:spacing w:after="120"/>
      </w:pPr>
      <w:r>
        <w:rPr>
          <w:b w:val="0"/>
          <w:i w:val="0"/>
        </w:rPr>
        <w:t>The persistent topbar carries: brand (returns to Documents), the six tab buttons, the folder switcher, the notifications bell with an unread badge, and the theme toggle. The folder switcher lists only folders the operator is entitled to; switching propagates an X-Twin-Folder header on subsequent requests and resets document filters.</w:t>
      </w:r>
    </w:p>
    <w:p>
      <w:pPr>
        <w:jc w:val="center"/>
      </w:pPr>
      <w:r>
        <w:drawing>
          <wp:inline xmlns:a="http://schemas.openxmlformats.org/drawingml/2006/main" xmlns:pic="http://schemas.openxmlformats.org/drawingml/2006/picture">
            <wp:extent cx="5852160" cy="4470400"/>
            <wp:docPr id="3" name="Picture 3"/>
            <wp:cNvGraphicFramePr>
              <a:graphicFrameLocks noChangeAspect="1"/>
            </wp:cNvGraphicFramePr>
            <a:graphic>
              <a:graphicData uri="http://schemas.openxmlformats.org/drawingml/2006/picture">
                <pic:pic>
                  <pic:nvPicPr>
                    <pic:cNvPr id="0" name="20-notifications.png"/>
                    <pic:cNvPicPr/>
                  </pic:nvPicPr>
                  <pic:blipFill>
                    <a:blip r:embed="rId11"/>
                    <a:stretch>
                      <a:fillRect/>
                    </a:stretch>
                  </pic:blipFill>
                  <pic:spPr>
                    <a:xfrm>
                      <a:off x="0" y="0"/>
                      <a:ext cx="5852160" cy="4470400"/>
                    </a:xfrm>
                    <a:prstGeom prst="rect"/>
                  </pic:spPr>
                </pic:pic>
              </a:graphicData>
            </a:graphic>
          </wp:inline>
        </w:drawing>
      </w:r>
    </w:p>
    <w:p>
      <w:pPr>
        <w:spacing w:after="200"/>
        <w:jc w:val="center"/>
      </w:pPr>
      <w:r>
        <w:rPr>
          <w:i/>
          <w:color w:val="5A5A5A"/>
          <w:sz w:val="17"/>
        </w:rPr>
        <w:t>Figure — Notifications popover with unread items and quick actions.</w:t>
      </w:r>
    </w:p>
    <w:p>
      <w:pPr>
        <w:spacing w:after="80"/>
      </w:pPr>
      <w:r>
        <w:rPr>
          <w:b/>
          <w:sz w:val="18"/>
        </w:rPr>
        <w:t xml:space="preserve">Reach: </w:t>
      </w:r>
      <w:r>
        <w:rPr>
          <w:sz w:val="18"/>
        </w:rPr>
        <w:t>Always visible once authenticated.</w:t>
      </w:r>
    </w:p>
    <w:p>
      <w:pPr>
        <w:spacing w:after="120"/>
      </w:pPr>
      <w:r>
        <w:rPr>
          <w:b/>
          <w:sz w:val="18"/>
        </w:rPr>
        <w:t xml:space="preserve">Stories: </w:t>
      </w:r>
      <w:r>
        <w:rPr>
          <w:sz w:val="18"/>
        </w:rPr>
        <w:t>US-NAV-01, US-NAV-02</w:t>
      </w:r>
    </w:p>
    <w:p>
      <w:pPr>
        <w:spacing w:before="160" w:after="40"/>
      </w:pPr>
      <w:r>
        <w:rPr>
          <w:b/>
          <w:color w:val="1F4E79"/>
          <w:sz w:val="21"/>
        </w:rPr>
        <w:t>TC-NAV-01 — Tab navigation reaches all six tabs</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Signed in.</w:t>
      </w:r>
    </w:p>
    <w:p>
      <w:pPr>
        <w:spacing w:after="40"/>
      </w:pPr>
      <w:r>
        <w:rPr>
          <w:b/>
        </w:rPr>
        <w:t>Steps:</w:t>
      </w:r>
    </w:p>
    <w:p>
      <w:pPr>
        <w:pStyle w:val="ListNumber"/>
        <w:spacing w:after="20"/>
      </w:pPr>
      <w:r>
        <w:rPr>
          <w:sz w:val="18"/>
        </w:rPr>
        <w:t>Click each tab: Documents, Tags, Retrieval, Graph, Activity, Settings.</w:t>
      </w:r>
    </w:p>
    <w:p>
      <w:pPr>
        <w:spacing w:after="40"/>
      </w:pPr>
      <w:r>
        <w:rPr>
          <w:b/>
          <w:color w:val="1F7A3D"/>
          <w:sz w:val="18"/>
        </w:rPr>
        <w:t xml:space="preserve">Expected result: </w:t>
      </w:r>
      <w:r>
        <w:rPr>
          <w:sz w:val="18"/>
        </w:rPr>
        <w:t>Each tab renders its primary heading with no console errors.</w:t>
      </w:r>
    </w:p>
    <w:p>
      <w:pPr>
        <w:spacing w:before="160" w:after="40"/>
      </w:pPr>
      <w:r>
        <w:rPr>
          <w:b/>
          <w:color w:val="1F4E79"/>
          <w:sz w:val="21"/>
        </w:rPr>
        <w:t>TC-NAV-02 — Folder switch changes scope and resets filters</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More than one folder available.</w:t>
      </w:r>
    </w:p>
    <w:p>
      <w:pPr>
        <w:spacing w:after="40"/>
      </w:pPr>
      <w:r>
        <w:rPr>
          <w:b/>
        </w:rPr>
        <w:t>Steps:</w:t>
      </w:r>
    </w:p>
    <w:p>
      <w:pPr>
        <w:pStyle w:val="ListNumber"/>
        <w:spacing w:after="20"/>
      </w:pPr>
      <w:r>
        <w:rPr>
          <w:sz w:val="18"/>
        </w:rPr>
        <w:t>Open the folder switcher.</w:t>
      </w:r>
    </w:p>
    <w:p>
      <w:pPr>
        <w:pStyle w:val="ListNumber"/>
        <w:spacing w:after="20"/>
      </w:pPr>
      <w:r>
        <w:rPr>
          <w:sz w:val="18"/>
        </w:rPr>
        <w:t>Select a different folder.</w:t>
      </w:r>
    </w:p>
    <w:p>
      <w:pPr>
        <w:pStyle w:val="ListNumber"/>
        <w:spacing w:after="20"/>
      </w:pPr>
      <w:r>
        <w:rPr>
          <w:sz w:val="18"/>
        </w:rPr>
        <w:t>Observe the Documents list and any active filters.</w:t>
      </w:r>
    </w:p>
    <w:p>
      <w:pPr>
        <w:spacing w:after="40"/>
      </w:pPr>
      <w:r>
        <w:rPr>
          <w:b/>
          <w:color w:val="1F7A3D"/>
          <w:sz w:val="18"/>
        </w:rPr>
        <w:t xml:space="preserve">Expected result: </w:t>
      </w:r>
      <w:r>
        <w:rPr>
          <w:sz w:val="18"/>
        </w:rPr>
        <w:t>The active folder updates, the document list refreshes for the new folder, and local filters are cleared.</w:t>
      </w:r>
    </w:p>
    <w:p>
      <w:pPr>
        <w:spacing w:before="160" w:after="40"/>
      </w:pPr>
      <w:r>
        <w:rPr>
          <w:b/>
          <w:color w:val="1F4E79"/>
          <w:sz w:val="21"/>
        </w:rPr>
        <w:t>TC-NAV-03 — Empty-folder state shows the Twincore guidance</w:t>
      </w:r>
    </w:p>
    <w:p>
      <w:pPr>
        <w:spacing w:after="40"/>
      </w:pPr>
      <w:r>
        <w:rPr>
          <w:color w:val="5A5A5A"/>
          <w:sz w:val="17"/>
        </w:rPr>
        <w:t>Type: Manual</w:t>
      </w:r>
      <w:r>
        <w:rPr>
          <w:b/>
          <w:color w:val="5A5A5A"/>
          <w:sz w:val="17"/>
        </w:rPr>
        <w:t xml:space="preserve">     Max severity if it fails: S3</w:t>
      </w:r>
    </w:p>
    <w:p>
      <w:pPr>
        <w:spacing w:after="40"/>
      </w:pPr>
      <w:r>
        <w:rPr>
          <w:b/>
          <w:sz w:val="18"/>
        </w:rPr>
        <w:t xml:space="preserve">Preconditions: </w:t>
      </w:r>
      <w:r>
        <w:rPr>
          <w:sz w:val="18"/>
        </w:rPr>
        <w:t>A deployment with no folder provisioned.</w:t>
      </w:r>
    </w:p>
    <w:p>
      <w:pPr>
        <w:spacing w:after="40"/>
      </w:pPr>
      <w:r>
        <w:rPr>
          <w:b/>
        </w:rPr>
        <w:t>Steps:</w:t>
      </w:r>
    </w:p>
    <w:p>
      <w:pPr>
        <w:pStyle w:val="ListNumber"/>
        <w:spacing w:after="20"/>
      </w:pPr>
      <w:r>
        <w:rPr>
          <w:sz w:val="18"/>
        </w:rPr>
        <w:t>Load the console with no folder available.</w:t>
      </w:r>
    </w:p>
    <w:p>
      <w:pPr>
        <w:spacing w:after="40"/>
      </w:pPr>
      <w:r>
        <w:rPr>
          <w:b/>
          <w:color w:val="1F7A3D"/>
          <w:sz w:val="18"/>
        </w:rPr>
        <w:t xml:space="preserve">Expected result: </w:t>
      </w:r>
      <w:r>
        <w:rPr>
          <w:sz w:val="18"/>
        </w:rPr>
        <w:t>The message "No folder available for this KB. Please contact Twincore Team." is shown.</w:t>
      </w:r>
    </w:p>
    <w:p>
      <w:pPr>
        <w:spacing w:before="160" w:after="40"/>
      </w:pPr>
      <w:r>
        <w:rPr>
          <w:b/>
          <w:color w:val="1F4E79"/>
          <w:sz w:val="21"/>
        </w:rPr>
        <w:t>TC-NAV-04 — Notifications popover: mark-all-read and clear</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At least one unread notification.</w:t>
      </w:r>
    </w:p>
    <w:p>
      <w:pPr>
        <w:spacing w:after="40"/>
      </w:pPr>
      <w:r>
        <w:rPr>
          <w:b/>
        </w:rPr>
        <w:t>Steps:</w:t>
      </w:r>
    </w:p>
    <w:p>
      <w:pPr>
        <w:pStyle w:val="ListNumber"/>
        <w:spacing w:after="20"/>
      </w:pPr>
      <w:r>
        <w:rPr>
          <w:sz w:val="18"/>
        </w:rPr>
        <w:t>Click the bell.</w:t>
      </w:r>
    </w:p>
    <w:p>
      <w:pPr>
        <w:pStyle w:val="ListNumber"/>
        <w:spacing w:after="20"/>
      </w:pPr>
      <w:r>
        <w:rPr>
          <w:sz w:val="18"/>
        </w:rPr>
        <w:t>Click Mark all read.</w:t>
      </w:r>
    </w:p>
    <w:p>
      <w:pPr>
        <w:pStyle w:val="ListNumber"/>
        <w:spacing w:after="20"/>
      </w:pPr>
      <w:r>
        <w:rPr>
          <w:sz w:val="18"/>
        </w:rPr>
        <w:t>Re-open and click Clear all.</w:t>
      </w:r>
    </w:p>
    <w:p>
      <w:pPr>
        <w:spacing w:after="40"/>
      </w:pPr>
      <w:r>
        <w:rPr>
          <w:b/>
          <w:color w:val="1F7A3D"/>
          <w:sz w:val="18"/>
        </w:rPr>
        <w:t xml:space="preserve">Expected result: </w:t>
      </w:r>
      <w:r>
        <w:rPr>
          <w:sz w:val="18"/>
        </w:rPr>
        <w:t>The unread badge clears after mark-all-read; the list empties after clear; "View full activity log" navigates to Activity.</w:t>
      </w:r>
    </w:p>
    <w:p>
      <w:pPr>
        <w:spacing w:before="160" w:after="40"/>
      </w:pPr>
      <w:r>
        <w:rPr>
          <w:b/>
          <w:color w:val="1F4E79"/>
          <w:sz w:val="21"/>
        </w:rPr>
        <w:t>TC-NAV-05 — Theme toggle persists across reload</w:t>
      </w:r>
    </w:p>
    <w:p>
      <w:pPr>
        <w:spacing w:after="40"/>
      </w:pPr>
      <w:r>
        <w:rPr>
          <w:color w:val="5A5A5A"/>
          <w:sz w:val="17"/>
        </w:rPr>
        <w:t>Type: Manual</w:t>
      </w:r>
      <w:r>
        <w:rPr>
          <w:b/>
          <w:color w:val="5A5A5A"/>
          <w:sz w:val="17"/>
        </w:rPr>
        <w:t xml:space="preserve">     Max severity if it fails: S4</w:t>
      </w:r>
    </w:p>
    <w:p>
      <w:pPr>
        <w:spacing w:after="40"/>
      </w:pPr>
      <w:r>
        <w:rPr>
          <w:b/>
          <w:sz w:val="18"/>
        </w:rPr>
        <w:t xml:space="preserve">Preconditions: </w:t>
      </w:r>
      <w:r>
        <w:rPr>
          <w:sz w:val="18"/>
        </w:rPr>
        <w:t>Signed in.</w:t>
      </w:r>
    </w:p>
    <w:p>
      <w:pPr>
        <w:spacing w:after="40"/>
      </w:pPr>
      <w:r>
        <w:rPr>
          <w:b/>
        </w:rPr>
        <w:t>Steps:</w:t>
      </w:r>
    </w:p>
    <w:p>
      <w:pPr>
        <w:pStyle w:val="ListNumber"/>
        <w:spacing w:after="20"/>
      </w:pPr>
      <w:r>
        <w:rPr>
          <w:sz w:val="18"/>
        </w:rPr>
        <w:t>Toggle to dark mode.</w:t>
      </w:r>
    </w:p>
    <w:p>
      <w:pPr>
        <w:pStyle w:val="ListNumber"/>
        <w:spacing w:after="20"/>
      </w:pPr>
      <w:r>
        <w:rPr>
          <w:sz w:val="18"/>
        </w:rPr>
        <w:t>Reload.</w:t>
      </w:r>
    </w:p>
    <w:p>
      <w:pPr>
        <w:spacing w:after="40"/>
      </w:pPr>
      <w:r>
        <w:rPr>
          <w:b/>
          <w:color w:val="1F7A3D"/>
          <w:sz w:val="18"/>
        </w:rPr>
        <w:t xml:space="preserve">Expected result: </w:t>
      </w:r>
      <w:r>
        <w:rPr>
          <w:sz w:val="18"/>
        </w:rPr>
        <w:t>Dark mode persists; every screen remains legible with adequate contrast.</w:t>
      </w:r>
    </w:p>
    <w:p>
      <w:pPr>
        <w:spacing w:after="120"/>
      </w:pPr>
      <w:r>
        <w:rPr>
          <w:b/>
          <w:sz w:val="17"/>
        </w:rPr>
        <w:t xml:space="preserve">Note: </w:t>
      </w:r>
      <w:r>
        <w:rPr>
          <w:i/>
          <w:sz w:val="17"/>
        </w:rPr>
        <w:t>Pair with the dark-mode visual charter in §7.2.</w:t>
      </w:r>
    </w:p>
    <w:p>
      <w:r>
        <w:br w:type="page"/>
      </w:r>
    </w:p>
    <w:p>
      <w:pPr>
        <w:pStyle w:val="Heading2"/>
      </w:pPr>
      <w:r>
        <w:t>6.3 Documents</w:t>
      </w:r>
    </w:p>
    <w:p>
      <w:pPr>
        <w:jc w:val="center"/>
      </w:pPr>
      <w:r>
        <w:drawing>
          <wp:inline xmlns:a="http://schemas.openxmlformats.org/drawingml/2006/main" xmlns:pic="http://schemas.openxmlformats.org/drawingml/2006/picture">
            <wp:extent cx="5852160" cy="4470400"/>
            <wp:docPr id="4" name="Picture 4"/>
            <wp:cNvGraphicFramePr>
              <a:graphicFrameLocks noChangeAspect="1"/>
            </wp:cNvGraphicFramePr>
            <a:graphic>
              <a:graphicData uri="http://schemas.openxmlformats.org/drawingml/2006/picture">
                <pic:pic>
                  <pic:nvPicPr>
                    <pic:cNvPr id="0" name="02-documents-list.png"/>
                    <pic:cNvPicPr/>
                  </pic:nvPicPr>
                  <pic:blipFill>
                    <a:blip r:embed="rId12"/>
                    <a:stretch>
                      <a:fillRect/>
                    </a:stretch>
                  </pic:blipFill>
                  <pic:spPr>
                    <a:xfrm>
                      <a:off x="0" y="0"/>
                      <a:ext cx="5852160" cy="4470400"/>
                    </a:xfrm>
                    <a:prstGeom prst="rect"/>
                  </pic:spPr>
                </pic:pic>
              </a:graphicData>
            </a:graphic>
          </wp:inline>
        </w:drawing>
      </w:r>
    </w:p>
    <w:p>
      <w:pPr>
        <w:spacing w:after="200"/>
        <w:jc w:val="center"/>
      </w:pPr>
      <w:r>
        <w:rPr>
          <w:i/>
          <w:color w:val="5A5A5A"/>
          <w:sz w:val="17"/>
        </w:rPr>
        <w:t>Figure — Documents tab: pending-review cards above the filterable inventory table.</w:t>
      </w:r>
    </w:p>
    <w:p>
      <w:pPr>
        <w:spacing w:after="120"/>
      </w:pPr>
      <w:r>
        <w:rPr>
          <w:b w:val="0"/>
          <w:i w:val="0"/>
        </w:rPr>
        <w:t>The operator's main workspace. A pending-review band surfaces newly submitted or upstream-modified sources for approval; below it, a filterable, paginated inventory with status, classification badge, tags, chunk count and per-row actions. A pipeline popover shows ingestion status and a Retry-failed control.</w:t>
      </w:r>
    </w:p>
    <w:p>
      <w:pPr>
        <w:jc w:val="center"/>
      </w:pPr>
      <w:r>
        <w:drawing>
          <wp:inline xmlns:a="http://schemas.openxmlformats.org/drawingml/2006/main" xmlns:pic="http://schemas.openxmlformats.org/drawingml/2006/picture">
            <wp:extent cx="5852160" cy="4470400"/>
            <wp:docPr id="5" name="Picture 5"/>
            <wp:cNvGraphicFramePr>
              <a:graphicFrameLocks noChangeAspect="1"/>
            </wp:cNvGraphicFramePr>
            <a:graphic>
              <a:graphicData uri="http://schemas.openxmlformats.org/drawingml/2006/picture">
                <pic:pic>
                  <pic:nvPicPr>
                    <pic:cNvPr id="0" name="04-document-detail.png"/>
                    <pic:cNvPicPr/>
                  </pic:nvPicPr>
                  <pic:blipFill>
                    <a:blip r:embed="rId13"/>
                    <a:stretch>
                      <a:fillRect/>
                    </a:stretch>
                  </pic:blipFill>
                  <pic:spPr>
                    <a:xfrm>
                      <a:off x="0" y="0"/>
                      <a:ext cx="5852160" cy="4470400"/>
                    </a:xfrm>
                    <a:prstGeom prst="rect"/>
                  </pic:spPr>
                </pic:pic>
              </a:graphicData>
            </a:graphic>
          </wp:inline>
        </w:drawing>
      </w:r>
    </w:p>
    <w:p>
      <w:pPr>
        <w:spacing w:after="200"/>
        <w:jc w:val="center"/>
      </w:pPr>
      <w:r>
        <w:rPr>
          <w:i/>
          <w:color w:val="5A5A5A"/>
          <w:sz w:val="17"/>
        </w:rPr>
        <w:t>Figure — Document detail panel: chunks, lineage and audit tabs.</w:t>
      </w:r>
    </w:p>
    <w:p>
      <w:pPr>
        <w:jc w:val="center"/>
      </w:pPr>
      <w:r>
        <w:drawing>
          <wp:inline xmlns:a="http://schemas.openxmlformats.org/drawingml/2006/main" xmlns:pic="http://schemas.openxmlformats.org/drawingml/2006/picture">
            <wp:extent cx="5852160" cy="4470400"/>
            <wp:docPr id="6" name="Picture 6"/>
            <wp:cNvGraphicFramePr>
              <a:graphicFrameLocks noChangeAspect="1"/>
            </wp:cNvGraphicFramePr>
            <a:graphic>
              <a:graphicData uri="http://schemas.openxmlformats.org/drawingml/2006/picture">
                <pic:pic>
                  <pic:nvPicPr>
                    <pic:cNvPr id="0" name="05-retag-modal.png"/>
                    <pic:cNvPicPr/>
                  </pic:nvPicPr>
                  <pic:blipFill>
                    <a:blip r:embed="rId14"/>
                    <a:stretch>
                      <a:fillRect/>
                    </a:stretch>
                  </pic:blipFill>
                  <pic:spPr>
                    <a:xfrm>
                      <a:off x="0" y="0"/>
                      <a:ext cx="5852160" cy="4470400"/>
                    </a:xfrm>
                    <a:prstGeom prst="rect"/>
                  </pic:spPr>
                </pic:pic>
              </a:graphicData>
            </a:graphic>
          </wp:inline>
        </w:drawing>
      </w:r>
    </w:p>
    <w:p>
      <w:pPr>
        <w:spacing w:after="200"/>
        <w:jc w:val="center"/>
      </w:pPr>
      <w:r>
        <w:rPr>
          <w:i/>
          <w:color w:val="5A5A5A"/>
          <w:sz w:val="17"/>
        </w:rPr>
        <w:t>Figure — Retag modal with current tags and an impact preview.</w:t>
      </w:r>
    </w:p>
    <w:p>
      <w:pPr>
        <w:spacing w:after="80"/>
      </w:pPr>
      <w:r>
        <w:rPr>
          <w:b/>
          <w:sz w:val="18"/>
        </w:rPr>
        <w:t xml:space="preserve">Reach: </w:t>
      </w:r>
      <w:r>
        <w:rPr>
          <w:sz w:val="18"/>
        </w:rPr>
        <w:t>Default tab after login; brand button returns here.</w:t>
      </w:r>
    </w:p>
    <w:p>
      <w:pPr>
        <w:spacing w:after="120"/>
      </w:pPr>
      <w:r>
        <w:rPr>
          <w:b/>
          <w:sz w:val="18"/>
        </w:rPr>
        <w:t xml:space="preserve">Stories: </w:t>
      </w:r>
      <w:r>
        <w:rPr>
          <w:sz w:val="18"/>
        </w:rPr>
        <w:t>US-DOC-01, US-DOC-02, US-DOC-03, US-DOC-04, US-DOC-05, US-DOC-06</w:t>
      </w:r>
    </w:p>
    <w:p>
      <w:pPr>
        <w:spacing w:before="160" w:after="40"/>
      </w:pPr>
      <w:r>
        <w:rPr>
          <w:b/>
          <w:color w:val="1F4E79"/>
          <w:sz w:val="21"/>
        </w:rPr>
        <w:t>TC-DOC-01 — Search and status filter narrow the list</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Several documents across statuses.</w:t>
      </w:r>
    </w:p>
    <w:p>
      <w:pPr>
        <w:spacing w:after="40"/>
      </w:pPr>
      <w:r>
        <w:rPr>
          <w:b/>
        </w:rPr>
        <w:t>Steps:</w:t>
      </w:r>
    </w:p>
    <w:p>
      <w:pPr>
        <w:pStyle w:val="ListNumber"/>
        <w:spacing w:after="20"/>
      </w:pPr>
      <w:r>
        <w:rPr>
          <w:sz w:val="18"/>
        </w:rPr>
        <w:t>Type a filename fragment in search.</w:t>
      </w:r>
    </w:p>
    <w:p>
      <w:pPr>
        <w:pStyle w:val="ListNumber"/>
        <w:spacing w:after="20"/>
      </w:pPr>
      <w:r>
        <w:rPr>
          <w:sz w:val="18"/>
        </w:rPr>
        <w:t>Click the Failed status pill.</w:t>
      </w:r>
    </w:p>
    <w:p>
      <w:pPr>
        <w:pStyle w:val="ListNumber"/>
        <w:spacing w:after="20"/>
      </w:pPr>
      <w:r>
        <w:rPr>
          <w:sz w:val="18"/>
        </w:rPr>
        <w:t>Clear filters.</w:t>
      </w:r>
    </w:p>
    <w:p>
      <w:pPr>
        <w:spacing w:after="40"/>
      </w:pPr>
      <w:r>
        <w:rPr>
          <w:b/>
          <w:color w:val="1F7A3D"/>
          <w:sz w:val="18"/>
        </w:rPr>
        <w:t xml:space="preserve">Expected result: </w:t>
      </w:r>
      <w:r>
        <w:rPr>
          <w:sz w:val="18"/>
        </w:rPr>
        <w:t>The table shows only matching rows; status pills reflect backend counts; clearing restores all.</w:t>
      </w:r>
    </w:p>
    <w:p>
      <w:pPr>
        <w:spacing w:before="160" w:after="40"/>
      </w:pPr>
      <w:r>
        <w:rPr>
          <w:b/>
          <w:color w:val="1F4E79"/>
          <w:sz w:val="21"/>
        </w:rPr>
        <w:t>TC-DOC-02 — Tag and source filters combine</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Documents carrying tags.</w:t>
      </w:r>
    </w:p>
    <w:p>
      <w:pPr>
        <w:spacing w:after="40"/>
      </w:pPr>
      <w:r>
        <w:rPr>
          <w:b/>
        </w:rPr>
        <w:t>Steps:</w:t>
      </w:r>
    </w:p>
    <w:p>
      <w:pPr>
        <w:pStyle w:val="ListNumber"/>
        <w:spacing w:after="20"/>
      </w:pPr>
      <w:r>
        <w:rPr>
          <w:sz w:val="18"/>
        </w:rPr>
        <w:t>Open the tag filter, add a tag.</w:t>
      </w:r>
    </w:p>
    <w:p>
      <w:pPr>
        <w:pStyle w:val="ListNumber"/>
        <w:spacing w:after="20"/>
      </w:pPr>
      <w:r>
        <w:rPr>
          <w:sz w:val="18"/>
        </w:rPr>
        <w:t>Add a source filter.</w:t>
      </w:r>
    </w:p>
    <w:p>
      <w:pPr>
        <w:spacing w:after="40"/>
      </w:pPr>
      <w:r>
        <w:rPr>
          <w:b/>
          <w:color w:val="1F7A3D"/>
          <w:sz w:val="18"/>
        </w:rPr>
        <w:t xml:space="preserve">Expected result: </w:t>
      </w:r>
      <w:r>
        <w:rPr>
          <w:sz w:val="18"/>
        </w:rPr>
        <w:t>Only documents matching all active filters remain; filter chips are removable.</w:t>
      </w:r>
    </w:p>
    <w:p>
      <w:pPr>
        <w:spacing w:before="160" w:after="40"/>
      </w:pPr>
      <w:r>
        <w:rPr>
          <w:b/>
          <w:color w:val="1F4E79"/>
          <w:sz w:val="21"/>
        </w:rPr>
        <w:t>TC-DOC-03 — Open the document detail panel</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At least one document.</w:t>
      </w:r>
    </w:p>
    <w:p>
      <w:pPr>
        <w:spacing w:after="40"/>
      </w:pPr>
      <w:r>
        <w:rPr>
          <w:b/>
        </w:rPr>
        <w:t>Steps:</w:t>
      </w:r>
    </w:p>
    <w:p>
      <w:pPr>
        <w:pStyle w:val="ListNumber"/>
        <w:spacing w:after="20"/>
      </w:pPr>
      <w:r>
        <w:rPr>
          <w:sz w:val="18"/>
        </w:rPr>
        <w:t>Click a document row.</w:t>
      </w:r>
    </w:p>
    <w:p>
      <w:pPr>
        <w:pStyle w:val="ListNumber"/>
        <w:spacing w:after="20"/>
      </w:pPr>
      <w:r>
        <w:rPr>
          <w:sz w:val="18"/>
        </w:rPr>
        <w:t>Inspect the Chunks, Lineage and Audit tabs.</w:t>
      </w:r>
    </w:p>
    <w:p>
      <w:pPr>
        <w:spacing w:after="40"/>
      </w:pPr>
      <w:r>
        <w:rPr>
          <w:b/>
          <w:color w:val="1F7A3D"/>
          <w:sz w:val="18"/>
        </w:rPr>
        <w:t xml:space="preserve">Expected result: </w:t>
      </w:r>
      <w:r>
        <w:rPr>
          <w:sz w:val="18"/>
        </w:rPr>
        <w:t>The side panel shows chunk content, metadata (created/updated, folder, tags, classification) and related audit events.</w:t>
      </w:r>
    </w:p>
    <w:p>
      <w:pPr>
        <w:spacing w:before="160" w:after="40"/>
      </w:pPr>
      <w:r>
        <w:rPr>
          <w:b/>
          <w:color w:val="1F4E79"/>
          <w:sz w:val="21"/>
        </w:rPr>
        <w:t>TC-DOC-04 — Approve a pending (newly submitted) source</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 card in the "Requested" pending state; Steward+ role.</w:t>
      </w:r>
    </w:p>
    <w:p>
      <w:pPr>
        <w:spacing w:after="40"/>
      </w:pPr>
      <w:r>
        <w:rPr>
          <w:b/>
        </w:rPr>
        <w:t>Steps:</w:t>
      </w:r>
    </w:p>
    <w:p>
      <w:pPr>
        <w:pStyle w:val="ListNumber"/>
        <w:spacing w:after="20"/>
      </w:pPr>
      <w:r>
        <w:rPr>
          <w:sz w:val="18"/>
        </w:rPr>
        <w:t>Click Read source to preview indexed chunks.</w:t>
      </w:r>
    </w:p>
    <w:p>
      <w:pPr>
        <w:pStyle w:val="ListNumber"/>
        <w:spacing w:after="20"/>
      </w:pPr>
      <w:r>
        <w:rPr>
          <w:sz w:val="18"/>
        </w:rPr>
        <w:t>Click Approve.</w:t>
      </w:r>
    </w:p>
    <w:p>
      <w:pPr>
        <w:spacing w:after="40"/>
      </w:pPr>
      <w:r>
        <w:rPr>
          <w:b/>
          <w:color w:val="1F7A3D"/>
          <w:sz w:val="18"/>
        </w:rPr>
        <w:t xml:space="preserve">Expected result: </w:t>
      </w:r>
      <w:r>
        <w:rPr>
          <w:sz w:val="18"/>
        </w:rPr>
        <w:t>The source leaves the pending band; an approval activity event is recorded; focus returns to a sensible element.</w:t>
      </w:r>
    </w:p>
    <w:p>
      <w:pPr>
        <w:spacing w:before="160" w:after="40"/>
      </w:pPr>
      <w:r>
        <w:rPr>
          <w:b/>
          <w:color w:val="1F4E79"/>
          <w:sz w:val="21"/>
        </w:rPr>
        <w:t>TC-DOC-05 — Reject a pending source with a reason</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 pending card; Steward+ role.</w:t>
      </w:r>
    </w:p>
    <w:p>
      <w:pPr>
        <w:spacing w:after="40"/>
      </w:pPr>
      <w:r>
        <w:rPr>
          <w:b/>
        </w:rPr>
        <w:t>Steps:</w:t>
      </w:r>
    </w:p>
    <w:p>
      <w:pPr>
        <w:pStyle w:val="ListNumber"/>
        <w:spacing w:after="20"/>
      </w:pPr>
      <w:r>
        <w:rPr>
          <w:sz w:val="18"/>
        </w:rPr>
        <w:t>Click Reject.</w:t>
      </w:r>
    </w:p>
    <w:p>
      <w:pPr>
        <w:pStyle w:val="ListNumber"/>
        <w:spacing w:after="20"/>
      </w:pPr>
      <w:r>
        <w:rPr>
          <w:sz w:val="18"/>
        </w:rPr>
        <w:t>Confirm the reject button is disabled until a reason is typed.</w:t>
      </w:r>
    </w:p>
    <w:p>
      <w:pPr>
        <w:pStyle w:val="ListNumber"/>
        <w:spacing w:after="20"/>
      </w:pPr>
      <w:r>
        <w:rPr>
          <w:sz w:val="18"/>
        </w:rPr>
        <w:t>Enter a reason and submit.</w:t>
      </w:r>
    </w:p>
    <w:p>
      <w:pPr>
        <w:spacing w:after="40"/>
      </w:pPr>
      <w:r>
        <w:rPr>
          <w:b/>
          <w:color w:val="1F7A3D"/>
          <w:sz w:val="18"/>
        </w:rPr>
        <w:t xml:space="preserve">Expected result: </w:t>
      </w:r>
      <w:r>
        <w:rPr>
          <w:sz w:val="18"/>
        </w:rPr>
        <w:t>Rejection requires a reason; the card is removed; a rejection event is recorded.</w:t>
      </w:r>
    </w:p>
    <w:p>
      <w:pPr>
        <w:spacing w:before="160" w:after="40"/>
      </w:pPr>
      <w:r>
        <w:rPr>
          <w:b/>
          <w:color w:val="1F4E79"/>
          <w:sz w:val="21"/>
        </w:rPr>
        <w:t>TC-DOC-06 — Re-validate an upstream-modified source</w:t>
      </w:r>
    </w:p>
    <w:p>
      <w:pPr>
        <w:spacing w:after="40"/>
      </w:pPr>
      <w:r>
        <w:rPr>
          <w:color w:val="5A5A5A"/>
          <w:sz w:val="17"/>
        </w:rPr>
        <w:t>Type: Manual</w:t>
      </w:r>
      <w:r>
        <w:rPr>
          <w:b/>
          <w:color w:val="B02A2A"/>
          <w:sz w:val="17"/>
        </w:rPr>
        <w:t xml:space="preserve">     Max severity if it fails: S2</w:t>
      </w:r>
    </w:p>
    <w:p>
      <w:pPr>
        <w:spacing w:after="40"/>
      </w:pPr>
      <w:r>
        <w:rPr>
          <w:b/>
          <w:sz w:val="18"/>
        </w:rPr>
        <w:t xml:space="preserve">Preconditions: </w:t>
      </w:r>
      <w:r>
        <w:rPr>
          <w:sz w:val="18"/>
        </w:rPr>
        <w:t>A card in the "Modified" pending state.</w:t>
      </w:r>
    </w:p>
    <w:p>
      <w:pPr>
        <w:spacing w:after="40"/>
      </w:pPr>
      <w:r>
        <w:rPr>
          <w:b/>
        </w:rPr>
        <w:t>Steps:</w:t>
      </w:r>
    </w:p>
    <w:p>
      <w:pPr>
        <w:pStyle w:val="ListNumber"/>
        <w:spacing w:after="20"/>
      </w:pPr>
      <w:r>
        <w:rPr>
          <w:sz w:val="18"/>
        </w:rPr>
        <w:t>Open the modified card.</w:t>
      </w:r>
    </w:p>
    <w:p>
      <w:pPr>
        <w:pStyle w:val="ListNumber"/>
        <w:spacing w:after="20"/>
      </w:pPr>
      <w:r>
        <w:rPr>
          <w:sz w:val="18"/>
        </w:rPr>
        <w:t>Review the change summary.</w:t>
      </w:r>
    </w:p>
    <w:p>
      <w:pPr>
        <w:pStyle w:val="ListNumber"/>
        <w:spacing w:after="20"/>
      </w:pPr>
      <w:r>
        <w:rPr>
          <w:sz w:val="18"/>
        </w:rPr>
        <w:t>Click Approve update or Reject update.</w:t>
      </w:r>
    </w:p>
    <w:p>
      <w:pPr>
        <w:spacing w:after="40"/>
      </w:pPr>
      <w:r>
        <w:rPr>
          <w:b/>
          <w:color w:val="1F7A3D"/>
          <w:sz w:val="18"/>
        </w:rPr>
        <w:t xml:space="preserve">Expected result: </w:t>
      </w:r>
      <w:r>
        <w:rPr>
          <w:sz w:val="18"/>
        </w:rPr>
        <w:t>The modified source is re-validated or rejected; the band updates accordingly.</w:t>
      </w:r>
    </w:p>
    <w:p>
      <w:pPr>
        <w:spacing w:before="160" w:after="40"/>
      </w:pPr>
      <w:r>
        <w:rPr>
          <w:b/>
          <w:color w:val="1F4E79"/>
          <w:sz w:val="21"/>
        </w:rPr>
        <w:t>TC-DOC-07 — Single-document retag with impact preview</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 document open or row action available.</w:t>
      </w:r>
    </w:p>
    <w:p>
      <w:pPr>
        <w:spacing w:after="40"/>
      </w:pPr>
      <w:r>
        <w:rPr>
          <w:b/>
        </w:rPr>
        <w:t>Steps:</w:t>
      </w:r>
    </w:p>
    <w:p>
      <w:pPr>
        <w:pStyle w:val="ListNumber"/>
        <w:spacing w:after="20"/>
      </w:pPr>
      <w:r>
        <w:rPr>
          <w:sz w:val="18"/>
        </w:rPr>
        <w:t>Open Retag for one document.</w:t>
      </w:r>
    </w:p>
    <w:p>
      <w:pPr>
        <w:pStyle w:val="ListNumber"/>
        <w:spacing w:after="20"/>
      </w:pPr>
      <w:r>
        <w:rPr>
          <w:sz w:val="18"/>
        </w:rPr>
        <w:t>Add a tag and remove one.</w:t>
      </w:r>
    </w:p>
    <w:p>
      <w:pPr>
        <w:pStyle w:val="ListNumber"/>
        <w:spacing w:after="20"/>
      </w:pPr>
      <w:r>
        <w:rPr>
          <w:sz w:val="18"/>
        </w:rPr>
        <w:t>Read the impact preview (chunks/docs affected).</w:t>
      </w:r>
    </w:p>
    <w:p>
      <w:pPr>
        <w:pStyle w:val="ListNumber"/>
        <w:spacing w:after="20"/>
      </w:pPr>
      <w:r>
        <w:rPr>
          <w:sz w:val="18"/>
        </w:rPr>
        <w:t>Apply.</w:t>
      </w:r>
    </w:p>
    <w:p>
      <w:pPr>
        <w:spacing w:after="40"/>
      </w:pPr>
      <w:r>
        <w:rPr>
          <w:b/>
          <w:color w:val="1F7A3D"/>
          <w:sz w:val="18"/>
        </w:rPr>
        <w:t xml:space="preserve">Expected result: </w:t>
      </w:r>
      <w:r>
        <w:rPr>
          <w:sz w:val="18"/>
        </w:rPr>
        <w:t>The preview reflects the change; on Apply the tags update optimistically and an undo toast appears.</w:t>
      </w:r>
    </w:p>
    <w:p>
      <w:pPr>
        <w:spacing w:before="160" w:after="40"/>
      </w:pPr>
      <w:r>
        <w:rPr>
          <w:b/>
          <w:color w:val="1F4E79"/>
          <w:sz w:val="21"/>
        </w:rPr>
        <w:t>TC-DOC-08 — Bulk retag across multiple selected documents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Two or more documents selectable.</w:t>
      </w:r>
    </w:p>
    <w:p>
      <w:pPr>
        <w:spacing w:after="40"/>
      </w:pPr>
      <w:r>
        <w:rPr>
          <w:b/>
        </w:rPr>
        <w:t>Steps:</w:t>
      </w:r>
    </w:p>
    <w:p>
      <w:pPr>
        <w:pStyle w:val="ListNumber"/>
        <w:spacing w:after="20"/>
      </w:pPr>
      <w:r>
        <w:rPr>
          <w:sz w:val="18"/>
        </w:rPr>
        <w:t>Select multiple rows.</w:t>
      </w:r>
    </w:p>
    <w:p>
      <w:pPr>
        <w:pStyle w:val="ListNumber"/>
        <w:spacing w:after="20"/>
      </w:pPr>
      <w:r>
        <w:rPr>
          <w:sz w:val="18"/>
        </w:rPr>
        <w:t>Click Retag.</w:t>
      </w:r>
    </w:p>
    <w:p>
      <w:pPr>
        <w:pStyle w:val="ListNumber"/>
        <w:spacing w:after="20"/>
      </w:pPr>
      <w:r>
        <w:rPr>
          <w:sz w:val="18"/>
        </w:rPr>
        <w:t>Note shared vs partial tags.</w:t>
      </w:r>
    </w:p>
    <w:p>
      <w:pPr>
        <w:pStyle w:val="ListNumber"/>
        <w:spacing w:after="20"/>
      </w:pPr>
      <w:r>
        <w:rPr>
          <w:sz w:val="18"/>
        </w:rPr>
        <w:t>Add a tag and Apply.</w:t>
      </w:r>
    </w:p>
    <w:p>
      <w:pPr>
        <w:spacing w:after="40"/>
      </w:pPr>
      <w:r>
        <w:rPr>
          <w:b/>
          <w:color w:val="1F7A3D"/>
          <w:sz w:val="18"/>
        </w:rPr>
        <w:t xml:space="preserve">Expected result: </w:t>
      </w:r>
      <w:r>
        <w:rPr>
          <w:sz w:val="18"/>
        </w:rPr>
        <w:t>Shared and partial ("on some docs") tags are distinguished; the change applies to all selected documents.</w:t>
      </w:r>
    </w:p>
    <w:p>
      <w:pPr>
        <w:spacing w:before="160" w:after="40"/>
      </w:pPr>
      <w:r>
        <w:rPr>
          <w:b/>
          <w:color w:val="1F4E79"/>
          <w:sz w:val="21"/>
        </w:rPr>
        <w:t>TC-DOC-09 — Bulk retag failure rolls back optimistic tags</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Inject a 500/413 on bulk retag (MSW scenario).</w:t>
      </w:r>
    </w:p>
    <w:p>
      <w:pPr>
        <w:spacing w:after="40"/>
      </w:pPr>
      <w:r>
        <w:rPr>
          <w:b/>
        </w:rPr>
        <w:t>Steps:</w:t>
      </w:r>
    </w:p>
    <w:p>
      <w:pPr>
        <w:pStyle w:val="ListNumber"/>
        <w:spacing w:after="20"/>
      </w:pPr>
      <w:r>
        <w:rPr>
          <w:sz w:val="18"/>
        </w:rPr>
        <w:t>Bulk-retag a selection.</w:t>
      </w:r>
    </w:p>
    <w:p>
      <w:pPr>
        <w:pStyle w:val="ListNumber"/>
        <w:spacing w:after="20"/>
      </w:pPr>
      <w:r>
        <w:rPr>
          <w:sz w:val="18"/>
        </w:rPr>
        <w:t>Observe the failure handling.</w:t>
      </w:r>
    </w:p>
    <w:p>
      <w:pPr>
        <w:spacing w:after="40"/>
      </w:pPr>
      <w:r>
        <w:rPr>
          <w:b/>
          <w:color w:val="1F7A3D"/>
          <w:sz w:val="18"/>
        </w:rPr>
        <w:t xml:space="preserve">Expected result: </w:t>
      </w:r>
      <w:r>
        <w:rPr>
          <w:sz w:val="18"/>
        </w:rPr>
        <w:t>The optimistic tags roll back and an error is surfaced; no partial/incorrect state persists.</w:t>
      </w:r>
    </w:p>
    <w:p>
      <w:pPr>
        <w:spacing w:before="160" w:after="40"/>
      </w:pPr>
      <w:r>
        <w:rPr>
          <w:b/>
          <w:color w:val="1F4E79"/>
          <w:sz w:val="21"/>
        </w:rPr>
        <w:t>TC-DOC-10 — Delete (single and bulk) with confirm and undo</w:t>
      </w:r>
    </w:p>
    <w:p>
      <w:pPr>
        <w:spacing w:after="40"/>
      </w:pPr>
      <w:r>
        <w:rPr>
          <w:color w:val="5A5A5A"/>
          <w:sz w:val="17"/>
        </w:rPr>
        <w:t>Type: E2E (automated)</w:t>
      </w:r>
      <w:r>
        <w:rPr>
          <w:b/>
          <w:color w:val="B02A2A"/>
          <w:sz w:val="17"/>
        </w:rPr>
        <w:t xml:space="preserve">     Max severity if it fails: S1</w:t>
      </w:r>
    </w:p>
    <w:p>
      <w:pPr>
        <w:spacing w:after="40"/>
      </w:pPr>
      <w:r>
        <w:rPr>
          <w:b/>
          <w:sz w:val="18"/>
        </w:rPr>
        <w:t xml:space="preserve">Preconditions: </w:t>
      </w:r>
      <w:r>
        <w:rPr>
          <w:sz w:val="18"/>
        </w:rPr>
        <w:t>Deletable documents.</w:t>
      </w:r>
    </w:p>
    <w:p>
      <w:pPr>
        <w:spacing w:after="40"/>
      </w:pPr>
      <w:r>
        <w:rPr>
          <w:b/>
        </w:rPr>
        <w:t>Steps:</w:t>
      </w:r>
    </w:p>
    <w:p>
      <w:pPr>
        <w:pStyle w:val="ListNumber"/>
        <w:spacing w:after="20"/>
      </w:pPr>
      <w:r>
        <w:rPr>
          <w:sz w:val="18"/>
        </w:rPr>
        <w:t>Delete a single document via the detail panel (two-click confirm).</w:t>
      </w:r>
    </w:p>
    <w:p>
      <w:pPr>
        <w:pStyle w:val="ListNumber"/>
        <w:spacing w:after="20"/>
      </w:pPr>
      <w:r>
        <w:rPr>
          <w:sz w:val="18"/>
        </w:rPr>
        <w:t>Select several and use bulk delete (double-confirm).</w:t>
      </w:r>
    </w:p>
    <w:p>
      <w:pPr>
        <w:pStyle w:val="ListNumber"/>
        <w:spacing w:after="20"/>
      </w:pPr>
      <w:r>
        <w:rPr>
          <w:sz w:val="18"/>
        </w:rPr>
        <w:t>Observe the deleting state and the undo toast.</w:t>
      </w:r>
    </w:p>
    <w:p>
      <w:pPr>
        <w:spacing w:after="40"/>
      </w:pPr>
      <w:r>
        <w:rPr>
          <w:b/>
          <w:color w:val="1F7A3D"/>
          <w:sz w:val="18"/>
        </w:rPr>
        <w:t xml:space="preserve">Expected result: </w:t>
      </w:r>
      <w:r>
        <w:rPr>
          <w:sz w:val="18"/>
        </w:rPr>
        <w:t>Deletion requires explicit confirmation; rows disappear; an undo path is offered; no accidental single-click deletion is possible.</w:t>
      </w:r>
    </w:p>
    <w:p>
      <w:pPr>
        <w:spacing w:before="160" w:after="40"/>
      </w:pPr>
      <w:r>
        <w:rPr>
          <w:b/>
          <w:color w:val="1F4E79"/>
          <w:sz w:val="21"/>
        </w:rPr>
        <w:t>TC-DOC-11 — Reprocess failed documents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At least one FAILED document.</w:t>
      </w:r>
    </w:p>
    <w:p>
      <w:pPr>
        <w:spacing w:after="40"/>
      </w:pPr>
      <w:r>
        <w:rPr>
          <w:b/>
        </w:rPr>
        <w:t>Steps:</w:t>
      </w:r>
    </w:p>
    <w:p>
      <w:pPr>
        <w:pStyle w:val="ListNumber"/>
        <w:spacing w:after="20"/>
      </w:pPr>
      <w:r>
        <w:rPr>
          <w:sz w:val="18"/>
        </w:rPr>
        <w:t>Use Retry Failed (or Re-process in the detail panel on a FAILED doc).</w:t>
      </w:r>
    </w:p>
    <w:p>
      <w:pPr>
        <w:pStyle w:val="ListNumber"/>
        <w:spacing w:after="20"/>
      </w:pPr>
      <w:r>
        <w:rPr>
          <w:sz w:val="18"/>
        </w:rPr>
        <w:t>Try Re-process on a non-failed doc.</w:t>
      </w:r>
    </w:p>
    <w:p>
      <w:pPr>
        <w:spacing w:after="40"/>
      </w:pPr>
      <w:r>
        <w:rPr>
          <w:b/>
          <w:color w:val="1F7A3D"/>
          <w:sz w:val="18"/>
        </w:rPr>
        <w:t xml:space="preserve">Expected result: </w:t>
      </w:r>
      <w:r>
        <w:rPr>
          <w:sz w:val="18"/>
        </w:rPr>
        <w:t>Failed documents are re-queued; a non-failed doc reports honestly that reprocess does not apply.</w:t>
      </w:r>
    </w:p>
    <w:p>
      <w:pPr>
        <w:spacing w:before="160" w:after="40"/>
      </w:pPr>
      <w:r>
        <w:rPr>
          <w:b/>
          <w:color w:val="1F4E79"/>
          <w:sz w:val="21"/>
        </w:rPr>
        <w:t>TC-DOC-12 — Cascade: deleting a document updates the graph</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 document whose entities appear on the Graph tab.</w:t>
      </w:r>
    </w:p>
    <w:p>
      <w:pPr>
        <w:spacing w:after="40"/>
      </w:pPr>
      <w:r>
        <w:rPr>
          <w:b/>
        </w:rPr>
        <w:t>Steps:</w:t>
      </w:r>
    </w:p>
    <w:p>
      <w:pPr>
        <w:pStyle w:val="ListNumber"/>
        <w:spacing w:after="20"/>
      </w:pPr>
      <w:r>
        <w:rPr>
          <w:sz w:val="18"/>
        </w:rPr>
        <w:t>Delete the document.</w:t>
      </w:r>
    </w:p>
    <w:p>
      <w:pPr>
        <w:pStyle w:val="ListNumber"/>
        <w:spacing w:after="20"/>
      </w:pPr>
      <w:r>
        <w:rPr>
          <w:sz w:val="18"/>
        </w:rPr>
        <w:t>Open the Graph tab.</w:t>
      </w:r>
    </w:p>
    <w:p>
      <w:pPr>
        <w:spacing w:after="40"/>
      </w:pPr>
      <w:r>
        <w:rPr>
          <w:b/>
          <w:color w:val="1F7A3D"/>
          <w:sz w:val="18"/>
        </w:rPr>
        <w:t xml:space="preserve">Expected result: </w:t>
      </w:r>
      <w:r>
        <w:rPr>
          <w:sz w:val="18"/>
        </w:rPr>
        <w:t>Entities sourced only from the deleted document are no longer shown; the graph refetches rather than serving stale nodes.</w:t>
      </w:r>
    </w:p>
    <w:p>
      <w:r>
        <w:br w:type="page"/>
      </w:r>
    </w:p>
    <w:p>
      <w:pPr>
        <w:pStyle w:val="Heading2"/>
      </w:pPr>
      <w:r>
        <w:t>6.4 Upload &amp; classification</w:t>
      </w:r>
    </w:p>
    <w:p>
      <w:pPr>
        <w:jc w:val="center"/>
      </w:pPr>
      <w:r>
        <w:drawing>
          <wp:inline xmlns:a="http://schemas.openxmlformats.org/drawingml/2006/main" xmlns:pic="http://schemas.openxmlformats.org/drawingml/2006/picture">
            <wp:extent cx="5852160" cy="4470400"/>
            <wp:docPr id="7" name="Picture 7"/>
            <wp:cNvGraphicFramePr>
              <a:graphicFrameLocks noChangeAspect="1"/>
            </wp:cNvGraphicFramePr>
            <a:graphic>
              <a:graphicData uri="http://schemas.openxmlformats.org/drawingml/2006/picture">
                <pic:pic>
                  <pic:nvPicPr>
                    <pic:cNvPr id="0" name="03-add-source-modal.png"/>
                    <pic:cNvPicPr/>
                  </pic:nvPicPr>
                  <pic:blipFill>
                    <a:blip r:embed="rId15"/>
                    <a:stretch>
                      <a:fillRect/>
                    </a:stretch>
                  </pic:blipFill>
                  <pic:spPr>
                    <a:xfrm>
                      <a:off x="0" y="0"/>
                      <a:ext cx="5852160" cy="4470400"/>
                    </a:xfrm>
                    <a:prstGeom prst="rect"/>
                  </pic:spPr>
                </pic:pic>
              </a:graphicData>
            </a:graphic>
          </wp:inline>
        </w:drawing>
      </w:r>
    </w:p>
    <w:p>
      <w:pPr>
        <w:spacing w:after="200"/>
        <w:jc w:val="center"/>
      </w:pPr>
      <w:r>
        <w:rPr>
          <w:i/>
          <w:color w:val="5A5A5A"/>
          <w:sz w:val="17"/>
        </w:rPr>
        <w:t>Figure — Add-source modal: file drop, tag assignment, and per-file sensitivity class.</w:t>
      </w:r>
    </w:p>
    <w:p>
      <w:pPr>
        <w:spacing w:after="120"/>
      </w:pPr>
      <w:r>
        <w:rPr>
          <w:b w:val="0"/>
          <w:i w:val="0"/>
        </w:rPr>
        <w:t>Sources are added by file upload (drag-drop or picker, ≤50 MB) or by URL (Confluence/SharePoint). Each file can be tagged and assigned a MIP sensitivity class (C1 Public → C4 Secret). Files above the workspace ceiling are refused at ingestion and land FAILED rather than being indexed.</w:t>
      </w:r>
    </w:p>
    <w:p>
      <w:pPr>
        <w:spacing w:after="80"/>
      </w:pPr>
      <w:r>
        <w:rPr>
          <w:b/>
          <w:sz w:val="18"/>
        </w:rPr>
        <w:t xml:space="preserve">Reach: </w:t>
      </w:r>
      <w:r>
        <w:rPr>
          <w:sz w:val="18"/>
        </w:rPr>
        <w:t>"Add source" button on the Documents tab.</w:t>
      </w:r>
    </w:p>
    <w:p>
      <w:pPr>
        <w:spacing w:after="120"/>
      </w:pPr>
      <w:r>
        <w:rPr>
          <w:b/>
          <w:sz w:val="18"/>
        </w:rPr>
        <w:t xml:space="preserve">Stories: </w:t>
      </w:r>
      <w:r>
        <w:rPr>
          <w:sz w:val="18"/>
        </w:rPr>
        <w:t>US-UPL-01, US-UPL-02</w:t>
      </w:r>
    </w:p>
    <w:p>
      <w:pPr>
        <w:spacing w:before="160" w:after="40"/>
      </w:pPr>
      <w:r>
        <w:rPr>
          <w:b/>
          <w:color w:val="1F4E79"/>
          <w:sz w:val="21"/>
        </w:rPr>
        <w:t>TC-UPL-01 — Add a valid file and submit</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Add-source modal open.</w:t>
      </w:r>
    </w:p>
    <w:p>
      <w:pPr>
        <w:spacing w:after="40"/>
      </w:pPr>
      <w:r>
        <w:rPr>
          <w:b/>
        </w:rPr>
        <w:t>Steps:</w:t>
      </w:r>
    </w:p>
    <w:p>
      <w:pPr>
        <w:pStyle w:val="ListNumber"/>
        <w:spacing w:after="20"/>
      </w:pPr>
      <w:r>
        <w:rPr>
          <w:sz w:val="18"/>
        </w:rPr>
        <w:t>Select a supported file under 50 MB.</w:t>
      </w:r>
    </w:p>
    <w:p>
      <w:pPr>
        <w:pStyle w:val="ListNumber"/>
        <w:spacing w:after="20"/>
      </w:pPr>
      <w:r>
        <w:rPr>
          <w:sz w:val="18"/>
        </w:rPr>
        <w:t>Wait for it to validate.</w:t>
      </w:r>
    </w:p>
    <w:p>
      <w:pPr>
        <w:pStyle w:val="ListNumber"/>
        <w:spacing w:after="20"/>
      </w:pPr>
      <w:r>
        <w:rPr>
          <w:sz w:val="18"/>
        </w:rPr>
        <w:t>Click Add 1 source.</w:t>
      </w:r>
    </w:p>
    <w:p>
      <w:pPr>
        <w:spacing w:after="40"/>
      </w:pPr>
      <w:r>
        <w:rPr>
          <w:b/>
          <w:color w:val="1F7A3D"/>
          <w:sz w:val="18"/>
        </w:rPr>
        <w:t xml:space="preserve">Expected result: </w:t>
      </w:r>
      <w:r>
        <w:rPr>
          <w:sz w:val="18"/>
        </w:rPr>
        <w:t>The file validates, the submit button enables, and the source is accepted for ingestion.</w:t>
      </w:r>
    </w:p>
    <w:p>
      <w:pPr>
        <w:spacing w:before="160" w:after="40"/>
      </w:pPr>
      <w:r>
        <w:rPr>
          <w:b/>
          <w:color w:val="1F4E79"/>
          <w:sz w:val="21"/>
        </w:rPr>
        <w:t>TC-UPL-02 — File type / size validation</w:t>
      </w:r>
    </w:p>
    <w:p>
      <w:pPr>
        <w:spacing w:after="40"/>
      </w:pPr>
      <w:r>
        <w:rPr>
          <w:color w:val="5A5A5A"/>
          <w:sz w:val="17"/>
        </w:rPr>
        <w:t>Type: Manual</w:t>
      </w:r>
      <w:r>
        <w:rPr>
          <w:b/>
          <w:color w:val="5A5A5A"/>
          <w:sz w:val="17"/>
        </w:rPr>
        <w:t xml:space="preserve">     Max severity if it fails: S3</w:t>
      </w:r>
    </w:p>
    <w:p>
      <w:pPr>
        <w:spacing w:after="40"/>
      </w:pPr>
      <w:r>
        <w:rPr>
          <w:b/>
          <w:sz w:val="18"/>
        </w:rPr>
        <w:t xml:space="preserve">Preconditions: </w:t>
      </w:r>
      <w:r>
        <w:rPr>
          <w:sz w:val="18"/>
        </w:rPr>
        <w:t>Add-source modal open.</w:t>
      </w:r>
    </w:p>
    <w:p>
      <w:pPr>
        <w:spacing w:after="40"/>
      </w:pPr>
      <w:r>
        <w:rPr>
          <w:b/>
        </w:rPr>
        <w:t>Steps:</w:t>
      </w:r>
    </w:p>
    <w:p>
      <w:pPr>
        <w:pStyle w:val="ListNumber"/>
        <w:spacing w:after="20"/>
      </w:pPr>
      <w:r>
        <w:rPr>
          <w:sz w:val="18"/>
        </w:rPr>
        <w:t>Add an unsupported type.</w:t>
      </w:r>
    </w:p>
    <w:p>
      <w:pPr>
        <w:pStyle w:val="ListNumber"/>
        <w:spacing w:after="20"/>
      </w:pPr>
      <w:r>
        <w:rPr>
          <w:sz w:val="18"/>
        </w:rPr>
        <w:t>Add a file over 50 MB.</w:t>
      </w:r>
    </w:p>
    <w:p>
      <w:pPr>
        <w:spacing w:after="40"/>
      </w:pPr>
      <w:r>
        <w:rPr>
          <w:b/>
          <w:color w:val="1F7A3D"/>
          <w:sz w:val="18"/>
        </w:rPr>
        <w:t xml:space="preserve">Expected result: </w:t>
      </w:r>
      <w:r>
        <w:rPr>
          <w:sz w:val="18"/>
        </w:rPr>
        <w:t>Each invalid file shows a clear per-file error and cannot be submitted; valid files still submit.</w:t>
      </w:r>
    </w:p>
    <w:p>
      <w:pPr>
        <w:spacing w:before="160" w:after="40"/>
      </w:pPr>
      <w:r>
        <w:rPr>
          <w:b/>
          <w:color w:val="1F4E79"/>
          <w:sz w:val="21"/>
        </w:rPr>
        <w:t>TC-UPL-03 — Multi-file: only valid files submit</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Add-source modal open.</w:t>
      </w:r>
    </w:p>
    <w:p>
      <w:pPr>
        <w:spacing w:after="40"/>
      </w:pPr>
      <w:r>
        <w:rPr>
          <w:b/>
        </w:rPr>
        <w:t>Steps:</w:t>
      </w:r>
    </w:p>
    <w:p>
      <w:pPr>
        <w:pStyle w:val="ListNumber"/>
        <w:spacing w:after="20"/>
      </w:pPr>
      <w:r>
        <w:rPr>
          <w:sz w:val="18"/>
        </w:rPr>
        <w:t>Add a mix of one valid and one invalid file.</w:t>
      </w:r>
    </w:p>
    <w:p>
      <w:pPr>
        <w:pStyle w:val="ListNumber"/>
        <w:spacing w:after="20"/>
      </w:pPr>
      <w:r>
        <w:rPr>
          <w:sz w:val="18"/>
        </w:rPr>
        <w:t>Submit.</w:t>
      </w:r>
    </w:p>
    <w:p>
      <w:pPr>
        <w:spacing w:after="40"/>
      </w:pPr>
      <w:r>
        <w:rPr>
          <w:b/>
          <w:color w:val="1F7A3D"/>
          <w:sz w:val="18"/>
        </w:rPr>
        <w:t xml:space="preserve">Expected result: </w:t>
      </w:r>
      <w:r>
        <w:rPr>
          <w:sz w:val="18"/>
        </w:rPr>
        <w:t>Counts are accurate; only the valid file is submitted; the failure is reported truthfully.</w:t>
      </w:r>
    </w:p>
    <w:p>
      <w:pPr>
        <w:spacing w:before="160" w:after="40"/>
      </w:pPr>
      <w:r>
        <w:rPr>
          <w:b/>
          <w:color w:val="1F4E79"/>
          <w:sz w:val="21"/>
        </w:rPr>
        <w:t>TC-UPL-04 — Assign initial tags on upload</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Add-source modal open.</w:t>
      </w:r>
    </w:p>
    <w:p>
      <w:pPr>
        <w:spacing w:after="40"/>
      </w:pPr>
      <w:r>
        <w:rPr>
          <w:b/>
        </w:rPr>
        <w:t>Steps:</w:t>
      </w:r>
    </w:p>
    <w:p>
      <w:pPr>
        <w:pStyle w:val="ListNumber"/>
        <w:spacing w:after="20"/>
      </w:pPr>
      <w:r>
        <w:rPr>
          <w:sz w:val="18"/>
        </w:rPr>
        <w:t>Add a file.</w:t>
      </w:r>
    </w:p>
    <w:p>
      <w:pPr>
        <w:pStyle w:val="ListNumber"/>
        <w:spacing w:after="20"/>
      </w:pPr>
      <w:r>
        <w:rPr>
          <w:sz w:val="18"/>
        </w:rPr>
        <w:t>Search and select a tag from the catalog.</w:t>
      </w:r>
    </w:p>
    <w:p>
      <w:pPr>
        <w:pStyle w:val="ListNumber"/>
        <w:spacing w:after="20"/>
      </w:pPr>
      <w:r>
        <w:rPr>
          <w:sz w:val="18"/>
        </w:rPr>
        <w:t>Submit.</w:t>
      </w:r>
    </w:p>
    <w:p>
      <w:pPr>
        <w:spacing w:after="40"/>
      </w:pPr>
      <w:r>
        <w:rPr>
          <w:b/>
          <w:color w:val="1F7A3D"/>
          <w:sz w:val="18"/>
        </w:rPr>
        <w:t xml:space="preserve">Expected result: </w:t>
      </w:r>
      <w:r>
        <w:rPr>
          <w:sz w:val="18"/>
        </w:rPr>
        <w:t>The uploaded source carries the chosen tag once ingested (with manual-retag guidance if tag propagation times out).</w:t>
      </w:r>
    </w:p>
    <w:p>
      <w:pPr>
        <w:spacing w:before="160" w:after="40"/>
      </w:pPr>
      <w:r>
        <w:rPr>
          <w:b/>
          <w:color w:val="1F4E79"/>
          <w:sz w:val="21"/>
        </w:rPr>
        <w:t>TC-UPL-05 — Set a per-file sensitivity class</w:t>
      </w:r>
    </w:p>
    <w:p>
      <w:pPr>
        <w:spacing w:after="40"/>
      </w:pPr>
      <w:r>
        <w:rPr>
          <w:color w:val="5A5A5A"/>
          <w:sz w:val="17"/>
        </w:rPr>
        <w:t>Type: Manual</w:t>
      </w:r>
      <w:r>
        <w:rPr>
          <w:b/>
          <w:color w:val="5A5A5A"/>
          <w:sz w:val="17"/>
        </w:rPr>
        <w:t xml:space="preserve">     Max severity if it fails: S3</w:t>
      </w:r>
    </w:p>
    <w:p>
      <w:pPr>
        <w:spacing w:after="40"/>
      </w:pPr>
      <w:r>
        <w:rPr>
          <w:b/>
          <w:sz w:val="18"/>
        </w:rPr>
        <w:t xml:space="preserve">Preconditions: </w:t>
      </w:r>
      <w:r>
        <w:rPr>
          <w:sz w:val="18"/>
        </w:rPr>
        <w:t>Add-source modal open; real backend.</w:t>
      </w:r>
    </w:p>
    <w:p>
      <w:pPr>
        <w:spacing w:after="40"/>
      </w:pPr>
      <w:r>
        <w:rPr>
          <w:b/>
        </w:rPr>
        <w:t>Steps:</w:t>
      </w:r>
    </w:p>
    <w:p>
      <w:pPr>
        <w:pStyle w:val="ListNumber"/>
        <w:spacing w:after="20"/>
      </w:pPr>
      <w:r>
        <w:rPr>
          <w:sz w:val="18"/>
        </w:rPr>
        <w:t>Add a file.</w:t>
      </w:r>
    </w:p>
    <w:p>
      <w:pPr>
        <w:pStyle w:val="ListNumber"/>
        <w:spacing w:after="20"/>
      </w:pPr>
      <w:r>
        <w:rPr>
          <w:sz w:val="18"/>
        </w:rPr>
        <w:t>Pick a class (e.g. C2 · Internal).</w:t>
      </w:r>
    </w:p>
    <w:p>
      <w:pPr>
        <w:pStyle w:val="ListNumber"/>
        <w:spacing w:after="20"/>
      </w:pPr>
      <w:r>
        <w:rPr>
          <w:sz w:val="18"/>
        </w:rPr>
        <w:t>Submit and inspect the document badge.</w:t>
      </w:r>
    </w:p>
    <w:p>
      <w:pPr>
        <w:spacing w:after="40"/>
      </w:pPr>
      <w:r>
        <w:rPr>
          <w:b/>
          <w:color w:val="1F7A3D"/>
          <w:sz w:val="18"/>
        </w:rPr>
        <w:t xml:space="preserve">Expected result: </w:t>
      </w:r>
      <w:r>
        <w:rPr>
          <w:sz w:val="18"/>
        </w:rPr>
        <w:t>The classification badge on the resulting document matches the chosen class (or the label detected from the file).</w:t>
      </w:r>
    </w:p>
    <w:p>
      <w:pPr>
        <w:spacing w:before="160" w:after="40"/>
      </w:pPr>
      <w:r>
        <w:rPr>
          <w:b/>
          <w:color w:val="1F4E79"/>
          <w:sz w:val="21"/>
        </w:rPr>
        <w:t>TC-UPL-06 — Over-ceiling file is rejected, not indexed</w:t>
      </w:r>
    </w:p>
    <w:p>
      <w:pPr>
        <w:spacing w:after="40"/>
      </w:pPr>
      <w:r>
        <w:rPr>
          <w:color w:val="5A5A5A"/>
          <w:sz w:val="17"/>
        </w:rPr>
        <w:t>Type: Manual</w:t>
      </w:r>
      <w:r>
        <w:rPr>
          <w:b/>
          <w:color w:val="B02A2A"/>
          <w:sz w:val="17"/>
        </w:rPr>
        <w:t xml:space="preserve">     Max severity if it fails: S1</w:t>
      </w:r>
    </w:p>
    <w:p>
      <w:pPr>
        <w:spacing w:after="40"/>
      </w:pPr>
      <w:r>
        <w:rPr>
          <w:b/>
          <w:sz w:val="18"/>
        </w:rPr>
        <w:t xml:space="preserve">Preconditions: </w:t>
      </w:r>
      <w:r>
        <w:rPr>
          <w:sz w:val="18"/>
        </w:rPr>
        <w:t>Real backend with TWIN_MIP_MAX_CLASSIFICATION set (e.g. C2); a C3/C4-labelled file.</w:t>
      </w:r>
    </w:p>
    <w:p>
      <w:pPr>
        <w:spacing w:after="40"/>
      </w:pPr>
      <w:r>
        <w:rPr>
          <w:b/>
        </w:rPr>
        <w:t>Steps:</w:t>
      </w:r>
    </w:p>
    <w:p>
      <w:pPr>
        <w:pStyle w:val="ListNumber"/>
        <w:spacing w:after="20"/>
      </w:pPr>
      <w:r>
        <w:rPr>
          <w:sz w:val="18"/>
        </w:rPr>
        <w:t>Upload the over-ceiling file.</w:t>
      </w:r>
    </w:p>
    <w:p>
      <w:pPr>
        <w:pStyle w:val="ListNumber"/>
        <w:spacing w:after="20"/>
      </w:pPr>
      <w:r>
        <w:rPr>
          <w:sz w:val="18"/>
        </w:rPr>
        <w:t>Open Documents.</w:t>
      </w:r>
    </w:p>
    <w:p>
      <w:pPr>
        <w:pStyle w:val="ListNumber"/>
        <w:spacing w:after="20"/>
      </w:pPr>
      <w:r>
        <w:rPr>
          <w:sz w:val="18"/>
        </w:rPr>
        <w:t>Open Activity.</w:t>
      </w:r>
    </w:p>
    <w:p>
      <w:pPr>
        <w:spacing w:after="40"/>
      </w:pPr>
      <w:r>
        <w:rPr>
          <w:b/>
          <w:color w:val="1F7A3D"/>
          <w:sz w:val="18"/>
        </w:rPr>
        <w:t xml:space="preserve">Expected result: </w:t>
      </w:r>
      <w:r>
        <w:rPr>
          <w:sz w:val="18"/>
        </w:rPr>
        <w:t>The document appears FAILED with a classification-rejected reason, is never indexed (no chunks, not retrievable), and a classification-rejected warning event is logged.</w:t>
      </w:r>
    </w:p>
    <w:p>
      <w:pPr>
        <w:spacing w:after="120"/>
      </w:pPr>
      <w:r>
        <w:rPr>
          <w:b/>
          <w:sz w:val="17"/>
        </w:rPr>
        <w:t xml:space="preserve">Note: </w:t>
      </w:r>
      <w:r>
        <w:rPr>
          <w:i/>
          <w:sz w:val="17"/>
        </w:rPr>
        <w:t>This is the core compliance guarantee — verify it cannot be bypassed.</w:t>
      </w:r>
    </w:p>
    <w:p>
      <w:r>
        <w:br w:type="page"/>
      </w:r>
    </w:p>
    <w:p>
      <w:pPr>
        <w:pStyle w:val="Heading2"/>
      </w:pPr>
      <w:r>
        <w:t>6.5 Tags governance</w:t>
      </w:r>
    </w:p>
    <w:p>
      <w:pPr>
        <w:jc w:val="center"/>
      </w:pPr>
      <w:r>
        <w:drawing>
          <wp:inline xmlns:a="http://schemas.openxmlformats.org/drawingml/2006/main" xmlns:pic="http://schemas.openxmlformats.org/drawingml/2006/picture">
            <wp:extent cx="5852160" cy="4470400"/>
            <wp:docPr id="8" name="Picture 8"/>
            <wp:cNvGraphicFramePr>
              <a:graphicFrameLocks noChangeAspect="1"/>
            </wp:cNvGraphicFramePr>
            <a:graphic>
              <a:graphicData uri="http://schemas.openxmlformats.org/drawingml/2006/picture">
                <pic:pic>
                  <pic:nvPicPr>
                    <pic:cNvPr id="0" name="06-tags-list.png"/>
                    <pic:cNvPicPr/>
                  </pic:nvPicPr>
                  <pic:blipFill>
                    <a:blip r:embed="rId16"/>
                    <a:stretch>
                      <a:fillRect/>
                    </a:stretch>
                  </pic:blipFill>
                  <pic:spPr>
                    <a:xfrm>
                      <a:off x="0" y="0"/>
                      <a:ext cx="5852160" cy="4470400"/>
                    </a:xfrm>
                    <a:prstGeom prst="rect"/>
                  </pic:spPr>
                </pic:pic>
              </a:graphicData>
            </a:graphic>
          </wp:inline>
        </w:drawing>
      </w:r>
    </w:p>
    <w:p>
      <w:pPr>
        <w:spacing w:after="200"/>
        <w:jc w:val="center"/>
      </w:pPr>
      <w:r>
        <w:rPr>
          <w:i/>
          <w:color w:val="5A5A5A"/>
          <w:sz w:val="17"/>
        </w:rPr>
        <w:t>Figure — Tags tab: category rail, status filters, tag cards and detail panel.</w:t>
      </w:r>
    </w:p>
    <w:p>
      <w:pPr>
        <w:spacing w:after="120"/>
      </w:pPr>
      <w:r>
        <w:rPr>
          <w:b w:val="0"/>
          <w:i w:val="0"/>
        </w:rPr>
        <w:t>Governs the controlled vocabulary. Operators can request new tags; admins edit, deprecate, manage synonyms, delete (with migration), and approve/reject pending requests. The tag-category taxonomy is admin-editable and importable from JSON. Tag actions cascade to the chunks/documents that carry them.</w:t>
      </w:r>
    </w:p>
    <w:p>
      <w:pPr>
        <w:jc w:val="center"/>
      </w:pPr>
      <w:r>
        <w:drawing>
          <wp:inline xmlns:a="http://schemas.openxmlformats.org/drawingml/2006/main" xmlns:pic="http://schemas.openxmlformats.org/drawingml/2006/picture">
            <wp:extent cx="5852160" cy="4470400"/>
            <wp:docPr id="9" name="Picture 9"/>
            <wp:cNvGraphicFramePr>
              <a:graphicFrameLocks noChangeAspect="1"/>
            </wp:cNvGraphicFramePr>
            <a:graphic>
              <a:graphicData uri="http://schemas.openxmlformats.org/drawingml/2006/picture">
                <pic:pic>
                  <pic:nvPicPr>
                    <pic:cNvPr id="0" name="07-tag-detail.png"/>
                    <pic:cNvPicPr/>
                  </pic:nvPicPr>
                  <pic:blipFill>
                    <a:blip r:embed="rId17"/>
                    <a:stretch>
                      <a:fillRect/>
                    </a:stretch>
                  </pic:blipFill>
                  <pic:spPr>
                    <a:xfrm>
                      <a:off x="0" y="0"/>
                      <a:ext cx="5852160" cy="4470400"/>
                    </a:xfrm>
                    <a:prstGeom prst="rect"/>
                  </pic:spPr>
                </pic:pic>
              </a:graphicData>
            </a:graphic>
          </wp:inline>
        </w:drawing>
      </w:r>
    </w:p>
    <w:p>
      <w:pPr>
        <w:spacing w:after="200"/>
        <w:jc w:val="center"/>
      </w:pPr>
      <w:r>
        <w:rPr>
          <w:i/>
          <w:color w:val="5A5A5A"/>
          <w:sz w:val="17"/>
        </w:rPr>
        <w:t>Figure — Tag selected: definition, tier/status and usage counts.</w:t>
      </w:r>
    </w:p>
    <w:p>
      <w:pPr>
        <w:jc w:val="center"/>
      </w:pPr>
      <w:r>
        <w:drawing>
          <wp:inline xmlns:a="http://schemas.openxmlformats.org/drawingml/2006/main" xmlns:pic="http://schemas.openxmlformats.org/drawingml/2006/picture">
            <wp:extent cx="5852160" cy="4470400"/>
            <wp:docPr id="10" name="Picture 10"/>
            <wp:cNvGraphicFramePr>
              <a:graphicFrameLocks noChangeAspect="1"/>
            </wp:cNvGraphicFramePr>
            <a:graphic>
              <a:graphicData uri="http://schemas.openxmlformats.org/drawingml/2006/picture">
                <pic:pic>
                  <pic:nvPicPr>
                    <pic:cNvPr id="0" name="08-request-tag-modal.png"/>
                    <pic:cNvPicPr/>
                  </pic:nvPicPr>
                  <pic:blipFill>
                    <a:blip r:embed="rId18"/>
                    <a:stretch>
                      <a:fillRect/>
                    </a:stretch>
                  </pic:blipFill>
                  <pic:spPr>
                    <a:xfrm>
                      <a:off x="0" y="0"/>
                      <a:ext cx="5852160" cy="4470400"/>
                    </a:xfrm>
                    <a:prstGeom prst="rect"/>
                  </pic:spPr>
                </pic:pic>
              </a:graphicData>
            </a:graphic>
          </wp:inline>
        </w:drawing>
      </w:r>
    </w:p>
    <w:p>
      <w:pPr>
        <w:spacing w:after="200"/>
        <w:jc w:val="center"/>
      </w:pPr>
      <w:r>
        <w:rPr>
          <w:i/>
          <w:color w:val="5A5A5A"/>
          <w:sz w:val="17"/>
        </w:rPr>
        <w:t>Figure — Request-new-tag modal.</w:t>
      </w:r>
    </w:p>
    <w:p>
      <w:pPr>
        <w:spacing w:after="80"/>
      </w:pPr>
      <w:r>
        <w:rPr>
          <w:b/>
          <w:sz w:val="18"/>
        </w:rPr>
        <w:t xml:space="preserve">Reach: </w:t>
      </w:r>
      <w:r>
        <w:rPr>
          <w:sz w:val="18"/>
        </w:rPr>
        <w:t>Tags tab.</w:t>
      </w:r>
    </w:p>
    <w:p>
      <w:pPr>
        <w:spacing w:after="120"/>
      </w:pPr>
      <w:r>
        <w:rPr>
          <w:b/>
          <w:sz w:val="18"/>
        </w:rPr>
        <w:t xml:space="preserve">Stories: </w:t>
      </w:r>
      <w:r>
        <w:rPr>
          <w:sz w:val="18"/>
        </w:rPr>
        <w:t>US-TAG-01, US-TAG-02, US-TAG-03, US-TAG-04</w:t>
      </w:r>
    </w:p>
    <w:p>
      <w:pPr>
        <w:spacing w:before="160" w:after="40"/>
      </w:pPr>
      <w:r>
        <w:rPr>
          <w:b/>
          <w:color w:val="1F4E79"/>
          <w:sz w:val="21"/>
        </w:rPr>
        <w:t>TC-TAG-01 — Request a new tag and see it pending</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Tags tab open.</w:t>
      </w:r>
    </w:p>
    <w:p>
      <w:pPr>
        <w:spacing w:after="40"/>
      </w:pPr>
      <w:r>
        <w:rPr>
          <w:b/>
        </w:rPr>
        <w:t>Steps:</w:t>
      </w:r>
    </w:p>
    <w:p>
      <w:pPr>
        <w:pStyle w:val="ListNumber"/>
        <w:spacing w:after="20"/>
      </w:pPr>
      <w:r>
        <w:rPr>
          <w:sz w:val="18"/>
        </w:rPr>
        <w:t>Click Request new tag.</w:t>
      </w:r>
    </w:p>
    <w:p>
      <w:pPr>
        <w:pStyle w:val="ListNumber"/>
        <w:spacing w:after="20"/>
      </w:pPr>
      <w:r>
        <w:rPr>
          <w:sz w:val="18"/>
        </w:rPr>
        <w:t>Fill name, definition, domain, justification.</w:t>
      </w:r>
    </w:p>
    <w:p>
      <w:pPr>
        <w:pStyle w:val="ListNumber"/>
        <w:spacing w:after="20"/>
      </w:pPr>
      <w:r>
        <w:rPr>
          <w:sz w:val="18"/>
        </w:rPr>
        <w:t>Submit request.</w:t>
      </w:r>
    </w:p>
    <w:p>
      <w:pPr>
        <w:pStyle w:val="ListNumber"/>
        <w:spacing w:after="20"/>
      </w:pPr>
      <w:r>
        <w:rPr>
          <w:sz w:val="18"/>
        </w:rPr>
        <w:t>Leave and return to Tags.</w:t>
      </w:r>
    </w:p>
    <w:p>
      <w:pPr>
        <w:spacing w:after="40"/>
      </w:pPr>
      <w:r>
        <w:rPr>
          <w:b/>
          <w:color w:val="1F7A3D"/>
          <w:sz w:val="18"/>
        </w:rPr>
        <w:t xml:space="preserve">Expected result: </w:t>
      </w:r>
      <w:r>
        <w:rPr>
          <w:sz w:val="18"/>
        </w:rPr>
        <w:t>The requested tag appears in the pending/requested section and persists across navigation.</w:t>
      </w:r>
    </w:p>
    <w:p>
      <w:pPr>
        <w:spacing w:before="160" w:after="40"/>
      </w:pPr>
      <w:r>
        <w:rPr>
          <w:b/>
          <w:color w:val="1F4E79"/>
          <w:sz w:val="21"/>
        </w:rPr>
        <w:t>TC-TAG-02 — Edit a tag definition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an existing tag.</w:t>
      </w:r>
    </w:p>
    <w:p>
      <w:pPr>
        <w:spacing w:after="40"/>
      </w:pPr>
      <w:r>
        <w:rPr>
          <w:b/>
        </w:rPr>
        <w:t>Steps:</w:t>
      </w:r>
    </w:p>
    <w:p>
      <w:pPr>
        <w:pStyle w:val="ListNumber"/>
        <w:spacing w:after="20"/>
      </w:pPr>
      <w:r>
        <w:rPr>
          <w:sz w:val="18"/>
        </w:rPr>
        <w:t>Select a tag card.</w:t>
      </w:r>
    </w:p>
    <w:p>
      <w:pPr>
        <w:pStyle w:val="ListNumber"/>
        <w:spacing w:after="20"/>
      </w:pPr>
      <w:r>
        <w:rPr>
          <w:sz w:val="18"/>
        </w:rPr>
        <w:t>Click Edit.</w:t>
      </w:r>
    </w:p>
    <w:p>
      <w:pPr>
        <w:pStyle w:val="ListNumber"/>
        <w:spacing w:after="20"/>
      </w:pPr>
      <w:r>
        <w:rPr>
          <w:sz w:val="18"/>
        </w:rPr>
        <w:t>Change the definition.</w:t>
      </w:r>
    </w:p>
    <w:p>
      <w:pPr>
        <w:pStyle w:val="ListNumber"/>
        <w:spacing w:after="20"/>
      </w:pPr>
      <w:r>
        <w:rPr>
          <w:sz w:val="18"/>
        </w:rPr>
        <w:t>Save.</w:t>
      </w:r>
    </w:p>
    <w:p>
      <w:pPr>
        <w:spacing w:after="40"/>
      </w:pPr>
      <w:r>
        <w:rPr>
          <w:b/>
          <w:color w:val="1F7A3D"/>
          <w:sz w:val="18"/>
        </w:rPr>
        <w:t xml:space="preserve">Expected result: </w:t>
      </w:r>
      <w:r>
        <w:rPr>
          <w:sz w:val="18"/>
        </w:rPr>
        <w:t>The new definition is shown on the card and survives reload.</w:t>
      </w:r>
    </w:p>
    <w:p>
      <w:pPr>
        <w:spacing w:before="160" w:after="40"/>
      </w:pPr>
      <w:r>
        <w:rPr>
          <w:b/>
          <w:color w:val="1F4E79"/>
          <w:sz w:val="21"/>
        </w:rPr>
        <w:t>TC-TAG-03 — Approve / reject a pending request (admin)</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Admin; a pending request.</w:t>
      </w:r>
    </w:p>
    <w:p>
      <w:pPr>
        <w:spacing w:after="40"/>
      </w:pPr>
      <w:r>
        <w:rPr>
          <w:b/>
        </w:rPr>
        <w:t>Steps:</w:t>
      </w:r>
    </w:p>
    <w:p>
      <w:pPr>
        <w:pStyle w:val="ListNumber"/>
        <w:spacing w:after="20"/>
      </w:pPr>
      <w:r>
        <w:rPr>
          <w:sz w:val="18"/>
        </w:rPr>
        <w:t>Reject one request — confirm the button is disabled until a reason is entered.</w:t>
      </w:r>
    </w:p>
    <w:p>
      <w:pPr>
        <w:pStyle w:val="ListNumber"/>
        <w:spacing w:after="20"/>
      </w:pPr>
      <w:r>
        <w:rPr>
          <w:sz w:val="18"/>
        </w:rPr>
        <w:t>Approve another (optionally with edits).</w:t>
      </w:r>
    </w:p>
    <w:p>
      <w:pPr>
        <w:spacing w:after="40"/>
      </w:pPr>
      <w:r>
        <w:rPr>
          <w:b/>
          <w:color w:val="1F7A3D"/>
          <w:sz w:val="18"/>
        </w:rPr>
        <w:t xml:space="preserve">Expected result: </w:t>
      </w:r>
      <w:r>
        <w:rPr>
          <w:sz w:val="18"/>
        </w:rPr>
        <w:t>Rejected tags show a Rejected status; approved ones become active; both emit activity events.</w:t>
      </w:r>
    </w:p>
    <w:p>
      <w:pPr>
        <w:spacing w:before="160" w:after="40"/>
      </w:pPr>
      <w:r>
        <w:rPr>
          <w:b/>
          <w:color w:val="1F4E79"/>
          <w:sz w:val="21"/>
        </w:rPr>
        <w:t>TC-TAG-04 — Manage synonyms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a tag selected.</w:t>
      </w:r>
    </w:p>
    <w:p>
      <w:pPr>
        <w:spacing w:after="40"/>
      </w:pPr>
      <w:r>
        <w:rPr>
          <w:b/>
        </w:rPr>
        <w:t>Steps:</w:t>
      </w:r>
    </w:p>
    <w:p>
      <w:pPr>
        <w:pStyle w:val="ListNumber"/>
        <w:spacing w:after="20"/>
      </w:pPr>
      <w:r>
        <w:rPr>
          <w:sz w:val="18"/>
        </w:rPr>
        <w:t>Open the synonyms action.</w:t>
      </w:r>
    </w:p>
    <w:p>
      <w:pPr>
        <w:pStyle w:val="ListNumber"/>
        <w:spacing w:after="20"/>
      </w:pPr>
      <w:r>
        <w:rPr>
          <w:sz w:val="18"/>
        </w:rPr>
        <w:t>Add and remove aliases.</w:t>
      </w:r>
    </w:p>
    <w:p>
      <w:pPr>
        <w:pStyle w:val="ListNumber"/>
        <w:spacing w:after="20"/>
      </w:pPr>
      <w:r>
        <w:rPr>
          <w:sz w:val="18"/>
        </w:rPr>
        <w:t>Save.</w:t>
      </w:r>
    </w:p>
    <w:p>
      <w:pPr>
        <w:spacing w:after="40"/>
      </w:pPr>
      <w:r>
        <w:rPr>
          <w:b/>
          <w:color w:val="1F7A3D"/>
          <w:sz w:val="18"/>
        </w:rPr>
        <w:t xml:space="preserve">Expected result: </w:t>
      </w:r>
      <w:r>
        <w:rPr>
          <w:sz w:val="18"/>
        </w:rPr>
        <w:t>The alias list updates and persists.</w:t>
      </w:r>
    </w:p>
    <w:p>
      <w:pPr>
        <w:spacing w:before="160" w:after="40"/>
      </w:pPr>
      <w:r>
        <w:rPr>
          <w:b/>
          <w:color w:val="1F4E79"/>
          <w:sz w:val="21"/>
        </w:rPr>
        <w:t>TC-TAG-05 — Deprecate a tag</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an active tag.</w:t>
      </w:r>
    </w:p>
    <w:p>
      <w:pPr>
        <w:spacing w:after="40"/>
      </w:pPr>
      <w:r>
        <w:rPr>
          <w:b/>
        </w:rPr>
        <w:t>Steps:</w:t>
      </w:r>
    </w:p>
    <w:p>
      <w:pPr>
        <w:pStyle w:val="ListNumber"/>
        <w:spacing w:after="20"/>
      </w:pPr>
      <w:r>
        <w:rPr>
          <w:sz w:val="18"/>
        </w:rPr>
        <w:t>Open the deprecate action.</w:t>
      </w:r>
    </w:p>
    <w:p>
      <w:pPr>
        <w:pStyle w:val="ListNumber"/>
        <w:spacing w:after="20"/>
      </w:pPr>
      <w:r>
        <w:rPr>
          <w:sz w:val="18"/>
        </w:rPr>
        <w:t>Confirm.</w:t>
      </w:r>
    </w:p>
    <w:p>
      <w:pPr>
        <w:spacing w:after="40"/>
      </w:pPr>
      <w:r>
        <w:rPr>
          <w:b/>
          <w:color w:val="1F7A3D"/>
          <w:sz w:val="18"/>
        </w:rPr>
        <w:t xml:space="preserve">Expected result: </w:t>
      </w:r>
      <w:r>
        <w:rPr>
          <w:sz w:val="18"/>
        </w:rPr>
        <w:t>The tag is flagged deprecated and is excluded from default retrieval surfaces.</w:t>
      </w:r>
    </w:p>
    <w:p>
      <w:pPr>
        <w:spacing w:before="160" w:after="40"/>
      </w:pPr>
      <w:r>
        <w:rPr>
          <w:b/>
          <w:color w:val="1F4E79"/>
          <w:sz w:val="21"/>
        </w:rPr>
        <w:t>TC-TAG-06 — Delete a tag with migration to a replacement</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Admin; a tag used by documents.</w:t>
      </w:r>
    </w:p>
    <w:p>
      <w:pPr>
        <w:spacing w:after="40"/>
      </w:pPr>
      <w:r>
        <w:rPr>
          <w:b/>
        </w:rPr>
        <w:t>Steps:</w:t>
      </w:r>
    </w:p>
    <w:p>
      <w:pPr>
        <w:pStyle w:val="ListNumber"/>
        <w:spacing w:after="20"/>
      </w:pPr>
      <w:r>
        <w:rPr>
          <w:sz w:val="18"/>
        </w:rPr>
        <w:t>Open Delete.</w:t>
      </w:r>
    </w:p>
    <w:p>
      <w:pPr>
        <w:pStyle w:val="ListNumber"/>
        <w:spacing w:after="20"/>
      </w:pPr>
      <w:r>
        <w:rPr>
          <w:sz w:val="18"/>
        </w:rPr>
        <w:t>Choose Migrate and pick a target tag (required).</w:t>
      </w:r>
    </w:p>
    <w:p>
      <w:pPr>
        <w:pStyle w:val="ListNumber"/>
        <w:spacing w:after="20"/>
      </w:pPr>
      <w:r>
        <w:rPr>
          <w:sz w:val="18"/>
        </w:rPr>
        <w:t>Confirm.</w:t>
      </w:r>
    </w:p>
    <w:p>
      <w:pPr>
        <w:spacing w:after="40"/>
      </w:pPr>
      <w:r>
        <w:rPr>
          <w:b/>
          <w:color w:val="1F7A3D"/>
          <w:sz w:val="18"/>
        </w:rPr>
        <w:t xml:space="preserve">Expected result: </w:t>
      </w:r>
      <w:r>
        <w:rPr>
          <w:sz w:val="18"/>
        </w:rPr>
        <w:t>Deletion requires a migration target (or explicit untag); affected chunks/docs are migrated; the operation is auditable.</w:t>
      </w:r>
    </w:p>
    <w:p>
      <w:pPr>
        <w:spacing w:before="160" w:after="40"/>
      </w:pPr>
      <w:r>
        <w:rPr>
          <w:b/>
          <w:color w:val="1F4E79"/>
          <w:sz w:val="21"/>
        </w:rPr>
        <w:t>TC-TAG-07 — Edit the category taxonomy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domain editor available.</w:t>
      </w:r>
    </w:p>
    <w:p>
      <w:pPr>
        <w:spacing w:after="40"/>
      </w:pPr>
      <w:r>
        <w:rPr>
          <w:b/>
        </w:rPr>
        <w:t>Steps:</w:t>
      </w:r>
    </w:p>
    <w:p>
      <w:pPr>
        <w:pStyle w:val="ListNumber"/>
        <w:spacing w:after="20"/>
      </w:pPr>
      <w:r>
        <w:rPr>
          <w:sz w:val="18"/>
        </w:rPr>
        <w:t>Open the domain editor.</w:t>
      </w:r>
    </w:p>
    <w:p>
      <w:pPr>
        <w:pStyle w:val="ListNumber"/>
        <w:spacing w:after="20"/>
      </w:pPr>
      <w:r>
        <w:rPr>
          <w:sz w:val="18"/>
        </w:rPr>
        <w:t>Add a domain (id, label, colour).</w:t>
      </w:r>
    </w:p>
    <w:p>
      <w:pPr>
        <w:pStyle w:val="ListNumber"/>
        <w:spacing w:after="20"/>
      </w:pPr>
      <w:r>
        <w:rPr>
          <w:sz w:val="18"/>
        </w:rPr>
        <w:t>Try an invalid id and an empty label.</w:t>
      </w:r>
    </w:p>
    <w:p>
      <w:pPr>
        <w:pStyle w:val="ListNumber"/>
        <w:spacing w:after="20"/>
      </w:pPr>
      <w:r>
        <w:rPr>
          <w:sz w:val="18"/>
        </w:rPr>
        <w:t>Save.</w:t>
      </w:r>
    </w:p>
    <w:p>
      <w:pPr>
        <w:spacing w:after="40"/>
      </w:pPr>
      <w:r>
        <w:rPr>
          <w:b/>
          <w:color w:val="1F7A3D"/>
          <w:sz w:val="18"/>
        </w:rPr>
        <w:t xml:space="preserve">Expected result: </w:t>
      </w:r>
      <w:r>
        <w:rPr>
          <w:sz w:val="18"/>
        </w:rPr>
        <w:t>Validation blocks invalid ids/labels/colours and duplicates; valid taxonomy saves.</w:t>
      </w:r>
    </w:p>
    <w:p>
      <w:pPr>
        <w:spacing w:before="160" w:after="40"/>
      </w:pPr>
      <w:r>
        <w:rPr>
          <w:b/>
          <w:color w:val="1F4E79"/>
          <w:sz w:val="21"/>
        </w:rPr>
        <w:t>TC-TAG-08 — Import categories from JSON</w:t>
      </w:r>
    </w:p>
    <w:p>
      <w:pPr>
        <w:spacing w:after="40"/>
      </w:pPr>
      <w:r>
        <w:rPr>
          <w:color w:val="5A5A5A"/>
          <w:sz w:val="17"/>
        </w:rPr>
        <w:t>Type: Manual</w:t>
      </w:r>
      <w:r>
        <w:rPr>
          <w:b/>
          <w:color w:val="5A5A5A"/>
          <w:sz w:val="17"/>
        </w:rPr>
        <w:t xml:space="preserve">     Max severity if it fails: S3</w:t>
      </w:r>
    </w:p>
    <w:p>
      <w:pPr>
        <w:spacing w:after="40"/>
      </w:pPr>
      <w:r>
        <w:rPr>
          <w:b/>
          <w:sz w:val="18"/>
        </w:rPr>
        <w:t xml:space="preserve">Preconditions: </w:t>
      </w:r>
      <w:r>
        <w:rPr>
          <w:sz w:val="18"/>
        </w:rPr>
        <w:t>Admin; a categories JSON (use Download template as a base).</w:t>
      </w:r>
    </w:p>
    <w:p>
      <w:pPr>
        <w:spacing w:after="40"/>
      </w:pPr>
      <w:r>
        <w:rPr>
          <w:b/>
        </w:rPr>
        <w:t>Steps:</w:t>
      </w:r>
    </w:p>
    <w:p>
      <w:pPr>
        <w:pStyle w:val="ListNumber"/>
        <w:spacing w:after="20"/>
      </w:pPr>
      <w:r>
        <w:rPr>
          <w:sz w:val="18"/>
        </w:rPr>
        <w:t>Download the template.</w:t>
      </w:r>
    </w:p>
    <w:p>
      <w:pPr>
        <w:pStyle w:val="ListNumber"/>
        <w:spacing w:after="20"/>
      </w:pPr>
      <w:r>
        <w:rPr>
          <w:sz w:val="18"/>
        </w:rPr>
        <w:t>Import a valid JSON.</w:t>
      </w:r>
    </w:p>
    <w:p>
      <w:pPr>
        <w:pStyle w:val="ListNumber"/>
        <w:spacing w:after="20"/>
      </w:pPr>
      <w:r>
        <w:rPr>
          <w:sz w:val="18"/>
        </w:rPr>
        <w:t>Import a malformed JSON.</w:t>
      </w:r>
    </w:p>
    <w:p>
      <w:pPr>
        <w:spacing w:after="40"/>
      </w:pPr>
      <w:r>
        <w:rPr>
          <w:b/>
          <w:color w:val="1F7A3D"/>
          <w:sz w:val="18"/>
        </w:rPr>
        <w:t xml:space="preserve">Expected result: </w:t>
      </w:r>
      <w:r>
        <w:rPr>
          <w:sz w:val="18"/>
        </w:rPr>
        <w:t>Valid JSON replaces the taxonomy; malformed JSON is rejected with a clear error.</w:t>
      </w:r>
    </w:p>
    <w:p>
      <w:r>
        <w:br w:type="page"/>
      </w:r>
    </w:p>
    <w:p>
      <w:pPr>
        <w:pStyle w:val="Heading2"/>
      </w:pPr>
      <w:r>
        <w:t>6.6 Retrieval</w:t>
      </w:r>
    </w:p>
    <w:p>
      <w:pPr>
        <w:jc w:val="center"/>
      </w:pPr>
      <w:r>
        <w:drawing>
          <wp:inline xmlns:a="http://schemas.openxmlformats.org/drawingml/2006/main" xmlns:pic="http://schemas.openxmlformats.org/drawingml/2006/picture">
            <wp:extent cx="5852160" cy="4470400"/>
            <wp:docPr id="11" name="Picture 11"/>
            <wp:cNvGraphicFramePr>
              <a:graphicFrameLocks noChangeAspect="1"/>
            </wp:cNvGraphicFramePr>
            <a:graphic>
              <a:graphicData uri="http://schemas.openxmlformats.org/drawingml/2006/picture">
                <pic:pic>
                  <pic:nvPicPr>
                    <pic:cNvPr id="0" name="10-retrieval-answer.png"/>
                    <pic:cNvPicPr/>
                  </pic:nvPicPr>
                  <pic:blipFill>
                    <a:blip r:embed="rId19"/>
                    <a:stretch>
                      <a:fillRect/>
                    </a:stretch>
                  </pic:blipFill>
                  <pic:spPr>
                    <a:xfrm>
                      <a:off x="0" y="0"/>
                      <a:ext cx="5852160" cy="4470400"/>
                    </a:xfrm>
                    <a:prstGeom prst="rect"/>
                  </pic:spPr>
                </pic:pic>
              </a:graphicData>
            </a:graphic>
          </wp:inline>
        </w:drawing>
      </w:r>
    </w:p>
    <w:p>
      <w:pPr>
        <w:spacing w:after="200"/>
        <w:jc w:val="center"/>
      </w:pPr>
      <w:r>
        <w:rPr>
          <w:i/>
          <w:color w:val="5A5A5A"/>
          <w:sz w:val="17"/>
        </w:rPr>
        <w:t>Figure — Retrieval tab: answer with a sources panel and the query-parameter rail.</w:t>
      </w:r>
    </w:p>
    <w:p>
      <w:pPr>
        <w:spacing w:after="120"/>
      </w:pPr>
      <w:r>
        <w:rPr>
          <w:b w:val="0"/>
          <w:i w:val="0"/>
        </w:rPr>
        <w:t>The question-answering surface. The operator asks a question and receives a streamed answer with a sources panel; a parameter rail tunes query mode, top-k, rerank, token budget, history turns and tag/document filters. Conversation threads persist in the browser.</w:t>
      </w:r>
    </w:p>
    <w:p>
      <w:pPr>
        <w:jc w:val="center"/>
      </w:pPr>
      <w:r>
        <w:drawing>
          <wp:inline xmlns:a="http://schemas.openxmlformats.org/drawingml/2006/main" xmlns:pic="http://schemas.openxmlformats.org/drawingml/2006/picture">
            <wp:extent cx="5852160" cy="4470400"/>
            <wp:docPr id="12" name="Picture 12"/>
            <wp:cNvGraphicFramePr>
              <a:graphicFrameLocks noChangeAspect="1"/>
            </wp:cNvGraphicFramePr>
            <a:graphic>
              <a:graphicData uri="http://schemas.openxmlformats.org/drawingml/2006/picture">
                <pic:pic>
                  <pic:nvPicPr>
                    <pic:cNvPr id="0" name="09-retrieval-empty.png"/>
                    <pic:cNvPicPr/>
                  </pic:nvPicPr>
                  <pic:blipFill>
                    <a:blip r:embed="rId20"/>
                    <a:stretch>
                      <a:fillRect/>
                    </a:stretch>
                  </pic:blipFill>
                  <pic:spPr>
                    <a:xfrm>
                      <a:off x="0" y="0"/>
                      <a:ext cx="5852160" cy="4470400"/>
                    </a:xfrm>
                    <a:prstGeom prst="rect"/>
                  </pic:spPr>
                </pic:pic>
              </a:graphicData>
            </a:graphic>
          </wp:inline>
        </w:drawing>
      </w:r>
    </w:p>
    <w:p>
      <w:pPr>
        <w:spacing w:after="200"/>
        <w:jc w:val="center"/>
      </w:pPr>
      <w:r>
        <w:rPr>
          <w:i/>
          <w:color w:val="5A5A5A"/>
          <w:sz w:val="17"/>
        </w:rPr>
        <w:t>Figure — Empty thread with the full query-parameter rail.</w:t>
      </w:r>
    </w:p>
    <w:p>
      <w:pPr>
        <w:spacing w:after="80"/>
      </w:pPr>
      <w:r>
        <w:rPr>
          <w:b/>
          <w:sz w:val="18"/>
        </w:rPr>
        <w:t xml:space="preserve">Reach: </w:t>
      </w:r>
      <w:r>
        <w:rPr>
          <w:sz w:val="18"/>
        </w:rPr>
        <w:t>Retrieval tab.</w:t>
      </w:r>
    </w:p>
    <w:p>
      <w:pPr>
        <w:spacing w:after="120"/>
      </w:pPr>
      <w:r>
        <w:rPr>
          <w:b/>
          <w:sz w:val="18"/>
        </w:rPr>
        <w:t xml:space="preserve">Stories: </w:t>
      </w:r>
      <w:r>
        <w:rPr>
          <w:sz w:val="18"/>
        </w:rPr>
        <w:t>US-RET-01, US-RET-02, US-RET-03</w:t>
      </w:r>
    </w:p>
    <w:p>
      <w:pPr>
        <w:spacing w:before="160" w:after="40"/>
      </w:pPr>
      <w:r>
        <w:rPr>
          <w:b/>
          <w:color w:val="1F4E79"/>
          <w:sz w:val="21"/>
        </w:rPr>
        <w:t>TC-RET-01 — Ask a question and receive an answer + sources</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Retrieval tab open.</w:t>
      </w:r>
    </w:p>
    <w:p>
      <w:pPr>
        <w:spacing w:after="40"/>
      </w:pPr>
      <w:r>
        <w:rPr>
          <w:b/>
        </w:rPr>
        <w:t>Steps:</w:t>
      </w:r>
    </w:p>
    <w:p>
      <w:pPr>
        <w:pStyle w:val="ListNumber"/>
        <w:spacing w:after="20"/>
      </w:pPr>
      <w:r>
        <w:rPr>
          <w:sz w:val="18"/>
        </w:rPr>
        <w:t>Click New.</w:t>
      </w:r>
    </w:p>
    <w:p>
      <w:pPr>
        <w:pStyle w:val="ListNumber"/>
        <w:spacing w:after="20"/>
      </w:pPr>
      <w:r>
        <w:rPr>
          <w:sz w:val="18"/>
        </w:rPr>
        <w:t>Type a question in the query input.</w:t>
      </w:r>
    </w:p>
    <w:p>
      <w:pPr>
        <w:pStyle w:val="ListNumber"/>
        <w:spacing w:after="20"/>
      </w:pPr>
      <w:r>
        <w:rPr>
          <w:sz w:val="18"/>
        </w:rPr>
        <w:t>Click Send.</w:t>
      </w:r>
    </w:p>
    <w:p>
      <w:pPr>
        <w:spacing w:after="40"/>
      </w:pPr>
      <w:r>
        <w:rPr>
          <w:b/>
          <w:color w:val="1F7A3D"/>
          <w:sz w:val="18"/>
        </w:rPr>
        <w:t xml:space="preserve">Expected result: </w:t>
      </w:r>
      <w:r>
        <w:rPr>
          <w:sz w:val="18"/>
        </w:rPr>
        <w:t>An answer renders and a Sources panel lists the returned sources with scores.</w:t>
      </w:r>
    </w:p>
    <w:p>
      <w:pPr>
        <w:spacing w:before="160" w:after="40"/>
      </w:pPr>
      <w:r>
        <w:rPr>
          <w:b/>
          <w:color w:val="1F4E79"/>
          <w:sz w:val="21"/>
        </w:rPr>
        <w:t>TC-RET-02 — Threads persist across reload</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At least one thread with a message.</w:t>
      </w:r>
    </w:p>
    <w:p>
      <w:pPr>
        <w:spacing w:after="40"/>
      </w:pPr>
      <w:r>
        <w:rPr>
          <w:b/>
        </w:rPr>
        <w:t>Steps:</w:t>
      </w:r>
    </w:p>
    <w:p>
      <w:pPr>
        <w:pStyle w:val="ListNumber"/>
        <w:spacing w:after="20"/>
      </w:pPr>
      <w:r>
        <w:rPr>
          <w:sz w:val="18"/>
        </w:rPr>
        <w:t>Create two threads with questions.</w:t>
      </w:r>
    </w:p>
    <w:p>
      <w:pPr>
        <w:pStyle w:val="ListNumber"/>
        <w:spacing w:after="20"/>
      </w:pPr>
      <w:r>
        <w:rPr>
          <w:sz w:val="18"/>
        </w:rPr>
        <w:t>Switch between them.</w:t>
      </w:r>
    </w:p>
    <w:p>
      <w:pPr>
        <w:pStyle w:val="ListNumber"/>
        <w:spacing w:after="20"/>
      </w:pPr>
      <w:r>
        <w:rPr>
          <w:sz w:val="18"/>
        </w:rPr>
        <w:t>Reload.</w:t>
      </w:r>
    </w:p>
    <w:p>
      <w:pPr>
        <w:spacing w:after="40"/>
      </w:pPr>
      <w:r>
        <w:rPr>
          <w:b/>
          <w:color w:val="1F7A3D"/>
          <w:sz w:val="18"/>
        </w:rPr>
        <w:t xml:space="preserve">Expected result: </w:t>
      </w:r>
      <w:r>
        <w:rPr>
          <w:sz w:val="18"/>
        </w:rPr>
        <w:t>Both threads and their histories survive the reload; switching shows the right history.</w:t>
      </w:r>
    </w:p>
    <w:p>
      <w:pPr>
        <w:spacing w:before="160" w:after="40"/>
      </w:pPr>
      <w:r>
        <w:rPr>
          <w:b/>
          <w:color w:val="1F4E79"/>
          <w:sz w:val="21"/>
        </w:rPr>
        <w:t>TC-RET-03 — Delete a thread</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 thread exists.</w:t>
      </w:r>
    </w:p>
    <w:p>
      <w:pPr>
        <w:spacing w:after="40"/>
      </w:pPr>
      <w:r>
        <w:rPr>
          <w:b/>
        </w:rPr>
        <w:t>Steps:</w:t>
      </w:r>
    </w:p>
    <w:p>
      <w:pPr>
        <w:pStyle w:val="ListNumber"/>
        <w:spacing w:after="20"/>
      </w:pPr>
      <w:r>
        <w:rPr>
          <w:sz w:val="18"/>
        </w:rPr>
        <w:t>Delete a thread via its control.</w:t>
      </w:r>
    </w:p>
    <w:p>
      <w:pPr>
        <w:spacing w:after="40"/>
      </w:pPr>
      <w:r>
        <w:rPr>
          <w:b/>
          <w:color w:val="1F7A3D"/>
          <w:sz w:val="18"/>
        </w:rPr>
        <w:t xml:space="preserve">Expected result: </w:t>
      </w:r>
      <w:r>
        <w:rPr>
          <w:sz w:val="18"/>
        </w:rPr>
        <w:t>The thread is removed from the list and from local storage.</w:t>
      </w:r>
    </w:p>
    <w:p>
      <w:pPr>
        <w:spacing w:before="160" w:after="40"/>
      </w:pPr>
      <w:r>
        <w:rPr>
          <w:b/>
          <w:color w:val="1F4E79"/>
          <w:sz w:val="21"/>
        </w:rPr>
        <w:t>TC-RET-04 — Parameters change retrieval breadth</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Retrieval tab open.</w:t>
      </w:r>
    </w:p>
    <w:p>
      <w:pPr>
        <w:spacing w:after="40"/>
      </w:pPr>
      <w:r>
        <w:rPr>
          <w:b/>
        </w:rPr>
        <w:t>Steps:</w:t>
      </w:r>
    </w:p>
    <w:p>
      <w:pPr>
        <w:pStyle w:val="ListNumber"/>
        <w:spacing w:after="20"/>
      </w:pPr>
      <w:r>
        <w:rPr>
          <w:sz w:val="18"/>
        </w:rPr>
        <w:t>Set top-k to 1.</w:t>
      </w:r>
    </w:p>
    <w:p>
      <w:pPr>
        <w:pStyle w:val="ListNumber"/>
        <w:spacing w:after="20"/>
      </w:pPr>
      <w:r>
        <w:rPr>
          <w:sz w:val="18"/>
        </w:rPr>
        <w:t>Ask a question.</w:t>
      </w:r>
    </w:p>
    <w:p>
      <w:pPr>
        <w:spacing w:after="40"/>
      </w:pPr>
      <w:r>
        <w:rPr>
          <w:b/>
          <w:color w:val="1F7A3D"/>
          <w:sz w:val="18"/>
        </w:rPr>
        <w:t xml:space="preserve">Expected result: </w:t>
      </w:r>
      <w:r>
        <w:rPr>
          <w:sz w:val="18"/>
        </w:rPr>
        <w:t>Fewer sources are returned than with a higher top-k (contract-level check on the mock).</w:t>
      </w:r>
    </w:p>
    <w:p>
      <w:pPr>
        <w:spacing w:before="160" w:after="40"/>
      </w:pPr>
      <w:r>
        <w:rPr>
          <w:b/>
          <w:color w:val="1F4E79"/>
          <w:sz w:val="21"/>
        </w:rPr>
        <w:t>TC-RET-05 — Tag filter does NOT narrow the answer (known limitation)</w:t>
      </w:r>
    </w:p>
    <w:p>
      <w:pPr>
        <w:spacing w:after="40"/>
      </w:pPr>
      <w:r>
        <w:rPr>
          <w:color w:val="5A5A5A"/>
          <w:sz w:val="17"/>
        </w:rPr>
        <w:t>Type: Manual</w:t>
      </w:r>
      <w:r>
        <w:rPr>
          <w:b/>
          <w:color w:val="5A5A5A"/>
          <w:sz w:val="17"/>
        </w:rPr>
        <w:t xml:space="preserve">     Max severity if it fails: S4</w:t>
      </w:r>
    </w:p>
    <w:p>
      <w:pPr>
        <w:spacing w:after="40"/>
      </w:pPr>
      <w:r>
        <w:rPr>
          <w:b/>
          <w:sz w:val="18"/>
        </w:rPr>
        <w:t xml:space="preserve">Preconditions: </w:t>
      </w:r>
      <w:r>
        <w:rPr>
          <w:sz w:val="18"/>
        </w:rPr>
        <w:t>Retrieval tab; a tag selected in Source-tag filters.</w:t>
      </w:r>
    </w:p>
    <w:p>
      <w:pPr>
        <w:spacing w:after="40"/>
      </w:pPr>
      <w:r>
        <w:rPr>
          <w:b/>
        </w:rPr>
        <w:t>Steps:</w:t>
      </w:r>
    </w:p>
    <w:p>
      <w:pPr>
        <w:pStyle w:val="ListNumber"/>
        <w:spacing w:after="20"/>
      </w:pPr>
      <w:r>
        <w:rPr>
          <w:sz w:val="18"/>
        </w:rPr>
        <w:t>Add a tag filter.</w:t>
      </w:r>
    </w:p>
    <w:p>
      <w:pPr>
        <w:pStyle w:val="ListNumber"/>
        <w:spacing w:after="20"/>
      </w:pPr>
      <w:r>
        <w:rPr>
          <w:sz w:val="18"/>
        </w:rPr>
        <w:t>Ask a question that has answers outside that tag.</w:t>
      </w:r>
    </w:p>
    <w:p>
      <w:pPr>
        <w:spacing w:after="40"/>
      </w:pPr>
      <w:r>
        <w:rPr>
          <w:b/>
          <w:color w:val="1F7A3D"/>
          <w:sz w:val="18"/>
        </w:rPr>
        <w:t xml:space="preserve">Expected result: </w:t>
      </w:r>
      <w:r>
        <w:rPr>
          <w:sz w:val="18"/>
        </w:rPr>
        <w:t>The answer may include out-of-tag material — this is expected (§4 item 1). Only file a defect if the UI claims the filter is applied to the answer.</w:t>
      </w:r>
    </w:p>
    <w:p>
      <w:pPr>
        <w:spacing w:after="120"/>
      </w:pPr>
      <w:r>
        <w:rPr>
          <w:b/>
          <w:sz w:val="17"/>
        </w:rPr>
        <w:t xml:space="preserve">Note: </w:t>
      </w:r>
      <w:r>
        <w:rPr>
          <w:i/>
          <w:sz w:val="17"/>
        </w:rPr>
        <w:t>Do NOT report the no-op itself. See §4 / audit C1.</w:t>
      </w:r>
    </w:p>
    <w:p>
      <w:pPr>
        <w:spacing w:before="160" w:after="40"/>
      </w:pPr>
      <w:r>
        <w:rPr>
          <w:b/>
          <w:color w:val="1F4E79"/>
          <w:sz w:val="21"/>
        </w:rPr>
        <w:t>TC-RET-06 — Citation link drills to the document</w:t>
      </w:r>
    </w:p>
    <w:p>
      <w:pPr>
        <w:spacing w:after="40"/>
      </w:pPr>
      <w:r>
        <w:rPr>
          <w:color w:val="5A5A5A"/>
          <w:sz w:val="17"/>
        </w:rPr>
        <w:t>Type: E2E (to build)</w:t>
      </w:r>
      <w:r>
        <w:rPr>
          <w:b/>
          <w:color w:val="5A5A5A"/>
          <w:sz w:val="17"/>
        </w:rPr>
        <w:t xml:space="preserve">     Max severity if it fails: S3</w:t>
      </w:r>
    </w:p>
    <w:p>
      <w:pPr>
        <w:spacing w:after="40"/>
      </w:pPr>
      <w:r>
        <w:rPr>
          <w:b/>
          <w:sz w:val="18"/>
        </w:rPr>
        <w:t xml:space="preserve">Preconditions: </w:t>
      </w:r>
      <w:r>
        <w:rPr>
          <w:sz w:val="18"/>
        </w:rPr>
        <w:t>An answer with an inline citation marker.</w:t>
      </w:r>
    </w:p>
    <w:p>
      <w:pPr>
        <w:spacing w:after="40"/>
      </w:pPr>
      <w:r>
        <w:rPr>
          <w:b/>
        </w:rPr>
        <w:t>Steps:</w:t>
      </w:r>
    </w:p>
    <w:p>
      <w:pPr>
        <w:pStyle w:val="ListNumber"/>
        <w:spacing w:after="20"/>
      </w:pPr>
      <w:r>
        <w:rPr>
          <w:sz w:val="18"/>
        </w:rPr>
        <w:t>Click an inline [n] citation or a source row.</w:t>
      </w:r>
    </w:p>
    <w:p>
      <w:pPr>
        <w:spacing w:after="40"/>
      </w:pPr>
      <w:r>
        <w:rPr>
          <w:b/>
          <w:color w:val="1F7A3D"/>
          <w:sz w:val="18"/>
        </w:rPr>
        <w:t xml:space="preserve">Expected result: </w:t>
      </w:r>
      <w:r>
        <w:rPr>
          <w:sz w:val="18"/>
        </w:rPr>
        <w:t>Navigates to / highlights the corresponding source document.</w:t>
      </w:r>
    </w:p>
    <w:p>
      <w:pPr>
        <w:spacing w:after="120"/>
      </w:pPr>
      <w:r>
        <w:rPr>
          <w:b/>
          <w:sz w:val="17"/>
        </w:rPr>
        <w:t xml:space="preserve">Note: </w:t>
      </w:r>
      <w:r>
        <w:rPr>
          <w:i/>
          <w:sz w:val="17"/>
        </w:rPr>
        <w:t>Currently skipped in automation; recommended new E2E and a manual pass.</w:t>
      </w:r>
    </w:p>
    <w:p>
      <w:pPr>
        <w:spacing w:before="160" w:after="40"/>
      </w:pPr>
      <w:r>
        <w:rPr>
          <w:b/>
          <w:color w:val="1F4E79"/>
          <w:sz w:val="21"/>
        </w:rPr>
        <w:t>TC-RET-07 — Answer quality and honest no-answer (real backend)</w:t>
      </w:r>
    </w:p>
    <w:p>
      <w:pPr>
        <w:spacing w:after="40"/>
      </w:pPr>
      <w:r>
        <w:rPr>
          <w:color w:val="5A5A5A"/>
          <w:sz w:val="17"/>
        </w:rPr>
        <w:t>Type: Manual</w:t>
      </w:r>
      <w:r>
        <w:rPr>
          <w:b/>
          <w:color w:val="B02A2A"/>
          <w:sz w:val="17"/>
        </w:rPr>
        <w:t xml:space="preserve">     Max severity if it fails: S2</w:t>
      </w:r>
    </w:p>
    <w:p>
      <w:pPr>
        <w:spacing w:after="40"/>
      </w:pPr>
      <w:r>
        <w:rPr>
          <w:b/>
          <w:sz w:val="18"/>
        </w:rPr>
        <w:t xml:space="preserve">Preconditions: </w:t>
      </w:r>
      <w:r>
        <w:rPr>
          <w:sz w:val="18"/>
        </w:rPr>
        <w:t>Real backend with a populated KB.</w:t>
      </w:r>
    </w:p>
    <w:p>
      <w:pPr>
        <w:spacing w:after="40"/>
      </w:pPr>
      <w:r>
        <w:rPr>
          <w:b/>
        </w:rPr>
        <w:t>Steps:</w:t>
      </w:r>
    </w:p>
    <w:p>
      <w:pPr>
        <w:pStyle w:val="ListNumber"/>
        <w:spacing w:after="20"/>
      </w:pPr>
      <w:r>
        <w:rPr>
          <w:sz w:val="18"/>
        </w:rPr>
        <w:t>Ask 10–15 in-domain questions.</w:t>
      </w:r>
    </w:p>
    <w:p>
      <w:pPr>
        <w:pStyle w:val="ListNumber"/>
        <w:spacing w:after="20"/>
      </w:pPr>
      <w:r>
        <w:rPr>
          <w:sz w:val="18"/>
        </w:rPr>
        <w:t>Ask 3 deliberately out-of-scope questions.</w:t>
      </w:r>
    </w:p>
    <w:p>
      <w:pPr>
        <w:spacing w:after="40"/>
      </w:pPr>
      <w:r>
        <w:rPr>
          <w:b/>
          <w:color w:val="1F7A3D"/>
          <w:sz w:val="18"/>
        </w:rPr>
        <w:t xml:space="preserve">Expected result: </w:t>
      </w:r>
      <w:r>
        <w:rPr>
          <w:sz w:val="18"/>
        </w:rPr>
        <w:t>In-domain answers are grounded with relevant sources; out-of-scope questions return "insufficient information" with no fabricated grounding.</w:t>
      </w:r>
    </w:p>
    <w:p>
      <w:pPr>
        <w:spacing w:after="120"/>
      </w:pPr>
      <w:r>
        <w:rPr>
          <w:b/>
          <w:sz w:val="17"/>
        </w:rPr>
        <w:t xml:space="preserve">Note: </w:t>
      </w:r>
      <w:r>
        <w:rPr>
          <w:i/>
          <w:sz w:val="17"/>
        </w:rPr>
        <w:t>Mocked build returns canned text — judge quality on real backend only.</w:t>
      </w:r>
    </w:p>
    <w:p>
      <w:r>
        <w:br w:type="page"/>
      </w:r>
    </w:p>
    <w:p>
      <w:pPr>
        <w:pStyle w:val="Heading2"/>
      </w:pPr>
      <w:r>
        <w:t>6.7 Knowledge graph</w:t>
      </w:r>
    </w:p>
    <w:p>
      <w:pPr>
        <w:jc w:val="center"/>
      </w:pPr>
      <w:r>
        <w:drawing>
          <wp:inline xmlns:a="http://schemas.openxmlformats.org/drawingml/2006/main" xmlns:pic="http://schemas.openxmlformats.org/drawingml/2006/picture">
            <wp:extent cx="5852160" cy="4470400"/>
            <wp:docPr id="13" name="Picture 13"/>
            <wp:cNvGraphicFramePr>
              <a:graphicFrameLocks noChangeAspect="1"/>
            </wp:cNvGraphicFramePr>
            <a:graphic>
              <a:graphicData uri="http://schemas.openxmlformats.org/drawingml/2006/picture">
                <pic:pic>
                  <pic:nvPicPr>
                    <pic:cNvPr id="0" name="12-graph-inspector.png"/>
                    <pic:cNvPicPr/>
                  </pic:nvPicPr>
                  <pic:blipFill>
                    <a:blip r:embed="rId21"/>
                    <a:stretch>
                      <a:fillRect/>
                    </a:stretch>
                  </pic:blipFill>
                  <pic:spPr>
                    <a:xfrm>
                      <a:off x="0" y="0"/>
                      <a:ext cx="5852160" cy="4470400"/>
                    </a:xfrm>
                    <a:prstGeom prst="rect"/>
                  </pic:spPr>
                </pic:pic>
              </a:graphicData>
            </a:graphic>
          </wp:inline>
        </w:drawing>
      </w:r>
    </w:p>
    <w:p>
      <w:pPr>
        <w:spacing w:after="200"/>
        <w:jc w:val="center"/>
      </w:pPr>
      <w:r>
        <w:rPr>
          <w:i/>
          <w:color w:val="5A5A5A"/>
          <w:sz w:val="17"/>
        </w:rPr>
        <w:t>Figure — Graph tab: canvas with an entity selected and its inspector open.</w:t>
      </w:r>
    </w:p>
    <w:p>
      <w:pPr>
        <w:spacing w:after="120"/>
      </w:pPr>
      <w:r>
        <w:rPr>
          <w:b w:val="0"/>
          <w:i w:val="0"/>
        </w:rPr>
        <w:t>A live projection of the knowledge graph. Operators filter by entity type, tag and document, select nodes/edges to inspect, and pin nodes. Admins create, edit and delete entities and relations; mutations emit activity and refetch the graph.</w:t>
      </w:r>
    </w:p>
    <w:p>
      <w:pPr>
        <w:jc w:val="center"/>
      </w:pPr>
      <w:r>
        <w:drawing>
          <wp:inline xmlns:a="http://schemas.openxmlformats.org/drawingml/2006/main" xmlns:pic="http://schemas.openxmlformats.org/drawingml/2006/picture">
            <wp:extent cx="5852160" cy="4470400"/>
            <wp:docPr id="14" name="Picture 14"/>
            <wp:cNvGraphicFramePr>
              <a:graphicFrameLocks noChangeAspect="1"/>
            </wp:cNvGraphicFramePr>
            <a:graphic>
              <a:graphicData uri="http://schemas.openxmlformats.org/drawingml/2006/picture">
                <pic:pic>
                  <pic:nvPicPr>
                    <pic:cNvPr id="0" name="11-graph-canvas.png"/>
                    <pic:cNvPicPr/>
                  </pic:nvPicPr>
                  <pic:blipFill>
                    <a:blip r:embed="rId22"/>
                    <a:stretch>
                      <a:fillRect/>
                    </a:stretch>
                  </pic:blipFill>
                  <pic:spPr>
                    <a:xfrm>
                      <a:off x="0" y="0"/>
                      <a:ext cx="5852160" cy="4470400"/>
                    </a:xfrm>
                    <a:prstGeom prst="rect"/>
                  </pic:spPr>
                </pic:pic>
              </a:graphicData>
            </a:graphic>
          </wp:inline>
        </w:drawing>
      </w:r>
    </w:p>
    <w:p>
      <w:pPr>
        <w:spacing w:after="200"/>
        <w:jc w:val="center"/>
      </w:pPr>
      <w:r>
        <w:rPr>
          <w:i/>
          <w:color w:val="5A5A5A"/>
          <w:sz w:val="17"/>
        </w:rPr>
        <w:t>Figure — Graph canvas with the type/tag/document filter rail.</w:t>
      </w:r>
    </w:p>
    <w:p>
      <w:pPr>
        <w:jc w:val="center"/>
      </w:pPr>
      <w:r>
        <w:drawing>
          <wp:inline xmlns:a="http://schemas.openxmlformats.org/drawingml/2006/main" xmlns:pic="http://schemas.openxmlformats.org/drawingml/2006/picture">
            <wp:extent cx="5852160" cy="4470400"/>
            <wp:docPr id="15" name="Picture 15"/>
            <wp:cNvGraphicFramePr>
              <a:graphicFrameLocks noChangeAspect="1"/>
            </wp:cNvGraphicFramePr>
            <a:graphic>
              <a:graphicData uri="http://schemas.openxmlformats.org/drawingml/2006/picture">
                <pic:pic>
                  <pic:nvPicPr>
                    <pic:cNvPr id="0" name="13-graph-add-entity.png"/>
                    <pic:cNvPicPr/>
                  </pic:nvPicPr>
                  <pic:blipFill>
                    <a:blip r:embed="rId23"/>
                    <a:stretch>
                      <a:fillRect/>
                    </a:stretch>
                  </pic:blipFill>
                  <pic:spPr>
                    <a:xfrm>
                      <a:off x="0" y="0"/>
                      <a:ext cx="5852160" cy="4470400"/>
                    </a:xfrm>
                    <a:prstGeom prst="rect"/>
                  </pic:spPr>
                </pic:pic>
              </a:graphicData>
            </a:graphic>
          </wp:inline>
        </w:drawing>
      </w:r>
    </w:p>
    <w:p>
      <w:pPr>
        <w:spacing w:after="200"/>
        <w:jc w:val="center"/>
      </w:pPr>
      <w:r>
        <w:rPr>
          <w:i/>
          <w:color w:val="5A5A5A"/>
          <w:sz w:val="17"/>
        </w:rPr>
        <w:t>Figure — Admin add-entity form.</w:t>
      </w:r>
    </w:p>
    <w:p>
      <w:pPr>
        <w:spacing w:after="80"/>
      </w:pPr>
      <w:r>
        <w:rPr>
          <w:b/>
          <w:sz w:val="18"/>
        </w:rPr>
        <w:t xml:space="preserve">Reach: </w:t>
      </w:r>
      <w:r>
        <w:rPr>
          <w:sz w:val="18"/>
        </w:rPr>
        <w:t>Graph tab.</w:t>
      </w:r>
    </w:p>
    <w:p>
      <w:pPr>
        <w:spacing w:after="120"/>
      </w:pPr>
      <w:r>
        <w:rPr>
          <w:b/>
          <w:sz w:val="18"/>
        </w:rPr>
        <w:t xml:space="preserve">Stories: </w:t>
      </w:r>
      <w:r>
        <w:rPr>
          <w:sz w:val="18"/>
        </w:rPr>
        <w:t>US-GRAPH-01, US-GRAPH-02, US-GRAPH-03</w:t>
      </w:r>
    </w:p>
    <w:p>
      <w:pPr>
        <w:spacing w:before="160" w:after="40"/>
      </w:pPr>
      <w:r>
        <w:rPr>
          <w:b/>
          <w:color w:val="1F4E79"/>
          <w:sz w:val="21"/>
        </w:rPr>
        <w:t>TC-GR-01 — Filter by entity type updates canvas and counts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Graph tab open.</w:t>
      </w:r>
    </w:p>
    <w:p>
      <w:pPr>
        <w:spacing w:after="40"/>
      </w:pPr>
      <w:r>
        <w:rPr>
          <w:b/>
        </w:rPr>
        <w:t>Steps:</w:t>
      </w:r>
    </w:p>
    <w:p>
      <w:pPr>
        <w:pStyle w:val="ListNumber"/>
        <w:spacing w:after="20"/>
      </w:pPr>
      <w:r>
        <w:rPr>
          <w:sz w:val="18"/>
        </w:rPr>
        <w:t>Toggle entity-type filters.</w:t>
      </w:r>
    </w:p>
    <w:p>
      <w:pPr>
        <w:pStyle w:val="ListNumber"/>
        <w:spacing w:after="20"/>
      </w:pPr>
      <w:r>
        <w:rPr>
          <w:sz w:val="18"/>
        </w:rPr>
        <w:t>Observe nodes and the per-type counters.</w:t>
      </w:r>
    </w:p>
    <w:p>
      <w:pPr>
        <w:spacing w:after="40"/>
      </w:pPr>
      <w:r>
        <w:rPr>
          <w:b/>
          <w:color w:val="1F7A3D"/>
          <w:sz w:val="18"/>
        </w:rPr>
        <w:t xml:space="preserve">Expected result: </w:t>
      </w:r>
      <w:r>
        <w:rPr>
          <w:sz w:val="18"/>
        </w:rPr>
        <w:t>The canvas and counters track the active type filters.</w:t>
      </w:r>
    </w:p>
    <w:p>
      <w:pPr>
        <w:spacing w:before="160" w:after="40"/>
      </w:pPr>
      <w:r>
        <w:rPr>
          <w:b/>
          <w:color w:val="1F4E79"/>
          <w:sz w:val="21"/>
        </w:rPr>
        <w:t>TC-GR-02 — Search an entity by name</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Graph tab open.</w:t>
      </w:r>
    </w:p>
    <w:p>
      <w:pPr>
        <w:spacing w:after="40"/>
      </w:pPr>
      <w:r>
        <w:rPr>
          <w:b/>
        </w:rPr>
        <w:t>Steps:</w:t>
      </w:r>
    </w:p>
    <w:p>
      <w:pPr>
        <w:pStyle w:val="ListNumber"/>
        <w:spacing w:after="20"/>
      </w:pPr>
      <w:r>
        <w:rPr>
          <w:sz w:val="18"/>
        </w:rPr>
        <w:t>Type an entity name in search.</w:t>
      </w:r>
    </w:p>
    <w:p>
      <w:pPr>
        <w:spacing w:after="40"/>
      </w:pPr>
      <w:r>
        <w:rPr>
          <w:b/>
          <w:color w:val="1F7A3D"/>
          <w:sz w:val="18"/>
        </w:rPr>
        <w:t xml:space="preserve">Expected result: </w:t>
      </w:r>
      <w:r>
        <w:rPr>
          <w:sz w:val="18"/>
        </w:rPr>
        <w:t>Only matching nodes remain emphasised/visible.</w:t>
      </w:r>
    </w:p>
    <w:p>
      <w:pPr>
        <w:spacing w:before="160" w:after="40"/>
      </w:pPr>
      <w:r>
        <w:rPr>
          <w:b/>
          <w:color w:val="1F4E79"/>
          <w:sz w:val="21"/>
        </w:rPr>
        <w:t>TC-GR-03 — Select an entity and read its inspector</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Graph has nodes.</w:t>
      </w:r>
    </w:p>
    <w:p>
      <w:pPr>
        <w:spacing w:after="40"/>
      </w:pPr>
      <w:r>
        <w:rPr>
          <w:b/>
        </w:rPr>
        <w:t>Steps:</w:t>
      </w:r>
    </w:p>
    <w:p>
      <w:pPr>
        <w:pStyle w:val="ListNumber"/>
        <w:spacing w:after="20"/>
      </w:pPr>
      <w:r>
        <w:rPr>
          <w:sz w:val="18"/>
        </w:rPr>
        <w:t>Click a node.</w:t>
      </w:r>
    </w:p>
    <w:p>
      <w:pPr>
        <w:pStyle w:val="ListNumber"/>
        <w:spacing w:after="20"/>
      </w:pPr>
      <w:r>
        <w:rPr>
          <w:sz w:val="18"/>
        </w:rPr>
        <w:t>Read summary, type, tags, source documents and relations.</w:t>
      </w:r>
    </w:p>
    <w:p>
      <w:pPr>
        <w:spacing w:after="40"/>
      </w:pPr>
      <w:r>
        <w:rPr>
          <w:b/>
          <w:color w:val="1F7A3D"/>
          <w:sz w:val="18"/>
        </w:rPr>
        <w:t xml:space="preserve">Expected result: </w:t>
      </w:r>
      <w:r>
        <w:rPr>
          <w:sz w:val="18"/>
        </w:rPr>
        <w:t>The inspector shows the entity's details and its incoming/outgoing relations.</w:t>
      </w:r>
    </w:p>
    <w:p>
      <w:pPr>
        <w:spacing w:before="160" w:after="40"/>
      </w:pPr>
      <w:r>
        <w:rPr>
          <w:b/>
          <w:color w:val="1F4E79"/>
          <w:sz w:val="21"/>
        </w:rPr>
        <w:t>TC-GR-04 — Pin an entity; pin persists</w:t>
      </w:r>
    </w:p>
    <w:p>
      <w:pPr>
        <w:spacing w:after="40"/>
      </w:pPr>
      <w:r>
        <w:rPr>
          <w:color w:val="5A5A5A"/>
          <w:sz w:val="17"/>
        </w:rPr>
        <w:t>Type: E2E (automated)</w:t>
      </w:r>
      <w:r>
        <w:rPr>
          <w:b/>
          <w:color w:val="5A5A5A"/>
          <w:sz w:val="17"/>
        </w:rPr>
        <w:t xml:space="preserve">     Max severity if it fails: S4</w:t>
      </w:r>
    </w:p>
    <w:p>
      <w:pPr>
        <w:spacing w:after="40"/>
      </w:pPr>
      <w:r>
        <w:rPr>
          <w:b/>
          <w:sz w:val="18"/>
        </w:rPr>
        <w:t xml:space="preserve">Preconditions: </w:t>
      </w:r>
      <w:r>
        <w:rPr>
          <w:sz w:val="18"/>
        </w:rPr>
        <w:t>A node selected.</w:t>
      </w:r>
    </w:p>
    <w:p>
      <w:pPr>
        <w:spacing w:after="40"/>
      </w:pPr>
      <w:r>
        <w:rPr>
          <w:b/>
        </w:rPr>
        <w:t>Steps:</w:t>
      </w:r>
    </w:p>
    <w:p>
      <w:pPr>
        <w:pStyle w:val="ListNumber"/>
        <w:spacing w:after="20"/>
      </w:pPr>
      <w:r>
        <w:rPr>
          <w:sz w:val="18"/>
        </w:rPr>
        <w:t>Click Pin.</w:t>
      </w:r>
    </w:p>
    <w:p>
      <w:pPr>
        <w:pStyle w:val="ListNumber"/>
        <w:spacing w:after="20"/>
      </w:pPr>
      <w:r>
        <w:rPr>
          <w:sz w:val="18"/>
        </w:rPr>
        <w:t>Reload and reselect the node.</w:t>
      </w:r>
    </w:p>
    <w:p>
      <w:pPr>
        <w:spacing w:after="40"/>
      </w:pPr>
      <w:r>
        <w:rPr>
          <w:b/>
          <w:color w:val="1F7A3D"/>
          <w:sz w:val="18"/>
        </w:rPr>
        <w:t xml:space="preserve">Expected result: </w:t>
      </w:r>
      <w:r>
        <w:rPr>
          <w:sz w:val="18"/>
        </w:rPr>
        <w:t>The node is pinned and remains pinned after reload.</w:t>
      </w:r>
    </w:p>
    <w:p>
      <w:pPr>
        <w:spacing w:before="160" w:after="40"/>
      </w:pPr>
      <w:r>
        <w:rPr>
          <w:b/>
          <w:color w:val="1F4E79"/>
          <w:sz w:val="21"/>
        </w:rPr>
        <w:t>TC-GR-05 — Create an entity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Graph tab.</w:t>
      </w:r>
    </w:p>
    <w:p>
      <w:pPr>
        <w:spacing w:after="40"/>
      </w:pPr>
      <w:r>
        <w:rPr>
          <w:b/>
        </w:rPr>
        <w:t>Steps:</w:t>
      </w:r>
    </w:p>
    <w:p>
      <w:pPr>
        <w:pStyle w:val="ListNumber"/>
        <w:spacing w:after="20"/>
      </w:pPr>
      <w:r>
        <w:rPr>
          <w:sz w:val="18"/>
        </w:rPr>
        <w:t>Click Add entity.</w:t>
      </w:r>
    </w:p>
    <w:p>
      <w:pPr>
        <w:pStyle w:val="ListNumber"/>
        <w:spacing w:after="20"/>
      </w:pPr>
      <w:r>
        <w:rPr>
          <w:sz w:val="18"/>
        </w:rPr>
        <w:t>Confirm submit is disabled until name + type are set.</w:t>
      </w:r>
    </w:p>
    <w:p>
      <w:pPr>
        <w:pStyle w:val="ListNumber"/>
        <w:spacing w:after="20"/>
      </w:pPr>
      <w:r>
        <w:rPr>
          <w:sz w:val="18"/>
        </w:rPr>
        <w:t>Fill required fields and create.</w:t>
      </w:r>
    </w:p>
    <w:p>
      <w:pPr>
        <w:spacing w:after="40"/>
      </w:pPr>
      <w:r>
        <w:rPr>
          <w:b/>
          <w:color w:val="1F7A3D"/>
          <w:sz w:val="18"/>
        </w:rPr>
        <w:t xml:space="preserve">Expected result: </w:t>
      </w:r>
      <w:r>
        <w:rPr>
          <w:sz w:val="18"/>
        </w:rPr>
        <w:t>A new entity is created, appears on the canvas, and an activity event is recorded.</w:t>
      </w:r>
    </w:p>
    <w:p>
      <w:pPr>
        <w:spacing w:before="160" w:after="40"/>
      </w:pPr>
      <w:r>
        <w:rPr>
          <w:b/>
          <w:color w:val="1F4E79"/>
          <w:sz w:val="21"/>
        </w:rPr>
        <w:t>TC-GR-06 — Create a relation with duplicate guard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an entity selected.</w:t>
      </w:r>
    </w:p>
    <w:p>
      <w:pPr>
        <w:spacing w:after="40"/>
      </w:pPr>
      <w:r>
        <w:rPr>
          <w:b/>
        </w:rPr>
        <w:t>Steps:</w:t>
      </w:r>
    </w:p>
    <w:p>
      <w:pPr>
        <w:pStyle w:val="ListNumber"/>
        <w:spacing w:after="20"/>
      </w:pPr>
      <w:r>
        <w:rPr>
          <w:sz w:val="18"/>
        </w:rPr>
        <w:t>Add a relation to another entity.</w:t>
      </w:r>
    </w:p>
    <w:p>
      <w:pPr>
        <w:pStyle w:val="ListNumber"/>
        <w:spacing w:after="20"/>
      </w:pPr>
      <w:r>
        <w:rPr>
          <w:sz w:val="18"/>
        </w:rPr>
        <w:t>Try to add the same edge again.</w:t>
      </w:r>
    </w:p>
    <w:p>
      <w:pPr>
        <w:spacing w:after="40"/>
      </w:pPr>
      <w:r>
        <w:rPr>
          <w:b/>
          <w:color w:val="1F7A3D"/>
          <w:sz w:val="18"/>
        </w:rPr>
        <w:t xml:space="preserve">Expected result: </w:t>
      </w:r>
      <w:r>
        <w:rPr>
          <w:sz w:val="18"/>
        </w:rPr>
        <w:t>The relation is created; a duplicate edge is prevented.</w:t>
      </w:r>
    </w:p>
    <w:p>
      <w:pPr>
        <w:spacing w:before="160" w:after="40"/>
      </w:pPr>
      <w:r>
        <w:rPr>
          <w:b/>
          <w:color w:val="1F4E79"/>
          <w:sz w:val="21"/>
        </w:rPr>
        <w:t>TC-GR-07 — Delete an entity / relation (admin, two-click)</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Admin; an entity or relation selected.</w:t>
      </w:r>
    </w:p>
    <w:p>
      <w:pPr>
        <w:spacing w:after="40"/>
      </w:pPr>
      <w:r>
        <w:rPr>
          <w:b/>
        </w:rPr>
        <w:t>Steps:</w:t>
      </w:r>
    </w:p>
    <w:p>
      <w:pPr>
        <w:pStyle w:val="ListNumber"/>
        <w:spacing w:after="20"/>
      </w:pPr>
      <w:r>
        <w:rPr>
          <w:sz w:val="18"/>
        </w:rPr>
        <w:t>Click Delete.</w:t>
      </w:r>
    </w:p>
    <w:p>
      <w:pPr>
        <w:pStyle w:val="ListNumber"/>
        <w:spacing w:after="20"/>
      </w:pPr>
      <w:r>
        <w:rPr>
          <w:sz w:val="18"/>
        </w:rPr>
        <w:t>Confirm on the second click.</w:t>
      </w:r>
    </w:p>
    <w:p>
      <w:pPr>
        <w:spacing w:after="40"/>
      </w:pPr>
      <w:r>
        <w:rPr>
          <w:b/>
          <w:color w:val="1F7A3D"/>
          <w:sz w:val="18"/>
        </w:rPr>
        <w:t xml:space="preserve">Expected result: </w:t>
      </w:r>
      <w:r>
        <w:rPr>
          <w:sz w:val="18"/>
        </w:rPr>
        <w:t>Deletion requires the second confirm; the element disappears; an event is recorded.</w:t>
      </w:r>
    </w:p>
    <w:p>
      <w:pPr>
        <w:spacing w:before="160" w:after="40"/>
      </w:pPr>
      <w:r>
        <w:rPr>
          <w:b/>
          <w:color w:val="1F4E79"/>
          <w:sz w:val="21"/>
        </w:rPr>
        <w:t>TC-GR-08 — Drill from an entity to its documents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An entity with source documents.</w:t>
      </w:r>
    </w:p>
    <w:p>
      <w:pPr>
        <w:spacing w:after="40"/>
      </w:pPr>
      <w:r>
        <w:rPr>
          <w:b/>
        </w:rPr>
        <w:t>Steps:</w:t>
      </w:r>
    </w:p>
    <w:p>
      <w:pPr>
        <w:pStyle w:val="ListNumber"/>
        <w:spacing w:after="20"/>
      </w:pPr>
      <w:r>
        <w:rPr>
          <w:sz w:val="18"/>
        </w:rPr>
        <w:t>Use "View documents mentioning this entity".</w:t>
      </w:r>
    </w:p>
    <w:p>
      <w:pPr>
        <w:spacing w:after="40"/>
      </w:pPr>
      <w:r>
        <w:rPr>
          <w:b/>
          <w:color w:val="1F7A3D"/>
          <w:sz w:val="18"/>
        </w:rPr>
        <w:t xml:space="preserve">Expected result: </w:t>
      </w:r>
      <w:r>
        <w:rPr>
          <w:sz w:val="18"/>
        </w:rPr>
        <w:t>Navigates to Documents pre-filtered by that entity.</w:t>
      </w:r>
    </w:p>
    <w:p>
      <w:r>
        <w:br w:type="page"/>
      </w:r>
    </w:p>
    <w:p>
      <w:pPr>
        <w:pStyle w:val="Heading2"/>
      </w:pPr>
      <w:r>
        <w:t>6.8 Activity</w:t>
      </w:r>
    </w:p>
    <w:p>
      <w:pPr>
        <w:jc w:val="center"/>
      </w:pPr>
      <w:r>
        <w:drawing>
          <wp:inline xmlns:a="http://schemas.openxmlformats.org/drawingml/2006/main" xmlns:pic="http://schemas.openxmlformats.org/drawingml/2006/picture">
            <wp:extent cx="5852160" cy="4470400"/>
            <wp:docPr id="16" name="Picture 16"/>
            <wp:cNvGraphicFramePr>
              <a:graphicFrameLocks noChangeAspect="1"/>
            </wp:cNvGraphicFramePr>
            <a:graphic>
              <a:graphicData uri="http://schemas.openxmlformats.org/drawingml/2006/picture">
                <pic:pic>
                  <pic:nvPicPr>
                    <pic:cNvPr id="0" name="15-activity-detail.png"/>
                    <pic:cNvPicPr/>
                  </pic:nvPicPr>
                  <pic:blipFill>
                    <a:blip r:embed="rId24"/>
                    <a:stretch>
                      <a:fillRect/>
                    </a:stretch>
                  </pic:blipFill>
                  <pic:spPr>
                    <a:xfrm>
                      <a:off x="0" y="0"/>
                      <a:ext cx="5852160" cy="4470400"/>
                    </a:xfrm>
                    <a:prstGeom prst="rect"/>
                  </pic:spPr>
                </pic:pic>
              </a:graphicData>
            </a:graphic>
          </wp:inline>
        </w:drawing>
      </w:r>
    </w:p>
    <w:p>
      <w:pPr>
        <w:spacing w:after="200"/>
        <w:jc w:val="center"/>
      </w:pPr>
      <w:r>
        <w:rPr>
          <w:i/>
          <w:color w:val="5A5A5A"/>
          <w:sz w:val="17"/>
        </w:rPr>
        <w:t>Figure — Activity tab: filtered timeline with an event detail panel.</w:t>
      </w:r>
    </w:p>
    <w:p>
      <w:pPr>
        <w:spacing w:after="120"/>
      </w:pPr>
      <w:r>
        <w:rPr>
          <w:b w:val="0"/>
          <w:i w:val="0"/>
        </w:rPr>
        <w:t>The audit feed. Every governance action (upload, approve/reject, tag change, graph mutation, key minting, classification rejection…) is recorded. Filter by time range, kind, severity, actor and free text; open an event to drill into its target. Admins can clear activity.</w:t>
      </w:r>
    </w:p>
    <w:p>
      <w:pPr>
        <w:spacing w:after="80"/>
      </w:pPr>
      <w:r>
        <w:rPr>
          <w:b/>
          <w:sz w:val="18"/>
        </w:rPr>
        <w:t xml:space="preserve">Reach: </w:t>
      </w:r>
      <w:r>
        <w:rPr>
          <w:sz w:val="18"/>
        </w:rPr>
        <w:t>Activity tab.</w:t>
      </w:r>
    </w:p>
    <w:p>
      <w:pPr>
        <w:spacing w:after="120"/>
      </w:pPr>
      <w:r>
        <w:rPr>
          <w:b/>
          <w:sz w:val="18"/>
        </w:rPr>
        <w:t xml:space="preserve">Stories: </w:t>
      </w:r>
      <w:r>
        <w:rPr>
          <w:sz w:val="18"/>
        </w:rPr>
        <w:t>US-ACT-01, US-ACT-02</w:t>
      </w:r>
    </w:p>
    <w:p>
      <w:pPr>
        <w:spacing w:before="160" w:after="40"/>
      </w:pPr>
      <w:r>
        <w:rPr>
          <w:b/>
          <w:color w:val="1F4E79"/>
          <w:sz w:val="21"/>
        </w:rPr>
        <w:t>TC-ACT-01 — Severity filter narrows the timeline</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Events of mixed severity.</w:t>
      </w:r>
    </w:p>
    <w:p>
      <w:pPr>
        <w:spacing w:after="40"/>
      </w:pPr>
      <w:r>
        <w:rPr>
          <w:b/>
        </w:rPr>
        <w:t>Steps:</w:t>
      </w:r>
    </w:p>
    <w:p>
      <w:pPr>
        <w:pStyle w:val="ListNumber"/>
        <w:spacing w:after="20"/>
      </w:pPr>
      <w:r>
        <w:rPr>
          <w:sz w:val="18"/>
        </w:rPr>
        <w:t>Set Severity filter to error.</w:t>
      </w:r>
    </w:p>
    <w:p>
      <w:pPr>
        <w:pStyle w:val="ListNumber"/>
        <w:spacing w:after="20"/>
      </w:pPr>
      <w:r>
        <w:rPr>
          <w:sz w:val="18"/>
        </w:rPr>
        <w:t>Reset to any.</w:t>
      </w:r>
    </w:p>
    <w:p>
      <w:pPr>
        <w:spacing w:after="40"/>
      </w:pPr>
      <w:r>
        <w:rPr>
          <w:b/>
          <w:color w:val="1F7A3D"/>
          <w:sz w:val="18"/>
        </w:rPr>
        <w:t xml:space="preserve">Expected result: </w:t>
      </w:r>
      <w:r>
        <w:rPr>
          <w:sz w:val="18"/>
        </w:rPr>
        <w:t>Only error rows show under the error filter; all return on reset; the stats count tracks the filter.</w:t>
      </w:r>
    </w:p>
    <w:p>
      <w:pPr>
        <w:spacing w:before="160" w:after="40"/>
      </w:pPr>
      <w:r>
        <w:rPr>
          <w:b/>
          <w:color w:val="1F4E79"/>
          <w:sz w:val="21"/>
        </w:rPr>
        <w:t>TC-ACT-02 — Kind and text filters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Events of mixed kinds.</w:t>
      </w:r>
    </w:p>
    <w:p>
      <w:pPr>
        <w:spacing w:after="40"/>
      </w:pPr>
      <w:r>
        <w:rPr>
          <w:b/>
        </w:rPr>
        <w:t>Steps:</w:t>
      </w:r>
    </w:p>
    <w:p>
      <w:pPr>
        <w:pStyle w:val="ListNumber"/>
        <w:spacing w:after="20"/>
      </w:pPr>
      <w:r>
        <w:rPr>
          <w:sz w:val="18"/>
        </w:rPr>
        <w:t>Toggle one or more event kinds.</w:t>
      </w:r>
    </w:p>
    <w:p>
      <w:pPr>
        <w:pStyle w:val="ListNumber"/>
        <w:spacing w:after="20"/>
      </w:pPr>
      <w:r>
        <w:rPr>
          <w:sz w:val="18"/>
        </w:rPr>
        <w:t>Search a text fragment.</w:t>
      </w:r>
    </w:p>
    <w:p>
      <w:pPr>
        <w:spacing w:after="40"/>
      </w:pPr>
      <w:r>
        <w:rPr>
          <w:b/>
          <w:color w:val="1F7A3D"/>
          <w:sz w:val="18"/>
        </w:rPr>
        <w:t xml:space="preserve">Expected result: </w:t>
      </w:r>
      <w:r>
        <w:rPr>
          <w:sz w:val="18"/>
        </w:rPr>
        <w:t>The list reflects the combined kind + text filters.</w:t>
      </w:r>
    </w:p>
    <w:p>
      <w:pPr>
        <w:spacing w:before="160" w:after="40"/>
      </w:pPr>
      <w:r>
        <w:rPr>
          <w:b/>
          <w:color w:val="1F4E79"/>
          <w:sz w:val="21"/>
        </w:rPr>
        <w:t>TC-ACT-03 — Time-range tabs</w:t>
      </w:r>
    </w:p>
    <w:p>
      <w:pPr>
        <w:spacing w:after="40"/>
      </w:pPr>
      <w:r>
        <w:rPr>
          <w:color w:val="5A5A5A"/>
          <w:sz w:val="17"/>
        </w:rPr>
        <w:t>Type: E2E (automated)</w:t>
      </w:r>
      <w:r>
        <w:rPr>
          <w:b/>
          <w:color w:val="5A5A5A"/>
          <w:sz w:val="17"/>
        </w:rPr>
        <w:t xml:space="preserve">     Max severity if it fails: S4</w:t>
      </w:r>
    </w:p>
    <w:p>
      <w:pPr>
        <w:spacing w:after="40"/>
      </w:pPr>
      <w:r>
        <w:rPr>
          <w:b/>
          <w:sz w:val="18"/>
        </w:rPr>
        <w:t xml:space="preserve">Preconditions: </w:t>
      </w:r>
      <w:r>
        <w:rPr>
          <w:sz w:val="18"/>
        </w:rPr>
        <w:t>Activity tab open.</w:t>
      </w:r>
    </w:p>
    <w:p>
      <w:pPr>
        <w:spacing w:after="40"/>
      </w:pPr>
      <w:r>
        <w:rPr>
          <w:b/>
        </w:rPr>
        <w:t>Steps:</w:t>
      </w:r>
    </w:p>
    <w:p>
      <w:pPr>
        <w:pStyle w:val="ListNumber"/>
        <w:spacing w:after="20"/>
      </w:pPr>
      <w:r>
        <w:rPr>
          <w:sz w:val="18"/>
        </w:rPr>
        <w:t>Switch among 24h / 7d / 30d / All.</w:t>
      </w:r>
    </w:p>
    <w:p>
      <w:pPr>
        <w:spacing w:after="40"/>
      </w:pPr>
      <w:r>
        <w:rPr>
          <w:b/>
          <w:color w:val="1F7A3D"/>
          <w:sz w:val="18"/>
        </w:rPr>
        <w:t xml:space="preserve">Expected result: </w:t>
      </w:r>
      <w:r>
        <w:rPr>
          <w:sz w:val="18"/>
        </w:rPr>
        <w:t>The active range is highlighted and the timeline updates.</w:t>
      </w:r>
    </w:p>
    <w:p>
      <w:pPr>
        <w:spacing w:before="160" w:after="40"/>
      </w:pPr>
      <w:r>
        <w:rPr>
          <w:b/>
          <w:color w:val="1F4E79"/>
          <w:sz w:val="21"/>
        </w:rPr>
        <w:t>TC-ACT-04 — Open an event detail</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At least one event.</w:t>
      </w:r>
    </w:p>
    <w:p>
      <w:pPr>
        <w:spacing w:after="40"/>
      </w:pPr>
      <w:r>
        <w:rPr>
          <w:b/>
        </w:rPr>
        <w:t>Steps:</w:t>
      </w:r>
    </w:p>
    <w:p>
      <w:pPr>
        <w:pStyle w:val="ListNumber"/>
        <w:spacing w:after="20"/>
      </w:pPr>
      <w:r>
        <w:rPr>
          <w:sz w:val="18"/>
        </w:rPr>
        <w:t>Click an event row.</w:t>
      </w:r>
    </w:p>
    <w:p>
      <w:pPr>
        <w:pStyle w:val="ListNumber"/>
        <w:spacing w:after="20"/>
      </w:pPr>
      <w:r>
        <w:rPr>
          <w:sz w:val="18"/>
        </w:rPr>
        <w:t>Read the detail (Event ID, severity, actor, target, timestamp).</w:t>
      </w:r>
    </w:p>
    <w:p>
      <w:pPr>
        <w:spacing w:after="40"/>
      </w:pPr>
      <w:r>
        <w:rPr>
          <w:b/>
          <w:color w:val="1F7A3D"/>
          <w:sz w:val="18"/>
        </w:rPr>
        <w:t xml:space="preserve">Expected result: </w:t>
      </w:r>
      <w:r>
        <w:rPr>
          <w:sz w:val="18"/>
        </w:rPr>
        <w:t>The detail panel shows full metadata for the selected event.</w:t>
      </w:r>
    </w:p>
    <w:p>
      <w:pPr>
        <w:spacing w:before="160" w:after="40"/>
      </w:pPr>
      <w:r>
        <w:rPr>
          <w:b/>
          <w:color w:val="1F4E79"/>
          <w:sz w:val="21"/>
        </w:rPr>
        <w:t>TC-ACT-05 — Drill from an event to its source</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 source-related event selected.</w:t>
      </w:r>
    </w:p>
    <w:p>
      <w:pPr>
        <w:spacing w:after="40"/>
      </w:pPr>
      <w:r>
        <w:rPr>
          <w:b/>
        </w:rPr>
        <w:t>Steps:</w:t>
      </w:r>
    </w:p>
    <w:p>
      <w:pPr>
        <w:pStyle w:val="ListNumber"/>
        <w:spacing w:after="20"/>
      </w:pPr>
      <w:r>
        <w:rPr>
          <w:sz w:val="18"/>
        </w:rPr>
        <w:t>In the detail panel, click Open source (or Replay ingestion for a failed source).</w:t>
      </w:r>
    </w:p>
    <w:p>
      <w:pPr>
        <w:spacing w:after="40"/>
      </w:pPr>
      <w:r>
        <w:rPr>
          <w:b/>
          <w:color w:val="1F7A3D"/>
          <w:sz w:val="18"/>
        </w:rPr>
        <w:t xml:space="preserve">Expected result: </w:t>
      </w:r>
      <w:r>
        <w:rPr>
          <w:sz w:val="18"/>
        </w:rPr>
        <w:t>Navigates to the Documents tab on the right document (or replays ingestion).</w:t>
      </w:r>
    </w:p>
    <w:p>
      <w:pPr>
        <w:spacing w:before="160" w:after="40"/>
      </w:pPr>
      <w:r>
        <w:rPr>
          <w:b/>
          <w:color w:val="1F4E79"/>
          <w:sz w:val="21"/>
        </w:rPr>
        <w:t>TC-ACT-06 — Refresh pulls new events</w:t>
      </w:r>
    </w:p>
    <w:p>
      <w:pPr>
        <w:spacing w:after="40"/>
      </w:pPr>
      <w:r>
        <w:rPr>
          <w:color w:val="5A5A5A"/>
          <w:sz w:val="17"/>
        </w:rPr>
        <w:t>Type: E2E (automated)</w:t>
      </w:r>
      <w:r>
        <w:rPr>
          <w:b/>
          <w:color w:val="5A5A5A"/>
          <w:sz w:val="17"/>
        </w:rPr>
        <w:t xml:space="preserve">     Max severity if it fails: S4</w:t>
      </w:r>
    </w:p>
    <w:p>
      <w:pPr>
        <w:spacing w:after="40"/>
      </w:pPr>
      <w:r>
        <w:rPr>
          <w:b/>
          <w:sz w:val="18"/>
        </w:rPr>
        <w:t xml:space="preserve">Preconditions: </w:t>
      </w:r>
      <w:r>
        <w:rPr>
          <w:sz w:val="18"/>
        </w:rPr>
        <w:t>Activity tab open.</w:t>
      </w:r>
    </w:p>
    <w:p>
      <w:pPr>
        <w:spacing w:after="40"/>
      </w:pPr>
      <w:r>
        <w:rPr>
          <w:b/>
        </w:rPr>
        <w:t>Steps:</w:t>
      </w:r>
    </w:p>
    <w:p>
      <w:pPr>
        <w:pStyle w:val="ListNumber"/>
        <w:spacing w:after="20"/>
      </w:pPr>
      <w:r>
        <w:rPr>
          <w:sz w:val="18"/>
        </w:rPr>
        <w:t>Click Refresh after a new action elsewhere.</w:t>
      </w:r>
    </w:p>
    <w:p>
      <w:pPr>
        <w:spacing w:after="40"/>
      </w:pPr>
      <w:r>
        <w:rPr>
          <w:b/>
          <w:color w:val="1F7A3D"/>
          <w:sz w:val="18"/>
        </w:rPr>
        <w:t xml:space="preserve">Expected result: </w:t>
      </w:r>
      <w:r>
        <w:rPr>
          <w:sz w:val="18"/>
        </w:rPr>
        <w:t>Newly produced events appear.</w:t>
      </w:r>
    </w:p>
    <w:p>
      <w:r>
        <w:br w:type="page"/>
      </w:r>
    </w:p>
    <w:p>
      <w:pPr>
        <w:pStyle w:val="Heading2"/>
      </w:pPr>
      <w:r>
        <w:t>6.9 Settings — profile, API, API keys, folders</w:t>
      </w:r>
    </w:p>
    <w:p>
      <w:pPr>
        <w:jc w:val="center"/>
      </w:pPr>
      <w:r>
        <w:drawing>
          <wp:inline xmlns:a="http://schemas.openxmlformats.org/drawingml/2006/main" xmlns:pic="http://schemas.openxmlformats.org/drawingml/2006/picture">
            <wp:extent cx="5852160" cy="4470400"/>
            <wp:docPr id="17" name="Picture 17"/>
            <wp:cNvGraphicFramePr>
              <a:graphicFrameLocks noChangeAspect="1"/>
            </wp:cNvGraphicFramePr>
            <a:graphic>
              <a:graphicData uri="http://schemas.openxmlformats.org/drawingml/2006/picture">
                <pic:pic>
                  <pic:nvPicPr>
                    <pic:cNvPr id="0" name="18-settings-api-keys.png"/>
                    <pic:cNvPicPr/>
                  </pic:nvPicPr>
                  <pic:blipFill>
                    <a:blip r:embed="rId25"/>
                    <a:stretch>
                      <a:fillRect/>
                    </a:stretch>
                  </pic:blipFill>
                  <pic:spPr>
                    <a:xfrm>
                      <a:off x="0" y="0"/>
                      <a:ext cx="5852160" cy="4470400"/>
                    </a:xfrm>
                    <a:prstGeom prst="rect"/>
                  </pic:spPr>
                </pic:pic>
              </a:graphicData>
            </a:graphic>
          </wp:inline>
        </w:drawing>
      </w:r>
    </w:p>
    <w:p>
      <w:pPr>
        <w:spacing w:after="200"/>
        <w:jc w:val="center"/>
      </w:pPr>
      <w:r>
        <w:rPr>
          <w:i/>
          <w:color w:val="5A5A5A"/>
          <w:sz w:val="17"/>
        </w:rPr>
        <w:t>Figure — Settings › API keys: mint, one-time reveal, and revoke per-operator keys.</w:t>
      </w:r>
    </w:p>
    <w:p>
      <w:pPr>
        <w:spacing w:after="120"/>
      </w:pPr>
      <w:r>
        <w:rPr>
          <w:b w:val="0"/>
          <w:i w:val="0"/>
        </w:rPr>
        <w:t>Four sections. Profile shows identity, IdP and gateway scopes (read-only). API browses the live OpenAPI surface. API keys lets admins mint a key (full value revealed exactly once), list prefixes, and revoke. Folders shows the env-controlled identity and, for admins, runtime folder CRUD within a five-folder cap.</w:t>
      </w:r>
    </w:p>
    <w:p>
      <w:pPr>
        <w:jc w:val="center"/>
      </w:pPr>
      <w:r>
        <w:drawing>
          <wp:inline xmlns:a="http://schemas.openxmlformats.org/drawingml/2006/main" xmlns:pic="http://schemas.openxmlformats.org/drawingml/2006/picture">
            <wp:extent cx="5852160" cy="4470400"/>
            <wp:docPr id="18" name="Picture 18"/>
            <wp:cNvGraphicFramePr>
              <a:graphicFrameLocks noChangeAspect="1"/>
            </wp:cNvGraphicFramePr>
            <a:graphic>
              <a:graphicData uri="http://schemas.openxmlformats.org/drawingml/2006/picture">
                <pic:pic>
                  <pic:nvPicPr>
                    <pic:cNvPr id="0" name="16-settings-profile.png"/>
                    <pic:cNvPicPr/>
                  </pic:nvPicPr>
                  <pic:blipFill>
                    <a:blip r:embed="rId26"/>
                    <a:stretch>
                      <a:fillRect/>
                    </a:stretch>
                  </pic:blipFill>
                  <pic:spPr>
                    <a:xfrm>
                      <a:off x="0" y="0"/>
                      <a:ext cx="5852160" cy="4470400"/>
                    </a:xfrm>
                    <a:prstGeom prst="rect"/>
                  </pic:spPr>
                </pic:pic>
              </a:graphicData>
            </a:graphic>
          </wp:inline>
        </w:drawing>
      </w:r>
    </w:p>
    <w:p>
      <w:pPr>
        <w:spacing w:after="200"/>
        <w:jc w:val="center"/>
      </w:pPr>
      <w:r>
        <w:rPr>
          <w:i/>
          <w:color w:val="5A5A5A"/>
          <w:sz w:val="17"/>
        </w:rPr>
        <w:t>Figure — Profile: identity, IdP and gateway scopes (read-only).</w:t>
      </w:r>
    </w:p>
    <w:p>
      <w:pPr>
        <w:jc w:val="center"/>
      </w:pPr>
      <w:r>
        <w:drawing>
          <wp:inline xmlns:a="http://schemas.openxmlformats.org/drawingml/2006/main" xmlns:pic="http://schemas.openxmlformats.org/drawingml/2006/picture">
            <wp:extent cx="5852160" cy="4470400"/>
            <wp:docPr id="19" name="Picture 19"/>
            <wp:cNvGraphicFramePr>
              <a:graphicFrameLocks noChangeAspect="1"/>
            </wp:cNvGraphicFramePr>
            <a:graphic>
              <a:graphicData uri="http://schemas.openxmlformats.org/drawingml/2006/picture">
                <pic:pic>
                  <pic:nvPicPr>
                    <pic:cNvPr id="0" name="17-settings-api.png"/>
                    <pic:cNvPicPr/>
                  </pic:nvPicPr>
                  <pic:blipFill>
                    <a:blip r:embed="rId27"/>
                    <a:stretch>
                      <a:fillRect/>
                    </a:stretch>
                  </pic:blipFill>
                  <pic:spPr>
                    <a:xfrm>
                      <a:off x="0" y="0"/>
                      <a:ext cx="5852160" cy="4470400"/>
                    </a:xfrm>
                    <a:prstGeom prst="rect"/>
                  </pic:spPr>
                </pic:pic>
              </a:graphicData>
            </a:graphic>
          </wp:inline>
        </w:drawing>
      </w:r>
    </w:p>
    <w:p>
      <w:pPr>
        <w:spacing w:after="200"/>
        <w:jc w:val="center"/>
      </w:pPr>
      <w:r>
        <w:rPr>
          <w:i/>
          <w:color w:val="5A5A5A"/>
          <w:sz w:val="17"/>
        </w:rPr>
        <w:t>Figure — Live OpenAPI surface browser.</w:t>
      </w:r>
    </w:p>
    <w:p>
      <w:pPr>
        <w:jc w:val="center"/>
      </w:pPr>
      <w:r>
        <w:drawing>
          <wp:inline xmlns:a="http://schemas.openxmlformats.org/drawingml/2006/main" xmlns:pic="http://schemas.openxmlformats.org/drawingml/2006/picture">
            <wp:extent cx="5852160" cy="4470400"/>
            <wp:docPr id="20" name="Picture 20"/>
            <wp:cNvGraphicFramePr>
              <a:graphicFrameLocks noChangeAspect="1"/>
            </wp:cNvGraphicFramePr>
            <a:graphic>
              <a:graphicData uri="http://schemas.openxmlformats.org/drawingml/2006/picture">
                <pic:pic>
                  <pic:nvPicPr>
                    <pic:cNvPr id="0" name="19-settings-folders.png"/>
                    <pic:cNvPicPr/>
                  </pic:nvPicPr>
                  <pic:blipFill>
                    <a:blip r:embed="rId28"/>
                    <a:stretch>
                      <a:fillRect/>
                    </a:stretch>
                  </pic:blipFill>
                  <pic:spPr>
                    <a:xfrm>
                      <a:off x="0" y="0"/>
                      <a:ext cx="5852160" cy="4470400"/>
                    </a:xfrm>
                    <a:prstGeom prst="rect"/>
                  </pic:spPr>
                </pic:pic>
              </a:graphicData>
            </a:graphic>
          </wp:inline>
        </w:drawing>
      </w:r>
    </w:p>
    <w:p>
      <w:pPr>
        <w:spacing w:after="200"/>
        <w:jc w:val="center"/>
      </w:pPr>
      <w:r>
        <w:rPr>
          <w:i/>
          <w:color w:val="5A5A5A"/>
          <w:sz w:val="17"/>
        </w:rPr>
        <w:t>Figure — Runtime folder administration (admin:folders).</w:t>
      </w:r>
    </w:p>
    <w:p>
      <w:pPr>
        <w:spacing w:after="80"/>
      </w:pPr>
      <w:r>
        <w:rPr>
          <w:b/>
          <w:sz w:val="18"/>
        </w:rPr>
        <w:t xml:space="preserve">Reach: </w:t>
      </w:r>
      <w:r>
        <w:rPr>
          <w:sz w:val="18"/>
        </w:rPr>
        <w:t>Settings tab; left-rail section switch.</w:t>
      </w:r>
    </w:p>
    <w:p>
      <w:pPr>
        <w:spacing w:after="120"/>
      </w:pPr>
      <w:r>
        <w:rPr>
          <w:b/>
          <w:sz w:val="18"/>
        </w:rPr>
        <w:t xml:space="preserve">Stories: </w:t>
      </w:r>
      <w:r>
        <w:rPr>
          <w:sz w:val="18"/>
        </w:rPr>
        <w:t>US-SET-01, US-SET-02, US-SET-03, US-SET-04</w:t>
      </w:r>
    </w:p>
    <w:p>
      <w:pPr>
        <w:spacing w:before="160" w:after="40"/>
      </w:pPr>
      <w:r>
        <w:rPr>
          <w:b/>
          <w:color w:val="1F4E79"/>
          <w:sz w:val="21"/>
        </w:rPr>
        <w:t>TC-SET-01 — Profile shows identity and scopes</w:t>
      </w:r>
    </w:p>
    <w:p>
      <w:pPr>
        <w:spacing w:after="40"/>
      </w:pPr>
      <w:r>
        <w:rPr>
          <w:color w:val="5A5A5A"/>
          <w:sz w:val="17"/>
        </w:rPr>
        <w:t>Type: E2E (automated)</w:t>
      </w:r>
      <w:r>
        <w:rPr>
          <w:b/>
          <w:color w:val="5A5A5A"/>
          <w:sz w:val="17"/>
        </w:rPr>
        <w:t xml:space="preserve">     Max severity if it fails: S4</w:t>
      </w:r>
    </w:p>
    <w:p>
      <w:pPr>
        <w:spacing w:after="40"/>
      </w:pPr>
      <w:r>
        <w:rPr>
          <w:b/>
          <w:sz w:val="18"/>
        </w:rPr>
        <w:t xml:space="preserve">Preconditions: </w:t>
      </w:r>
      <w:r>
        <w:rPr>
          <w:sz w:val="18"/>
        </w:rPr>
        <w:t>Signed in.</w:t>
      </w:r>
    </w:p>
    <w:p>
      <w:pPr>
        <w:spacing w:after="40"/>
      </w:pPr>
      <w:r>
        <w:rPr>
          <w:b/>
        </w:rPr>
        <w:t>Steps:</w:t>
      </w:r>
    </w:p>
    <w:p>
      <w:pPr>
        <w:pStyle w:val="ListNumber"/>
        <w:spacing w:after="20"/>
      </w:pPr>
      <w:r>
        <w:rPr>
          <w:sz w:val="18"/>
        </w:rPr>
        <w:t>Open Settings › Profile.</w:t>
      </w:r>
    </w:p>
    <w:p>
      <w:pPr>
        <w:spacing w:after="40"/>
      </w:pPr>
      <w:r>
        <w:rPr>
          <w:b/>
          <w:color w:val="1F7A3D"/>
          <w:sz w:val="18"/>
        </w:rPr>
        <w:t xml:space="preserve">Expected result: </w:t>
      </w:r>
      <w:r>
        <w:rPr>
          <w:sz w:val="18"/>
        </w:rPr>
        <w:t>Name, email, role, IdP/realm/subject and gateway-scope chips are shown; an open-access note appears when no auth backend is configured.</w:t>
      </w:r>
    </w:p>
    <w:p>
      <w:pPr>
        <w:spacing w:before="160" w:after="40"/>
      </w:pPr>
      <w:r>
        <w:rPr>
          <w:b/>
          <w:color w:val="1F4E79"/>
          <w:sz w:val="21"/>
        </w:rPr>
        <w:t>TC-SET-02 — API explorer loads and authorises</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Settings open.</w:t>
      </w:r>
    </w:p>
    <w:p>
      <w:pPr>
        <w:spacing w:after="40"/>
      </w:pPr>
      <w:r>
        <w:rPr>
          <w:b/>
        </w:rPr>
        <w:t>Steps:</w:t>
      </w:r>
    </w:p>
    <w:p>
      <w:pPr>
        <w:pStyle w:val="ListNumber"/>
        <w:spacing w:after="20"/>
      </w:pPr>
      <w:r>
        <w:rPr>
          <w:sz w:val="18"/>
        </w:rPr>
        <w:t>Open the API rail.</w:t>
      </w:r>
    </w:p>
    <w:p>
      <w:pPr>
        <w:pStyle w:val="ListNumber"/>
        <w:spacing w:after="20"/>
      </w:pPr>
      <w:r>
        <w:rPr>
          <w:sz w:val="18"/>
        </w:rPr>
        <w:t>Authorize with a token, then revoke it.</w:t>
      </w:r>
    </w:p>
    <w:p>
      <w:pPr>
        <w:spacing w:after="40"/>
      </w:pPr>
      <w:r>
        <w:rPr>
          <w:b/>
          <w:color w:val="1F7A3D"/>
          <w:sz w:val="18"/>
        </w:rPr>
        <w:t xml:space="preserve">Expected result: </w:t>
      </w:r>
      <w:r>
        <w:rPr>
          <w:sz w:val="18"/>
        </w:rPr>
        <w:t>The OpenAPI surface lists endpoints; Authorize toggles to Authorized and back on revoke.</w:t>
      </w:r>
    </w:p>
    <w:p>
      <w:pPr>
        <w:spacing w:before="160" w:after="40"/>
      </w:pPr>
      <w:r>
        <w:rPr>
          <w:b/>
          <w:color w:val="1F4E79"/>
          <w:sz w:val="21"/>
        </w:rPr>
        <w:t>TC-SET-03 — Mint an API key with one-time reveal (admin)</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Admin; API keys rail.</w:t>
      </w:r>
    </w:p>
    <w:p>
      <w:pPr>
        <w:spacing w:after="40"/>
      </w:pPr>
      <w:r>
        <w:rPr>
          <w:b/>
        </w:rPr>
        <w:t>Steps:</w:t>
      </w:r>
    </w:p>
    <w:p>
      <w:pPr>
        <w:pStyle w:val="ListNumber"/>
        <w:spacing w:after="20"/>
      </w:pPr>
      <w:r>
        <w:rPr>
          <w:sz w:val="18"/>
        </w:rPr>
        <w:t>Create a key with a name.</w:t>
      </w:r>
    </w:p>
    <w:p>
      <w:pPr>
        <w:pStyle w:val="ListNumber"/>
        <w:spacing w:after="20"/>
      </w:pPr>
      <w:r>
        <w:rPr>
          <w:sz w:val="18"/>
        </w:rPr>
        <w:t>Copy the revealed full value.</w:t>
      </w:r>
    </w:p>
    <w:p>
      <w:pPr>
        <w:pStyle w:val="ListNumber"/>
        <w:spacing w:after="20"/>
      </w:pPr>
      <w:r>
        <w:rPr>
          <w:sz w:val="18"/>
        </w:rPr>
        <w:t>Dismiss the reveal.</w:t>
      </w:r>
    </w:p>
    <w:p>
      <w:pPr>
        <w:spacing w:after="40"/>
      </w:pPr>
      <w:r>
        <w:rPr>
          <w:b/>
          <w:color w:val="1F7A3D"/>
          <w:sz w:val="18"/>
        </w:rPr>
        <w:t xml:space="preserve">Expected result: </w:t>
      </w:r>
      <w:r>
        <w:rPr>
          <w:sz w:val="18"/>
        </w:rPr>
        <w:t>The full value is shown once with a copy control and a "never shown again" warning; afterwards only the prefix is listed.</w:t>
      </w:r>
    </w:p>
    <w:p>
      <w:pPr>
        <w:spacing w:before="160" w:after="40"/>
      </w:pPr>
      <w:r>
        <w:rPr>
          <w:b/>
          <w:color w:val="1F4E79"/>
          <w:sz w:val="21"/>
        </w:rPr>
        <w:t>TC-SET-04 — Revoke an API key (admin, two-click)</w:t>
      </w:r>
    </w:p>
    <w:p>
      <w:pPr>
        <w:spacing w:after="40"/>
      </w:pPr>
      <w:r>
        <w:rPr>
          <w:color w:val="5A5A5A"/>
          <w:sz w:val="17"/>
        </w:rPr>
        <w:t>Type: E2E (automated)</w:t>
      </w:r>
      <w:r>
        <w:rPr>
          <w:b/>
          <w:color w:val="B02A2A"/>
          <w:sz w:val="17"/>
        </w:rPr>
        <w:t xml:space="preserve">     Max severity if it fails: S2</w:t>
      </w:r>
    </w:p>
    <w:p>
      <w:pPr>
        <w:spacing w:after="40"/>
      </w:pPr>
      <w:r>
        <w:rPr>
          <w:b/>
          <w:sz w:val="18"/>
        </w:rPr>
        <w:t xml:space="preserve">Preconditions: </w:t>
      </w:r>
      <w:r>
        <w:rPr>
          <w:sz w:val="18"/>
        </w:rPr>
        <w:t>Admin; an active key.</w:t>
      </w:r>
    </w:p>
    <w:p>
      <w:pPr>
        <w:spacing w:after="40"/>
      </w:pPr>
      <w:r>
        <w:rPr>
          <w:b/>
        </w:rPr>
        <w:t>Steps:</w:t>
      </w:r>
    </w:p>
    <w:p>
      <w:pPr>
        <w:pStyle w:val="ListNumber"/>
        <w:spacing w:after="20"/>
      </w:pPr>
      <w:r>
        <w:rPr>
          <w:sz w:val="18"/>
        </w:rPr>
        <w:t>Click Revoke.</w:t>
      </w:r>
    </w:p>
    <w:p>
      <w:pPr>
        <w:pStyle w:val="ListNumber"/>
        <w:spacing w:after="20"/>
      </w:pPr>
      <w:r>
        <w:rPr>
          <w:sz w:val="18"/>
        </w:rPr>
        <w:t>Confirm on the second click.</w:t>
      </w:r>
    </w:p>
    <w:p>
      <w:pPr>
        <w:spacing w:after="40"/>
      </w:pPr>
      <w:r>
        <w:rPr>
          <w:b/>
          <w:color w:val="1F7A3D"/>
          <w:sz w:val="18"/>
        </w:rPr>
        <w:t xml:space="preserve">Expected result: </w:t>
      </w:r>
      <w:r>
        <w:rPr>
          <w:sz w:val="18"/>
        </w:rPr>
        <w:t>The key becomes revoked (kept for audit) and can no longer authenticate.</w:t>
      </w:r>
    </w:p>
    <w:p>
      <w:pPr>
        <w:spacing w:before="160" w:after="40"/>
      </w:pPr>
      <w:r>
        <w:rPr>
          <w:b/>
          <w:color w:val="1F4E79"/>
          <w:sz w:val="21"/>
        </w:rPr>
        <w:t>TC-SET-05 — Folder identity is read-only</w:t>
      </w:r>
    </w:p>
    <w:p>
      <w:pPr>
        <w:spacing w:after="40"/>
      </w:pPr>
      <w:r>
        <w:rPr>
          <w:color w:val="5A5A5A"/>
          <w:sz w:val="17"/>
        </w:rPr>
        <w:t>Type: Manual</w:t>
      </w:r>
      <w:r>
        <w:rPr>
          <w:b/>
          <w:color w:val="5A5A5A"/>
          <w:sz w:val="17"/>
        </w:rPr>
        <w:t xml:space="preserve">     Max severity if it fails: S4</w:t>
      </w:r>
    </w:p>
    <w:p>
      <w:pPr>
        <w:spacing w:after="40"/>
      </w:pPr>
      <w:r>
        <w:rPr>
          <w:b/>
          <w:sz w:val="18"/>
        </w:rPr>
        <w:t xml:space="preserve">Preconditions: </w:t>
      </w:r>
      <w:r>
        <w:rPr>
          <w:sz w:val="18"/>
        </w:rPr>
        <w:t>Settings › Folder.</w:t>
      </w:r>
    </w:p>
    <w:p>
      <w:pPr>
        <w:spacing w:after="40"/>
      </w:pPr>
      <w:r>
        <w:rPr>
          <w:b/>
        </w:rPr>
        <w:t>Steps:</w:t>
      </w:r>
    </w:p>
    <w:p>
      <w:pPr>
        <w:pStyle w:val="ListNumber"/>
        <w:spacing w:after="20"/>
      </w:pPr>
      <w:r>
        <w:rPr>
          <w:sz w:val="18"/>
        </w:rPr>
        <w:t>Open the Folder section.</w:t>
      </w:r>
    </w:p>
    <w:p>
      <w:pPr>
        <w:spacing w:after="40"/>
      </w:pPr>
      <w:r>
        <w:rPr>
          <w:b/>
          <w:color w:val="1F7A3D"/>
          <w:sz w:val="18"/>
        </w:rPr>
        <w:t xml:space="preserve">Expected result: </w:t>
      </w:r>
      <w:r>
        <w:rPr>
          <w:sz w:val="18"/>
        </w:rPr>
        <w:t>Folder id and display name are shown as env-controlled and cannot be edited here.</w:t>
      </w:r>
    </w:p>
    <w:p>
      <w:pPr>
        <w:spacing w:before="160" w:after="40"/>
      </w:pPr>
      <w:r>
        <w:rPr>
          <w:b/>
          <w:color w:val="1F4E79"/>
          <w:sz w:val="21"/>
        </w:rPr>
        <w:t>TC-SET-06 — Create a runtime folder (admin)</w:t>
      </w:r>
    </w:p>
    <w:p>
      <w:pPr>
        <w:spacing w:after="40"/>
      </w:pPr>
      <w:r>
        <w:rPr>
          <w:color w:val="5A5A5A"/>
          <w:sz w:val="17"/>
        </w:rPr>
        <w:t>Type: E2E (automated)</w:t>
      </w:r>
      <w:r>
        <w:rPr>
          <w:b/>
          <w:color w:val="5A5A5A"/>
          <w:sz w:val="17"/>
        </w:rPr>
        <w:t xml:space="preserve">     Max severity if it fails: S3</w:t>
      </w:r>
    </w:p>
    <w:p>
      <w:pPr>
        <w:spacing w:after="40"/>
      </w:pPr>
      <w:r>
        <w:rPr>
          <w:b/>
          <w:sz w:val="18"/>
        </w:rPr>
        <w:t xml:space="preserve">Preconditions: </w:t>
      </w:r>
      <w:r>
        <w:rPr>
          <w:sz w:val="18"/>
        </w:rPr>
        <w:t>Admin with admin:folders; under the 5-folder cap.</w:t>
      </w:r>
    </w:p>
    <w:p>
      <w:pPr>
        <w:spacing w:after="40"/>
      </w:pPr>
      <w:r>
        <w:rPr>
          <w:b/>
        </w:rPr>
        <w:t>Steps:</w:t>
      </w:r>
    </w:p>
    <w:p>
      <w:pPr>
        <w:pStyle w:val="ListNumber"/>
        <w:spacing w:after="20"/>
      </w:pPr>
      <w:r>
        <w:rPr>
          <w:sz w:val="18"/>
        </w:rPr>
        <w:t>Click Add folder.</w:t>
      </w:r>
    </w:p>
    <w:p>
      <w:pPr>
        <w:pStyle w:val="ListNumber"/>
        <w:spacing w:after="20"/>
      </w:pPr>
      <w:r>
        <w:rPr>
          <w:sz w:val="18"/>
        </w:rPr>
        <w:t>Enter a valid id, name and visibility.</w:t>
      </w:r>
    </w:p>
    <w:p>
      <w:pPr>
        <w:pStyle w:val="ListNumber"/>
        <w:spacing w:after="20"/>
      </w:pPr>
      <w:r>
        <w:rPr>
          <w:sz w:val="18"/>
        </w:rPr>
        <w:t>Create.</w:t>
      </w:r>
    </w:p>
    <w:p>
      <w:pPr>
        <w:spacing w:after="40"/>
      </w:pPr>
      <w:r>
        <w:rPr>
          <w:b/>
          <w:color w:val="1F7A3D"/>
          <w:sz w:val="18"/>
        </w:rPr>
        <w:t xml:space="preserve">Expected result: </w:t>
      </w:r>
      <w:r>
        <w:rPr>
          <w:sz w:val="18"/>
        </w:rPr>
        <w:t>The folder is created and appears in the topbar switcher.</w:t>
      </w:r>
    </w:p>
    <w:p>
      <w:pPr>
        <w:spacing w:before="160" w:after="40"/>
      </w:pPr>
      <w:r>
        <w:rPr>
          <w:b/>
          <w:color w:val="1F4E79"/>
          <w:sz w:val="21"/>
        </w:rPr>
        <w:t>TC-SET-07 — Folder cap and id validation</w:t>
      </w:r>
    </w:p>
    <w:p>
      <w:pPr>
        <w:spacing w:after="40"/>
      </w:pPr>
      <w:r>
        <w:rPr>
          <w:color w:val="5A5A5A"/>
          <w:sz w:val="17"/>
        </w:rPr>
        <w:t>Type: Manual</w:t>
      </w:r>
      <w:r>
        <w:rPr>
          <w:b/>
          <w:color w:val="5A5A5A"/>
          <w:sz w:val="17"/>
        </w:rPr>
        <w:t xml:space="preserve">     Max severity if it fails: S3</w:t>
      </w:r>
    </w:p>
    <w:p>
      <w:pPr>
        <w:spacing w:after="40"/>
      </w:pPr>
      <w:r>
        <w:rPr>
          <w:b/>
          <w:sz w:val="18"/>
        </w:rPr>
        <w:t xml:space="preserve">Preconditions: </w:t>
      </w:r>
      <w:r>
        <w:rPr>
          <w:sz w:val="18"/>
        </w:rPr>
        <w:t>Admin.</w:t>
      </w:r>
    </w:p>
    <w:p>
      <w:pPr>
        <w:spacing w:after="40"/>
      </w:pPr>
      <w:r>
        <w:rPr>
          <w:b/>
        </w:rPr>
        <w:t>Steps:</w:t>
      </w:r>
    </w:p>
    <w:p>
      <w:pPr>
        <w:pStyle w:val="ListNumber"/>
        <w:spacing w:after="20"/>
      </w:pPr>
      <w:r>
        <w:rPr>
          <w:sz w:val="18"/>
        </w:rPr>
        <w:t>Try to create a 6th folder.</w:t>
      </w:r>
    </w:p>
    <w:p>
      <w:pPr>
        <w:pStyle w:val="ListNumber"/>
        <w:spacing w:after="20"/>
      </w:pPr>
      <w:r>
        <w:rPr>
          <w:sz w:val="18"/>
        </w:rPr>
        <w:t>Try an invalid id and a duplicate id.</w:t>
      </w:r>
    </w:p>
    <w:p>
      <w:pPr>
        <w:spacing w:after="40"/>
      </w:pPr>
      <w:r>
        <w:rPr>
          <w:b/>
          <w:color w:val="1F7A3D"/>
          <w:sz w:val="18"/>
        </w:rPr>
        <w:t xml:space="preserve">Expected result: </w:t>
      </w:r>
      <w:r>
        <w:rPr>
          <w:sz w:val="18"/>
        </w:rPr>
        <w:t>Add is blocked at the cap with an at-max indicator; invalid/duplicate ids are rejected with a clear error.</w:t>
      </w:r>
    </w:p>
    <w:p>
      <w:pPr>
        <w:spacing w:before="160" w:after="40"/>
      </w:pPr>
      <w:r>
        <w:rPr>
          <w:b/>
          <w:color w:val="1F4E79"/>
          <w:sz w:val="21"/>
        </w:rPr>
        <w:t>TC-SET-08 — Edit / delete a runtime folder; env folder is protected</w:t>
      </w:r>
    </w:p>
    <w:p>
      <w:pPr>
        <w:spacing w:after="40"/>
      </w:pPr>
      <w:r>
        <w:rPr>
          <w:color w:val="5A5A5A"/>
          <w:sz w:val="17"/>
        </w:rPr>
        <w:t>Type: Manual</w:t>
      </w:r>
      <w:r>
        <w:rPr>
          <w:b/>
          <w:color w:val="B02A2A"/>
          <w:sz w:val="17"/>
        </w:rPr>
        <w:t xml:space="preserve">     Max severity if it fails: S2</w:t>
      </w:r>
    </w:p>
    <w:p>
      <w:pPr>
        <w:spacing w:after="40"/>
      </w:pPr>
      <w:r>
        <w:rPr>
          <w:b/>
          <w:sz w:val="18"/>
        </w:rPr>
        <w:t xml:space="preserve">Preconditions: </w:t>
      </w:r>
      <w:r>
        <w:rPr>
          <w:sz w:val="18"/>
        </w:rPr>
        <w:t>Admin; one env-seeded and one runtime folder.</w:t>
      </w:r>
    </w:p>
    <w:p>
      <w:pPr>
        <w:spacing w:after="40"/>
      </w:pPr>
      <w:r>
        <w:rPr>
          <w:b/>
        </w:rPr>
        <w:t>Steps:</w:t>
      </w:r>
    </w:p>
    <w:p>
      <w:pPr>
        <w:pStyle w:val="ListNumber"/>
        <w:spacing w:after="20"/>
      </w:pPr>
      <w:r>
        <w:rPr>
          <w:sz w:val="18"/>
        </w:rPr>
        <w:t>Edit the runtime folder.</w:t>
      </w:r>
    </w:p>
    <w:p>
      <w:pPr>
        <w:pStyle w:val="ListNumber"/>
        <w:spacing w:after="20"/>
      </w:pPr>
      <w:r>
        <w:rPr>
          <w:sz w:val="18"/>
        </w:rPr>
        <w:t>Delete an empty runtime folder (two-click).</w:t>
      </w:r>
    </w:p>
    <w:p>
      <w:pPr>
        <w:pStyle w:val="ListNumber"/>
        <w:spacing w:after="20"/>
      </w:pPr>
      <w:r>
        <w:rPr>
          <w:sz w:val="18"/>
        </w:rPr>
        <w:t>Attempt to edit/delete the env-seeded folder.</w:t>
      </w:r>
    </w:p>
    <w:p>
      <w:pPr>
        <w:pStyle w:val="ListNumber"/>
        <w:spacing w:after="20"/>
      </w:pPr>
      <w:r>
        <w:rPr>
          <w:sz w:val="18"/>
        </w:rPr>
        <w:t>Attempt to delete a folder that still has data.</w:t>
      </w:r>
    </w:p>
    <w:p>
      <w:pPr>
        <w:spacing w:after="40"/>
      </w:pPr>
      <w:r>
        <w:rPr>
          <w:b/>
          <w:color w:val="1F7A3D"/>
          <w:sz w:val="18"/>
        </w:rPr>
        <w:t xml:space="preserve">Expected result: </w:t>
      </w:r>
      <w:r>
        <w:rPr>
          <w:sz w:val="18"/>
        </w:rPr>
        <w:t>Runtime folders edit/delete; the env-seeded folder offers no edit/delete; deleting a folder with data is refused (409).</w:t>
      </w:r>
    </w:p>
    <w:p>
      <w:pPr>
        <w:spacing w:before="160" w:after="40"/>
      </w:pPr>
      <w:r>
        <w:rPr>
          <w:b/>
          <w:color w:val="1F4E79"/>
          <w:sz w:val="21"/>
        </w:rPr>
        <w:t>TC-SET-09 — Folder admin hidden for non-admins</w:t>
      </w:r>
    </w:p>
    <w:p>
      <w:pPr>
        <w:spacing w:after="40"/>
      </w:pPr>
      <w:r>
        <w:rPr>
          <w:color w:val="5A5A5A"/>
          <w:sz w:val="17"/>
        </w:rPr>
        <w:t>Type: Manual</w:t>
      </w:r>
      <w:r>
        <w:rPr>
          <w:b/>
          <w:color w:val="B02A2A"/>
          <w:sz w:val="17"/>
        </w:rPr>
        <w:t xml:space="preserve">     Max severity if it fails: S1</w:t>
      </w:r>
    </w:p>
    <w:p>
      <w:pPr>
        <w:spacing w:after="40"/>
      </w:pPr>
      <w:r>
        <w:rPr>
          <w:b/>
          <w:sz w:val="18"/>
        </w:rPr>
        <w:t xml:space="preserve">Preconditions: </w:t>
      </w:r>
      <w:r>
        <w:rPr>
          <w:sz w:val="18"/>
        </w:rPr>
        <w:t>Reader or Steward without admin:folders (real/IdP config).</w:t>
      </w:r>
    </w:p>
    <w:p>
      <w:pPr>
        <w:spacing w:after="40"/>
      </w:pPr>
      <w:r>
        <w:rPr>
          <w:b/>
        </w:rPr>
        <w:t>Steps:</w:t>
      </w:r>
    </w:p>
    <w:p>
      <w:pPr>
        <w:pStyle w:val="ListNumber"/>
        <w:spacing w:after="20"/>
      </w:pPr>
      <w:r>
        <w:rPr>
          <w:sz w:val="18"/>
        </w:rPr>
        <w:t>Open Settings › Folder.</w:t>
      </w:r>
    </w:p>
    <w:p>
      <w:pPr>
        <w:spacing w:after="40"/>
      </w:pPr>
      <w:r>
        <w:rPr>
          <w:b/>
          <w:color w:val="1F7A3D"/>
          <w:sz w:val="18"/>
        </w:rPr>
        <w:t xml:space="preserve">Expected result: </w:t>
      </w:r>
      <w:r>
        <w:rPr>
          <w:sz w:val="18"/>
        </w:rPr>
        <w:t>Folder CRUD is read-only / hidden; the API rejects folder mutations with 403.</w:t>
      </w:r>
    </w:p>
    <w:p>
      <w:pPr>
        <w:spacing w:after="120"/>
      </w:pPr>
      <w:r>
        <w:rPr>
          <w:b/>
          <w:sz w:val="17"/>
        </w:rPr>
        <w:t xml:space="preserve">Note: </w:t>
      </w:r>
      <w:r>
        <w:rPr>
          <w:i/>
          <w:sz w:val="17"/>
        </w:rPr>
        <w:t>Access-control case — a failure here is a security defect (S1).</w:t>
      </w:r>
    </w:p>
    <w:p>
      <w:r>
        <w:br w:type="page"/>
      </w:r>
    </w:p>
    <w:p>
      <w:pPr>
        <w:pStyle w:val="Heading1"/>
      </w:pPr>
      <w:r>
        <w:t>7. Outsourcing scope by stream</w:t>
      </w:r>
    </w:p>
    <w:p>
      <w:pPr>
        <w:pStyle w:val="Heading2"/>
      </w:pPr>
      <w:r>
        <w:t>7.1 Stream A — E2E automation vendor</w:t>
      </w:r>
    </w:p>
    <w:p>
      <w:pPr>
        <w:spacing w:after="120"/>
      </w:pPr>
      <w:r>
        <w:rPr>
          <w:b w:val="0"/>
          <w:i w:val="0"/>
        </w:rPr>
        <w:t>The console already carries a substantial Playwright suite (18 specs) plus ~45 component tests. The vendor's job is to MAINTAIN these and CLOSE the gaps below — not to re-cover what exists. Existing coverage by area:</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4320"/>
          </w:tcPr>
          <w:p>
            <w:r/>
            <w:r>
              <w:rPr>
                <w:b/>
                <w:sz w:val="18"/>
              </w:rPr>
              <w:t>Area</w:t>
            </w:r>
          </w:p>
        </w:tc>
        <w:tc>
          <w:tcPr>
            <w:tcW w:type="dxa" w:w="1440"/>
          </w:tcPr>
          <w:p>
            <w:r/>
            <w:r>
              <w:rPr>
                <w:b/>
                <w:sz w:val="18"/>
              </w:rPr>
              <w:t>Covered</w:t>
            </w:r>
          </w:p>
        </w:tc>
        <w:tc>
          <w:tcPr>
            <w:tcW w:type="dxa" w:w="3456"/>
          </w:tcPr>
          <w:p>
            <w:r/>
            <w:r>
              <w:rPr>
                <w:b/>
                <w:sz w:val="18"/>
              </w:rPr>
              <w:t>Spec(s)</w:t>
            </w:r>
          </w:p>
        </w:tc>
      </w:tr>
      <w:tr>
        <w:tc>
          <w:tcPr>
            <w:tcW w:type="dxa" w:w="4320"/>
          </w:tcPr>
          <w:p>
            <w:r/>
            <w:r>
              <w:rPr>
                <w:b w:val="0"/>
                <w:sz w:val="18"/>
              </w:rPr>
              <w:t>Login / auth gate / session</w:t>
            </w:r>
          </w:p>
        </w:tc>
        <w:tc>
          <w:tcPr>
            <w:tcW w:type="dxa" w:w="1440"/>
          </w:tcPr>
          <w:p>
            <w:r/>
            <w:r>
              <w:rPr>
                <w:b w:val="0"/>
                <w:sz w:val="18"/>
              </w:rPr>
              <w:t>Yes</w:t>
            </w:r>
          </w:p>
        </w:tc>
        <w:tc>
          <w:tcPr>
            <w:tcW w:type="dxa" w:w="3456"/>
          </w:tcPr>
          <w:p>
            <w:r/>
            <w:r>
              <w:rPr>
                <w:b w:val="0"/>
                <w:sz w:val="18"/>
              </w:rPr>
              <w:t>login.spec.ts</w:t>
            </w:r>
          </w:p>
        </w:tc>
      </w:tr>
      <w:tr>
        <w:tc>
          <w:tcPr>
            <w:tcW w:type="dxa" w:w="4320"/>
          </w:tcPr>
          <w:p>
            <w:r/>
            <w:r>
              <w:rPr>
                <w:b w:val="0"/>
                <w:sz w:val="18"/>
              </w:rPr>
              <w:t>Documents CRUD, filter, bulk, pending review</w:t>
            </w:r>
          </w:p>
        </w:tc>
        <w:tc>
          <w:tcPr>
            <w:tcW w:type="dxa" w:w="1440"/>
          </w:tcPr>
          <w:p>
            <w:r/>
            <w:r>
              <w:rPr>
                <w:b w:val="0"/>
                <w:sz w:val="18"/>
              </w:rPr>
              <w:t>Yes</w:t>
            </w:r>
          </w:p>
        </w:tc>
        <w:tc>
          <w:tcPr>
            <w:tcW w:type="dxa" w:w="3456"/>
          </w:tcPr>
          <w:p>
            <w:r/>
            <w:r>
              <w:rPr>
                <w:b w:val="0"/>
                <w:sz w:val="18"/>
              </w:rPr>
              <w:t>documents.spec.ts, app.spec.ts</w:t>
            </w:r>
          </w:p>
        </w:tc>
      </w:tr>
      <w:tr>
        <w:tc>
          <w:tcPr>
            <w:tcW w:type="dxa" w:w="4320"/>
          </w:tcPr>
          <w:p>
            <w:r/>
            <w:r>
              <w:rPr>
                <w:b w:val="0"/>
                <w:sz w:val="18"/>
              </w:rPr>
              <w:t>Upload + classification header</w:t>
            </w:r>
          </w:p>
        </w:tc>
        <w:tc>
          <w:tcPr>
            <w:tcW w:type="dxa" w:w="1440"/>
          </w:tcPr>
          <w:p>
            <w:r/>
            <w:r>
              <w:rPr>
                <w:b w:val="0"/>
                <w:sz w:val="18"/>
              </w:rPr>
              <w:t>Yes</w:t>
            </w:r>
          </w:p>
        </w:tc>
        <w:tc>
          <w:tcPr>
            <w:tcW w:type="dxa" w:w="3456"/>
          </w:tcPr>
          <w:p>
            <w:r/>
            <w:r>
              <w:rPr>
                <w:b w:val="0"/>
                <w:sz w:val="18"/>
              </w:rPr>
              <w:t>upload.spec.ts</w:t>
            </w:r>
          </w:p>
        </w:tc>
      </w:tr>
      <w:tr>
        <w:tc>
          <w:tcPr>
            <w:tcW w:type="dxa" w:w="4320"/>
          </w:tcPr>
          <w:p>
            <w:r/>
            <w:r>
              <w:rPr>
                <w:b w:val="0"/>
                <w:sz w:val="18"/>
              </w:rPr>
              <w:t>Tag governance (request→approve→edit→migrate)</w:t>
            </w:r>
          </w:p>
        </w:tc>
        <w:tc>
          <w:tcPr>
            <w:tcW w:type="dxa" w:w="1440"/>
          </w:tcPr>
          <w:p>
            <w:r/>
            <w:r>
              <w:rPr>
                <w:b w:val="0"/>
                <w:sz w:val="18"/>
              </w:rPr>
              <w:t>Yes</w:t>
            </w:r>
          </w:p>
        </w:tc>
        <w:tc>
          <w:tcPr>
            <w:tcW w:type="dxa" w:w="3456"/>
          </w:tcPr>
          <w:p>
            <w:r/>
            <w:r>
              <w:rPr>
                <w:b w:val="0"/>
                <w:sz w:val="18"/>
              </w:rPr>
              <w:t>tags.spec.ts</w:t>
            </w:r>
          </w:p>
        </w:tc>
      </w:tr>
      <w:tr>
        <w:tc>
          <w:tcPr>
            <w:tcW w:type="dxa" w:w="4320"/>
          </w:tcPr>
          <w:p>
            <w:r/>
            <w:r>
              <w:rPr>
                <w:b w:val="0"/>
                <w:sz w:val="18"/>
              </w:rPr>
              <w:t>Retrieval threads, params, filters</w:t>
            </w:r>
          </w:p>
        </w:tc>
        <w:tc>
          <w:tcPr>
            <w:tcW w:type="dxa" w:w="1440"/>
          </w:tcPr>
          <w:p>
            <w:r/>
            <w:r>
              <w:rPr>
                <w:b w:val="0"/>
                <w:sz w:val="18"/>
              </w:rPr>
              <w:t>Partial</w:t>
            </w:r>
          </w:p>
        </w:tc>
        <w:tc>
          <w:tcPr>
            <w:tcW w:type="dxa" w:w="3456"/>
          </w:tcPr>
          <w:p>
            <w:r/>
            <w:r>
              <w:rPr>
                <w:b w:val="0"/>
                <w:sz w:val="18"/>
              </w:rPr>
              <w:t>retrieval.spec.ts (citation link skipped)</w:t>
            </w:r>
          </w:p>
        </w:tc>
      </w:tr>
      <w:tr>
        <w:tc>
          <w:tcPr>
            <w:tcW w:type="dxa" w:w="4320"/>
          </w:tcPr>
          <w:p>
            <w:r/>
            <w:r>
              <w:rPr>
                <w:b w:val="0"/>
                <w:sz w:val="18"/>
              </w:rPr>
              <w:t>Knowledge graph CRUD, pin, cascade</w:t>
            </w:r>
          </w:p>
        </w:tc>
        <w:tc>
          <w:tcPr>
            <w:tcW w:type="dxa" w:w="1440"/>
          </w:tcPr>
          <w:p>
            <w:r/>
            <w:r>
              <w:rPr>
                <w:b w:val="0"/>
                <w:sz w:val="18"/>
              </w:rPr>
              <w:t>Yes</w:t>
            </w:r>
          </w:p>
        </w:tc>
        <w:tc>
          <w:tcPr>
            <w:tcW w:type="dxa" w:w="3456"/>
          </w:tcPr>
          <w:p>
            <w:r/>
            <w:r>
              <w:rPr>
                <w:b w:val="0"/>
                <w:sz w:val="18"/>
              </w:rPr>
              <w:t>graph.spec.ts</w:t>
            </w:r>
          </w:p>
        </w:tc>
      </w:tr>
      <w:tr>
        <w:tc>
          <w:tcPr>
            <w:tcW w:type="dxa" w:w="4320"/>
          </w:tcPr>
          <w:p>
            <w:r/>
            <w:r>
              <w:rPr>
                <w:b w:val="0"/>
                <w:sz w:val="18"/>
              </w:rPr>
              <w:t>Activity filters &amp; detail drill-down</w:t>
            </w:r>
          </w:p>
        </w:tc>
        <w:tc>
          <w:tcPr>
            <w:tcW w:type="dxa" w:w="1440"/>
          </w:tcPr>
          <w:p>
            <w:r/>
            <w:r>
              <w:rPr>
                <w:b w:val="0"/>
                <w:sz w:val="18"/>
              </w:rPr>
              <w:t>Yes</w:t>
            </w:r>
          </w:p>
        </w:tc>
        <w:tc>
          <w:tcPr>
            <w:tcW w:type="dxa" w:w="3456"/>
          </w:tcPr>
          <w:p>
            <w:r/>
            <w:r>
              <w:rPr>
                <w:b w:val="0"/>
                <w:sz w:val="18"/>
              </w:rPr>
              <w:t>activity.spec.ts</w:t>
            </w:r>
          </w:p>
        </w:tc>
      </w:tr>
      <w:tr>
        <w:tc>
          <w:tcPr>
            <w:tcW w:type="dxa" w:w="4320"/>
          </w:tcPr>
          <w:p>
            <w:r/>
            <w:r>
              <w:rPr>
                <w:b w:val="0"/>
                <w:sz w:val="18"/>
              </w:rPr>
              <w:t>Settings: API keys, profile, folders</w:t>
            </w:r>
          </w:p>
        </w:tc>
        <w:tc>
          <w:tcPr>
            <w:tcW w:type="dxa" w:w="1440"/>
          </w:tcPr>
          <w:p>
            <w:r/>
            <w:r>
              <w:rPr>
                <w:b w:val="0"/>
                <w:sz w:val="18"/>
              </w:rPr>
              <w:t>Yes</w:t>
            </w:r>
          </w:p>
        </w:tc>
        <w:tc>
          <w:tcPr>
            <w:tcW w:type="dxa" w:w="3456"/>
          </w:tcPr>
          <w:p>
            <w:r/>
            <w:r>
              <w:rPr>
                <w:b w:val="0"/>
                <w:sz w:val="18"/>
              </w:rPr>
              <w:t>settings.spec.ts</w:t>
            </w:r>
          </w:p>
        </w:tc>
      </w:tr>
      <w:tr>
        <w:tc>
          <w:tcPr>
            <w:tcW w:type="dxa" w:w="4320"/>
          </w:tcPr>
          <w:p>
            <w:r/>
            <w:r>
              <w:rPr>
                <w:b w:val="0"/>
                <w:sz w:val="18"/>
              </w:rPr>
              <w:t>Notifications, topbar, theme, responsive</w:t>
            </w:r>
          </w:p>
        </w:tc>
        <w:tc>
          <w:tcPr>
            <w:tcW w:type="dxa" w:w="1440"/>
          </w:tcPr>
          <w:p>
            <w:r/>
            <w:r>
              <w:rPr>
                <w:b w:val="0"/>
                <w:sz w:val="18"/>
              </w:rPr>
              <w:t>Yes</w:t>
            </w:r>
          </w:p>
        </w:tc>
        <w:tc>
          <w:tcPr>
            <w:tcW w:type="dxa" w:w="3456"/>
          </w:tcPr>
          <w:p>
            <w:r/>
            <w:r>
              <w:rPr>
                <w:b w:val="0"/>
                <w:sz w:val="18"/>
              </w:rPr>
              <w:t>toasts-topbar / responsive-topbar</w:t>
            </w:r>
          </w:p>
        </w:tc>
      </w:tr>
      <w:tr>
        <w:tc>
          <w:tcPr>
            <w:tcW w:type="dxa" w:w="4320"/>
          </w:tcPr>
          <w:p>
            <w:r/>
            <w:r>
              <w:rPr>
                <w:b w:val="0"/>
                <w:sz w:val="18"/>
              </w:rPr>
              <w:t>Modal accessibility (focus, escape)</w:t>
            </w:r>
          </w:p>
        </w:tc>
        <w:tc>
          <w:tcPr>
            <w:tcW w:type="dxa" w:w="1440"/>
          </w:tcPr>
          <w:p>
            <w:r/>
            <w:r>
              <w:rPr>
                <w:b w:val="0"/>
                <w:sz w:val="18"/>
              </w:rPr>
              <w:t>Yes</w:t>
            </w:r>
          </w:p>
        </w:tc>
        <w:tc>
          <w:tcPr>
            <w:tcW w:type="dxa" w:w="3456"/>
          </w:tcPr>
          <w:p>
            <w:r/>
            <w:r>
              <w:rPr>
                <w:b w:val="0"/>
                <w:sz w:val="18"/>
              </w:rPr>
              <w:t>modals-a11y.spec.ts</w:t>
            </w:r>
          </w:p>
        </w:tc>
      </w:tr>
      <w:tr>
        <w:tc>
          <w:tcPr>
            <w:tcW w:type="dxa" w:w="4320"/>
          </w:tcPr>
          <w:p>
            <w:r/>
            <w:r>
              <w:rPr>
                <w:b w:val="0"/>
                <w:sz w:val="18"/>
              </w:rPr>
              <w:t>Runtime folders &amp; X-Twin-Folder header</w:t>
            </w:r>
          </w:p>
        </w:tc>
        <w:tc>
          <w:tcPr>
            <w:tcW w:type="dxa" w:w="1440"/>
          </w:tcPr>
          <w:p>
            <w:r/>
            <w:r>
              <w:rPr>
                <w:b w:val="0"/>
                <w:sz w:val="18"/>
              </w:rPr>
              <w:t>Yes</w:t>
            </w:r>
          </w:p>
        </w:tc>
        <w:tc>
          <w:tcPr>
            <w:tcW w:type="dxa" w:w="3456"/>
          </w:tcPr>
          <w:p>
            <w:r/>
            <w:r>
              <w:rPr>
                <w:b w:val="0"/>
                <w:sz w:val="18"/>
              </w:rPr>
              <w:t>folders-runtime.spec.ts</w:t>
            </w:r>
          </w:p>
        </w:tc>
      </w:tr>
      <w:tr>
        <w:tc>
          <w:tcPr>
            <w:tcW w:type="dxa" w:w="4320"/>
          </w:tcPr>
          <w:p>
            <w:r/>
            <w:r>
              <w:rPr>
                <w:b w:val="0"/>
                <w:sz w:val="18"/>
              </w:rPr>
              <w:t>Adversarial API surface (real backend)</w:t>
            </w:r>
          </w:p>
        </w:tc>
        <w:tc>
          <w:tcPr>
            <w:tcW w:type="dxa" w:w="1440"/>
          </w:tcPr>
          <w:p>
            <w:r/>
            <w:r>
              <w:rPr>
                <w:b w:val="0"/>
                <w:sz w:val="18"/>
              </w:rPr>
              <w:t>Yes</w:t>
            </w:r>
          </w:p>
        </w:tc>
        <w:tc>
          <w:tcPr>
            <w:tcW w:type="dxa" w:w="3456"/>
          </w:tcPr>
          <w:p>
            <w:r/>
            <w:r>
              <w:rPr>
                <w:b w:val="0"/>
                <w:sz w:val="18"/>
              </w:rPr>
              <w:t>api-coverage-real / -generated-key</w:t>
            </w:r>
          </w:p>
        </w:tc>
      </w:tr>
    </w:tbl>
    <w:p>
      <w:pPr>
        <w:spacing w:after="80"/>
      </w:pPr>
    </w:p>
    <w:p>
      <w:pPr>
        <w:spacing w:after="120"/>
      </w:pPr>
      <w:r>
        <w:rPr>
          <w:b/>
          <w:i w:val="0"/>
        </w:rPr>
        <w:t>Recently closed (2026-06-26 reinforcement pass):</w:t>
      </w:r>
    </w:p>
    <w:p>
      <w:pPr>
        <w:pStyle w:val="ListBullet"/>
      </w:pPr>
      <w:r>
        <w:t>Citation drilldown — a Retrieval source now links to its real seeded document; the previously-skipped test is enabled (retrieval.spec.ts, with a one-source MSW handler tune).</w:t>
      </w:r>
    </w:p>
    <w:p>
      <w:pPr>
        <w:pStyle w:val="ListBullet"/>
      </w:pPr>
      <w:r>
        <w:t>Role gating on folder administration — Reader (no admin:folders) sees a read-only badge and no Add-folder control; Admin sees the controls (role-gating.spec.ts).</w:t>
      </w:r>
    </w:p>
    <w:p>
      <w:pPr>
        <w:pStyle w:val="ListBullet"/>
      </w:pPr>
      <w:r>
        <w:t>Document pagination boundary — 60 seeded docs force a second page; Next/Previous and the page label are asserted (documents-pagination.spec.ts).</w:t>
      </w:r>
    </w:p>
    <w:p>
      <w:pPr>
        <w:spacing w:after="120"/>
      </w:pPr>
      <w:r>
        <w:rPr>
          <w:b/>
          <w:i w:val="0"/>
        </w:rPr>
        <w:t>Gaps still recommended for new automation (E2E to build):</w:t>
      </w:r>
    </w:p>
    <w:p>
      <w:pPr>
        <w:pStyle w:val="ListBullet"/>
      </w:pPr>
      <w:r>
        <w:t>Real-backend ingestion: upload a real file → poll to COMPLETED → appears with chunks.</w:t>
      </w:r>
    </w:p>
    <w:p>
      <w:pPr>
        <w:pStyle w:val="ListBullet"/>
      </w:pPr>
      <w:r>
        <w:t>Classification rejection end-to-end: a file above the ceiling lands FAILED + emits a classification-rejected activity event (MSW needs a classification-rejected seed knob).</w:t>
      </w:r>
    </w:p>
    <w:p>
      <w:pPr>
        <w:pStyle w:val="ListBullet"/>
      </w:pPr>
      <w:r>
        <w:t>Folder membership: duplicate-to-share, add-to-folder, and last-folder removal physically deletes the document (endpoints are mocked; an admin UI path / contract test is needed).</w:t>
      </w:r>
    </w:p>
    <w:p>
      <w:pPr>
        <w:pStyle w:val="ListBullet"/>
      </w:pPr>
      <w:r>
        <w:t>Quota-exceeded journey (QuotaBanner) — needs a /__e2e/quota knob to drive the over-limit state.</w:t>
      </w:r>
    </w:p>
    <w:p>
      <w:pPr>
        <w:pStyle w:val="ListBullet"/>
      </w:pPr>
      <w:r>
        <w:t>Session-expiry re-auth (real backend / short token TTL).</w:t>
      </w:r>
    </w:p>
    <w:tbl>
      <w:tblPr>
        <w:tblStyle w:val="TableGrid"/>
        <w:tblW w:type="auto" w:w="0"/>
        <w:tblLook w:firstColumn="1" w:firstRow="1" w:lastColumn="0" w:lastRow="0" w:noHBand="0" w:noVBand="1" w:val="04A0"/>
      </w:tblPr>
      <w:tblGrid>
        <w:gridCol w:w="8640"/>
      </w:tblGrid>
      <w:tr>
        <w:tc>
          <w:tcPr>
            <w:tcW w:type="dxa" w:w="8640"/>
            <w:shd w:val="clear" w:fill="FCE5CD"/>
          </w:tcPr>
          <w:p>
            <w:r/>
            <w:r>
              <w:rPr>
                <w:b/>
                <w:sz w:val="20"/>
              </w:rPr>
              <w:t>Finding — Tags governance is NOT role-gated in the UI.</w:t>
            </w:r>
          </w:p>
          <w:p>
            <w:pPr>
              <w:spacing w:after="40"/>
            </w:pPr>
            <w:r>
              <w:rPr>
                <w:b/>
              </w:rPr>
              <w:t xml:space="preserve">• </w:t>
            </w:r>
            <w:r>
              <w:rPr>
                <w:sz w:val="18"/>
              </w:rPr>
              <w:t>TagsTab is wired to a hardcoded CURRENT_USER constant (palier 3 = admin/steward), not to the authenticated user. A Reader therefore still sees Edit/Delete/Deprecate tag controls. The MSW tag-mutation handlers are also not scope-checked. Net: tag-governance access control is currently enforced (if at all) only by the real backend, not the UI. Decide: wire CURRENT_USER → auth.user (so the UI reflects the role), or accept backend-only enforcement and document it. Until resolved, a UI role-gating test for tags would be vacuous — which is why role-gating.spec.ts covers folders only.</w:t>
            </w:r>
          </w:p>
        </w:tc>
      </w:tr>
    </w:tbl>
    <w:p>
      <w:pPr>
        <w:spacing w:after="120"/>
      </w:pPr>
    </w:p>
    <w:p>
      <w:pPr>
        <w:pStyle w:val="Heading2"/>
      </w:pPr>
      <w:r>
        <w:t>7.2 Stream B — manual (offshore) testing</w:t>
      </w:r>
    </w:p>
    <w:p>
      <w:pPr>
        <w:spacing w:after="120"/>
      </w:pPr>
      <w:r>
        <w:rPr>
          <w:b w:val="0"/>
          <w:i w:val="0"/>
        </w:rPr>
        <w:t>Human judgement work that automation cannot meaningfully cover.</w:t>
      </w:r>
    </w:p>
    <w:p>
      <w:pPr>
        <w:spacing w:after="120"/>
      </w:pPr>
      <w:r>
        <w:rPr>
          <w:b/>
          <w:i w:val="0"/>
        </w:rPr>
        <w:t>Browser / device matrix (minimum):</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304"/>
          </w:tcPr>
          <w:p>
            <w:r/>
            <w:r>
              <w:rPr>
                <w:b/>
                <w:sz w:val="18"/>
              </w:rPr>
              <w:t>Browser</w:t>
            </w:r>
          </w:p>
        </w:tc>
        <w:tc>
          <w:tcPr>
            <w:tcW w:type="dxa" w:w="3168"/>
          </w:tcPr>
          <w:p>
            <w:r/>
            <w:r>
              <w:rPr>
                <w:b/>
                <w:sz w:val="18"/>
              </w:rPr>
              <w:t>Versions</w:t>
            </w:r>
          </w:p>
        </w:tc>
        <w:tc>
          <w:tcPr>
            <w:tcW w:type="dxa" w:w="3744"/>
          </w:tcPr>
          <w:p>
            <w:r/>
            <w:r>
              <w:rPr>
                <w:b/>
                <w:sz w:val="18"/>
              </w:rPr>
              <w:t>Viewports</w:t>
            </w:r>
          </w:p>
        </w:tc>
      </w:tr>
      <w:tr>
        <w:tc>
          <w:tcPr>
            <w:tcW w:type="dxa" w:w="2304"/>
          </w:tcPr>
          <w:p>
            <w:r/>
            <w:r>
              <w:rPr>
                <w:b w:val="0"/>
                <w:sz w:val="18"/>
              </w:rPr>
              <w:t>Chrome</w:t>
            </w:r>
          </w:p>
        </w:tc>
        <w:tc>
          <w:tcPr>
            <w:tcW w:type="dxa" w:w="3168"/>
          </w:tcPr>
          <w:p>
            <w:r/>
            <w:r>
              <w:rPr>
                <w:b w:val="0"/>
                <w:sz w:val="18"/>
              </w:rPr>
              <w:t>latest + latest-1</w:t>
            </w:r>
          </w:p>
        </w:tc>
        <w:tc>
          <w:tcPr>
            <w:tcW w:type="dxa" w:w="3744"/>
          </w:tcPr>
          <w:p>
            <w:r/>
            <w:r>
              <w:rPr>
                <w:b w:val="0"/>
                <w:sz w:val="18"/>
              </w:rPr>
              <w:t>1440×900, 1280×800</w:t>
            </w:r>
          </w:p>
        </w:tc>
      </w:tr>
      <w:tr>
        <w:tc>
          <w:tcPr>
            <w:tcW w:type="dxa" w:w="2304"/>
          </w:tcPr>
          <w:p>
            <w:r/>
            <w:r>
              <w:rPr>
                <w:b w:val="0"/>
                <w:sz w:val="18"/>
              </w:rPr>
              <w:t>Firefox</w:t>
            </w:r>
          </w:p>
        </w:tc>
        <w:tc>
          <w:tcPr>
            <w:tcW w:type="dxa" w:w="3168"/>
          </w:tcPr>
          <w:p>
            <w:r/>
            <w:r>
              <w:rPr>
                <w:b w:val="0"/>
                <w:sz w:val="18"/>
              </w:rPr>
              <w:t>latest</w:t>
            </w:r>
          </w:p>
        </w:tc>
        <w:tc>
          <w:tcPr>
            <w:tcW w:type="dxa" w:w="3744"/>
          </w:tcPr>
          <w:p>
            <w:r/>
            <w:r>
              <w:rPr>
                <w:b w:val="0"/>
                <w:sz w:val="18"/>
              </w:rPr>
              <w:t>1440×900</w:t>
            </w:r>
          </w:p>
        </w:tc>
      </w:tr>
      <w:tr>
        <w:tc>
          <w:tcPr>
            <w:tcW w:type="dxa" w:w="2304"/>
          </w:tcPr>
          <w:p>
            <w:r/>
            <w:r>
              <w:rPr>
                <w:b w:val="0"/>
                <w:sz w:val="18"/>
              </w:rPr>
              <w:t>Safari</w:t>
            </w:r>
          </w:p>
        </w:tc>
        <w:tc>
          <w:tcPr>
            <w:tcW w:type="dxa" w:w="3168"/>
          </w:tcPr>
          <w:p>
            <w:r/>
            <w:r>
              <w:rPr>
                <w:b w:val="0"/>
                <w:sz w:val="18"/>
              </w:rPr>
              <w:t>latest (macOS)</w:t>
            </w:r>
          </w:p>
        </w:tc>
        <w:tc>
          <w:tcPr>
            <w:tcW w:type="dxa" w:w="3744"/>
          </w:tcPr>
          <w:p>
            <w:r/>
            <w:r>
              <w:rPr>
                <w:b w:val="0"/>
                <w:sz w:val="18"/>
              </w:rPr>
              <w:t>1440×900</w:t>
            </w:r>
          </w:p>
        </w:tc>
      </w:tr>
      <w:tr>
        <w:tc>
          <w:tcPr>
            <w:tcW w:type="dxa" w:w="2304"/>
          </w:tcPr>
          <w:p>
            <w:r/>
            <w:r>
              <w:rPr>
                <w:b w:val="0"/>
                <w:sz w:val="18"/>
              </w:rPr>
              <w:t>Edge</w:t>
            </w:r>
          </w:p>
        </w:tc>
        <w:tc>
          <w:tcPr>
            <w:tcW w:type="dxa" w:w="3168"/>
          </w:tcPr>
          <w:p>
            <w:r/>
            <w:r>
              <w:rPr>
                <w:b w:val="0"/>
                <w:sz w:val="18"/>
              </w:rPr>
              <w:t>latest</w:t>
            </w:r>
          </w:p>
        </w:tc>
        <w:tc>
          <w:tcPr>
            <w:tcW w:type="dxa" w:w="3744"/>
          </w:tcPr>
          <w:p>
            <w:r/>
            <w:r>
              <w:rPr>
                <w:b w:val="0"/>
                <w:sz w:val="18"/>
              </w:rPr>
              <w:t>1280×800</w:t>
            </w:r>
          </w:p>
        </w:tc>
      </w:tr>
      <w:tr>
        <w:tc>
          <w:tcPr>
            <w:tcW w:type="dxa" w:w="2304"/>
          </w:tcPr>
          <w:p>
            <w:r/>
            <w:r>
              <w:rPr>
                <w:b w:val="0"/>
                <w:sz w:val="18"/>
              </w:rPr>
              <w:t>Responsive</w:t>
            </w:r>
          </w:p>
        </w:tc>
        <w:tc>
          <w:tcPr>
            <w:tcW w:type="dxa" w:w="3168"/>
          </w:tcPr>
          <w:p>
            <w:r/>
            <w:r>
              <w:rPr>
                <w:b w:val="0"/>
                <w:sz w:val="18"/>
              </w:rPr>
              <w:t>Chrome</w:t>
            </w:r>
          </w:p>
        </w:tc>
        <w:tc>
          <w:tcPr>
            <w:tcW w:type="dxa" w:w="3744"/>
          </w:tcPr>
          <w:p>
            <w:r/>
            <w:r>
              <w:rPr>
                <w:b w:val="0"/>
                <w:sz w:val="18"/>
              </w:rPr>
              <w:t>1100px and 760px widths</w:t>
            </w:r>
          </w:p>
        </w:tc>
      </w:tr>
    </w:tbl>
    <w:p>
      <w:pPr>
        <w:spacing w:after="80"/>
      </w:pPr>
    </w:p>
    <w:p>
      <w:pPr>
        <w:spacing w:after="120"/>
      </w:pPr>
      <w:r>
        <w:rPr>
          <w:b/>
          <w:i w:val="0"/>
        </w:rPr>
        <w:t>Exploratory charters (time-boxed, 60–90 min each):</w:t>
      </w:r>
    </w:p>
    <w:p>
      <w:pPr>
        <w:pStyle w:val="ListBullet"/>
      </w:pPr>
      <w:r>
        <w:t>Real-document ingestion: ingest 10 mixed real files (PDF, DOCX, XLSX, HTML) and verify they reach COMPLETED with sensible chunk counts and tags.</w:t>
      </w:r>
    </w:p>
    <w:p>
      <w:pPr>
        <w:pStyle w:val="ListBullet"/>
      </w:pPr>
      <w:r>
        <w:t>Answer quality (real backend): ask 15 domain questions; judge whether the answer is grounded, whether sources are relevant, and whether a deliberately out-of-scope question honestly returns "insufficient information".</w:t>
      </w:r>
    </w:p>
    <w:p>
      <w:pPr>
        <w:pStyle w:val="ListBullet"/>
      </w:pPr>
      <w:r>
        <w:t>Classification: upload files carrying MIP labels C1–C4 and confirm the badge shown and the ceiling-rejection behaviour.</w:t>
      </w:r>
    </w:p>
    <w:p>
      <w:pPr>
        <w:pStyle w:val="ListBullet"/>
      </w:pPr>
      <w:r>
        <w:t>Visual fidelity &amp; dark mode: every screen in light and dark theme; check contrast, truncation, overflow, and long filenames/tags.</w:t>
      </w:r>
    </w:p>
    <w:p>
      <w:pPr>
        <w:pStyle w:val="ListBullet"/>
      </w:pPr>
      <w:r>
        <w:t>Role-based access: repeat the golden paths as Reader, Steward, Admin; confirm gated controls are correctly hidden/blocked.</w:t>
      </w:r>
    </w:p>
    <w:p>
      <w:pPr>
        <w:pStyle w:val="ListBullet"/>
      </w:pPr>
      <w:r>
        <w:t>Resilience: slow network, mid-flight reloads, double-clicks on destructive actions, empty states, and error toasts (undo).</w:t>
      </w:r>
    </w:p>
    <w:p>
      <w:r>
        <w:br w:type="page"/>
      </w:r>
    </w:p>
    <w:p>
      <w:pPr>
        <w:pStyle w:val="Heading1"/>
      </w:pPr>
      <w:r>
        <w:t>8. Traceability matrix (story → screen → cases → automation)</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016"/>
          </w:tcPr>
          <w:p>
            <w:r/>
            <w:r>
              <w:rPr>
                <w:b/>
                <w:sz w:val="18"/>
              </w:rPr>
              <w:t>User story</w:t>
            </w:r>
          </w:p>
        </w:tc>
        <w:tc>
          <w:tcPr>
            <w:tcW w:type="dxa" w:w="2016"/>
          </w:tcPr>
          <w:p>
            <w:r/>
            <w:r>
              <w:rPr>
                <w:b/>
                <w:sz w:val="18"/>
              </w:rPr>
              <w:t>Screen</w:t>
            </w:r>
          </w:p>
        </w:tc>
        <w:tc>
          <w:tcPr>
            <w:tcW w:type="dxa" w:w="2736"/>
          </w:tcPr>
          <w:p>
            <w:r/>
            <w:r>
              <w:rPr>
                <w:b/>
                <w:sz w:val="18"/>
              </w:rPr>
              <w:t>Key test cases</w:t>
            </w:r>
          </w:p>
        </w:tc>
        <w:tc>
          <w:tcPr>
            <w:tcW w:type="dxa" w:w="2592"/>
          </w:tcPr>
          <w:p>
            <w:r/>
            <w:r>
              <w:rPr>
                <w:b/>
                <w:sz w:val="18"/>
              </w:rPr>
              <w:t>Automated?</w:t>
            </w:r>
          </w:p>
        </w:tc>
      </w:tr>
      <w:tr>
        <w:tc>
          <w:tcPr>
            <w:tcW w:type="dxa" w:w="2016"/>
          </w:tcPr>
          <w:p>
            <w:r/>
            <w:r>
              <w:rPr>
                <w:b w:val="0"/>
                <w:sz w:val="18"/>
              </w:rPr>
              <w:t>US-AUTH-01/02</w:t>
            </w:r>
          </w:p>
        </w:tc>
        <w:tc>
          <w:tcPr>
            <w:tcW w:type="dxa" w:w="2016"/>
          </w:tcPr>
          <w:p>
            <w:r/>
            <w:r>
              <w:rPr>
                <w:b w:val="0"/>
                <w:sz w:val="18"/>
              </w:rPr>
              <w:t>§6.1 Login</w:t>
            </w:r>
          </w:p>
        </w:tc>
        <w:tc>
          <w:tcPr>
            <w:tcW w:type="dxa" w:w="2736"/>
          </w:tcPr>
          <w:p>
            <w:r/>
            <w:r>
              <w:rPr>
                <w:b w:val="0"/>
                <w:sz w:val="18"/>
              </w:rPr>
              <w:t>TC-AUTH-01..04</w:t>
            </w:r>
          </w:p>
        </w:tc>
        <w:tc>
          <w:tcPr>
            <w:tcW w:type="dxa" w:w="2592"/>
          </w:tcPr>
          <w:p>
            <w:r/>
            <w:r>
              <w:rPr>
                <w:b w:val="0"/>
                <w:sz w:val="18"/>
              </w:rPr>
              <w:t>Yes (login.spec)</w:t>
            </w:r>
          </w:p>
        </w:tc>
      </w:tr>
      <w:tr>
        <w:tc>
          <w:tcPr>
            <w:tcW w:type="dxa" w:w="2016"/>
          </w:tcPr>
          <w:p>
            <w:r/>
            <w:r>
              <w:rPr>
                <w:b w:val="0"/>
                <w:sz w:val="18"/>
              </w:rPr>
              <w:t>US-NAV-01/02</w:t>
            </w:r>
          </w:p>
        </w:tc>
        <w:tc>
          <w:tcPr>
            <w:tcW w:type="dxa" w:w="2016"/>
          </w:tcPr>
          <w:p>
            <w:r/>
            <w:r>
              <w:rPr>
                <w:b w:val="0"/>
                <w:sz w:val="18"/>
              </w:rPr>
              <w:t>§6.2 Topbar</w:t>
            </w:r>
          </w:p>
        </w:tc>
        <w:tc>
          <w:tcPr>
            <w:tcW w:type="dxa" w:w="2736"/>
          </w:tcPr>
          <w:p>
            <w:r/>
            <w:r>
              <w:rPr>
                <w:b w:val="0"/>
                <w:sz w:val="18"/>
              </w:rPr>
              <w:t>TC-NAV-01..05</w:t>
            </w:r>
          </w:p>
        </w:tc>
        <w:tc>
          <w:tcPr>
            <w:tcW w:type="dxa" w:w="2592"/>
          </w:tcPr>
          <w:p>
            <w:r/>
            <w:r>
              <w:rPr>
                <w:b w:val="0"/>
                <w:sz w:val="18"/>
              </w:rPr>
              <w:t>Yes (folders-runtime, toasts-topbar)</w:t>
            </w:r>
          </w:p>
        </w:tc>
      </w:tr>
      <w:tr>
        <w:tc>
          <w:tcPr>
            <w:tcW w:type="dxa" w:w="2016"/>
          </w:tcPr>
          <w:p>
            <w:r/>
            <w:r>
              <w:rPr>
                <w:b w:val="0"/>
                <w:sz w:val="18"/>
              </w:rPr>
              <w:t>US-DOC-01..06</w:t>
            </w:r>
          </w:p>
        </w:tc>
        <w:tc>
          <w:tcPr>
            <w:tcW w:type="dxa" w:w="2016"/>
          </w:tcPr>
          <w:p>
            <w:r/>
            <w:r>
              <w:rPr>
                <w:b w:val="0"/>
                <w:sz w:val="18"/>
              </w:rPr>
              <w:t>§6.3 Documents</w:t>
            </w:r>
          </w:p>
        </w:tc>
        <w:tc>
          <w:tcPr>
            <w:tcW w:type="dxa" w:w="2736"/>
          </w:tcPr>
          <w:p>
            <w:r/>
            <w:r>
              <w:rPr>
                <w:b w:val="0"/>
                <w:sz w:val="18"/>
              </w:rPr>
              <w:t>TC-DOC-01..12</w:t>
            </w:r>
          </w:p>
        </w:tc>
        <w:tc>
          <w:tcPr>
            <w:tcW w:type="dxa" w:w="2592"/>
          </w:tcPr>
          <w:p>
            <w:r/>
            <w:r>
              <w:rPr>
                <w:b w:val="0"/>
                <w:sz w:val="18"/>
              </w:rPr>
              <w:t>Mostly (documents.spec)</w:t>
            </w:r>
          </w:p>
        </w:tc>
      </w:tr>
      <w:tr>
        <w:tc>
          <w:tcPr>
            <w:tcW w:type="dxa" w:w="2016"/>
          </w:tcPr>
          <w:p>
            <w:r/>
            <w:r>
              <w:rPr>
                <w:b w:val="0"/>
                <w:sz w:val="18"/>
              </w:rPr>
              <w:t>US-UPL-01/02</w:t>
            </w:r>
          </w:p>
        </w:tc>
        <w:tc>
          <w:tcPr>
            <w:tcW w:type="dxa" w:w="2016"/>
          </w:tcPr>
          <w:p>
            <w:r/>
            <w:r>
              <w:rPr>
                <w:b w:val="0"/>
                <w:sz w:val="18"/>
              </w:rPr>
              <w:t>§6.4 Upload</w:t>
            </w:r>
          </w:p>
        </w:tc>
        <w:tc>
          <w:tcPr>
            <w:tcW w:type="dxa" w:w="2736"/>
          </w:tcPr>
          <w:p>
            <w:r/>
            <w:r>
              <w:rPr>
                <w:b w:val="0"/>
                <w:sz w:val="18"/>
              </w:rPr>
              <w:t>TC-UPL-01..06</w:t>
            </w:r>
          </w:p>
        </w:tc>
        <w:tc>
          <w:tcPr>
            <w:tcW w:type="dxa" w:w="2592"/>
          </w:tcPr>
          <w:p>
            <w:r/>
            <w:r>
              <w:rPr>
                <w:b w:val="0"/>
                <w:sz w:val="18"/>
              </w:rPr>
              <w:t>Partial (upload.spec; rejection manual)</w:t>
            </w:r>
          </w:p>
        </w:tc>
      </w:tr>
      <w:tr>
        <w:tc>
          <w:tcPr>
            <w:tcW w:type="dxa" w:w="2016"/>
          </w:tcPr>
          <w:p>
            <w:r/>
            <w:r>
              <w:rPr>
                <w:b w:val="0"/>
                <w:sz w:val="18"/>
              </w:rPr>
              <w:t>US-TAG-01..04</w:t>
            </w:r>
          </w:p>
        </w:tc>
        <w:tc>
          <w:tcPr>
            <w:tcW w:type="dxa" w:w="2016"/>
          </w:tcPr>
          <w:p>
            <w:r/>
            <w:r>
              <w:rPr>
                <w:b w:val="0"/>
                <w:sz w:val="18"/>
              </w:rPr>
              <w:t>§6.5 Tags</w:t>
            </w:r>
          </w:p>
        </w:tc>
        <w:tc>
          <w:tcPr>
            <w:tcW w:type="dxa" w:w="2736"/>
          </w:tcPr>
          <w:p>
            <w:r/>
            <w:r>
              <w:rPr>
                <w:b w:val="0"/>
                <w:sz w:val="18"/>
              </w:rPr>
              <w:t>TC-TAG-01..08</w:t>
            </w:r>
          </w:p>
        </w:tc>
        <w:tc>
          <w:tcPr>
            <w:tcW w:type="dxa" w:w="2592"/>
          </w:tcPr>
          <w:p>
            <w:r/>
            <w:r>
              <w:rPr>
                <w:b w:val="0"/>
                <w:sz w:val="18"/>
              </w:rPr>
              <w:t>Yes (tags.spec)</w:t>
            </w:r>
          </w:p>
        </w:tc>
      </w:tr>
      <w:tr>
        <w:tc>
          <w:tcPr>
            <w:tcW w:type="dxa" w:w="2016"/>
          </w:tcPr>
          <w:p>
            <w:r/>
            <w:r>
              <w:rPr>
                <w:b w:val="0"/>
                <w:sz w:val="18"/>
              </w:rPr>
              <w:t>US-RET-01..03</w:t>
            </w:r>
          </w:p>
        </w:tc>
        <w:tc>
          <w:tcPr>
            <w:tcW w:type="dxa" w:w="2016"/>
          </w:tcPr>
          <w:p>
            <w:r/>
            <w:r>
              <w:rPr>
                <w:b w:val="0"/>
                <w:sz w:val="18"/>
              </w:rPr>
              <w:t>§6.6 Retrieval</w:t>
            </w:r>
          </w:p>
        </w:tc>
        <w:tc>
          <w:tcPr>
            <w:tcW w:type="dxa" w:w="2736"/>
          </w:tcPr>
          <w:p>
            <w:r/>
            <w:r>
              <w:rPr>
                <w:b w:val="0"/>
                <w:sz w:val="18"/>
              </w:rPr>
              <w:t>TC-RET-01..07</w:t>
            </w:r>
          </w:p>
        </w:tc>
        <w:tc>
          <w:tcPr>
            <w:tcW w:type="dxa" w:w="2592"/>
          </w:tcPr>
          <w:p>
            <w:r/>
            <w:r>
              <w:rPr>
                <w:b w:val="0"/>
                <w:sz w:val="18"/>
              </w:rPr>
              <w:t>Partial (citation/quality manual)</w:t>
            </w:r>
          </w:p>
        </w:tc>
      </w:tr>
      <w:tr>
        <w:tc>
          <w:tcPr>
            <w:tcW w:type="dxa" w:w="2016"/>
          </w:tcPr>
          <w:p>
            <w:r/>
            <w:r>
              <w:rPr>
                <w:b w:val="0"/>
                <w:sz w:val="18"/>
              </w:rPr>
              <w:t>US-GRAPH-01..03</w:t>
            </w:r>
          </w:p>
        </w:tc>
        <w:tc>
          <w:tcPr>
            <w:tcW w:type="dxa" w:w="2016"/>
          </w:tcPr>
          <w:p>
            <w:r/>
            <w:r>
              <w:rPr>
                <w:b w:val="0"/>
                <w:sz w:val="18"/>
              </w:rPr>
              <w:t>§6.7 Graph</w:t>
            </w:r>
          </w:p>
        </w:tc>
        <w:tc>
          <w:tcPr>
            <w:tcW w:type="dxa" w:w="2736"/>
          </w:tcPr>
          <w:p>
            <w:r/>
            <w:r>
              <w:rPr>
                <w:b w:val="0"/>
                <w:sz w:val="18"/>
              </w:rPr>
              <w:t>TC-GR-01..08</w:t>
            </w:r>
          </w:p>
        </w:tc>
        <w:tc>
          <w:tcPr>
            <w:tcW w:type="dxa" w:w="2592"/>
          </w:tcPr>
          <w:p>
            <w:r/>
            <w:r>
              <w:rPr>
                <w:b w:val="0"/>
                <w:sz w:val="18"/>
              </w:rPr>
              <w:t>Yes (graph.spec)</w:t>
            </w:r>
          </w:p>
        </w:tc>
      </w:tr>
      <w:tr>
        <w:tc>
          <w:tcPr>
            <w:tcW w:type="dxa" w:w="2016"/>
          </w:tcPr>
          <w:p>
            <w:r/>
            <w:r>
              <w:rPr>
                <w:b w:val="0"/>
                <w:sz w:val="18"/>
              </w:rPr>
              <w:t>US-ACT-01/02</w:t>
            </w:r>
          </w:p>
        </w:tc>
        <w:tc>
          <w:tcPr>
            <w:tcW w:type="dxa" w:w="2016"/>
          </w:tcPr>
          <w:p>
            <w:r/>
            <w:r>
              <w:rPr>
                <w:b w:val="0"/>
                <w:sz w:val="18"/>
              </w:rPr>
              <w:t>§6.8 Activity</w:t>
            </w:r>
          </w:p>
        </w:tc>
        <w:tc>
          <w:tcPr>
            <w:tcW w:type="dxa" w:w="2736"/>
          </w:tcPr>
          <w:p>
            <w:r/>
            <w:r>
              <w:rPr>
                <w:b w:val="0"/>
                <w:sz w:val="18"/>
              </w:rPr>
              <w:t>TC-ACT-01..06</w:t>
            </w:r>
          </w:p>
        </w:tc>
        <w:tc>
          <w:tcPr>
            <w:tcW w:type="dxa" w:w="2592"/>
          </w:tcPr>
          <w:p>
            <w:r/>
            <w:r>
              <w:rPr>
                <w:b w:val="0"/>
                <w:sz w:val="18"/>
              </w:rPr>
              <w:t>Yes (activity.spec)</w:t>
            </w:r>
          </w:p>
        </w:tc>
      </w:tr>
      <w:tr>
        <w:tc>
          <w:tcPr>
            <w:tcW w:type="dxa" w:w="2016"/>
          </w:tcPr>
          <w:p>
            <w:r/>
            <w:r>
              <w:rPr>
                <w:b w:val="0"/>
                <w:sz w:val="18"/>
              </w:rPr>
              <w:t>US-SET-01..04</w:t>
            </w:r>
          </w:p>
        </w:tc>
        <w:tc>
          <w:tcPr>
            <w:tcW w:type="dxa" w:w="2016"/>
          </w:tcPr>
          <w:p>
            <w:r/>
            <w:r>
              <w:rPr>
                <w:b w:val="0"/>
                <w:sz w:val="18"/>
              </w:rPr>
              <w:t>§6.9 Settings</w:t>
            </w:r>
          </w:p>
        </w:tc>
        <w:tc>
          <w:tcPr>
            <w:tcW w:type="dxa" w:w="2736"/>
          </w:tcPr>
          <w:p>
            <w:r/>
            <w:r>
              <w:rPr>
                <w:b w:val="0"/>
                <w:sz w:val="18"/>
              </w:rPr>
              <w:t>TC-SET-01..09</w:t>
            </w:r>
          </w:p>
        </w:tc>
        <w:tc>
          <w:tcPr>
            <w:tcW w:type="dxa" w:w="2592"/>
          </w:tcPr>
          <w:p>
            <w:r/>
            <w:r>
              <w:rPr>
                <w:b w:val="0"/>
                <w:sz w:val="18"/>
              </w:rPr>
              <w:t>Yes (settings.spec)</w:t>
            </w:r>
          </w:p>
        </w:tc>
      </w:tr>
    </w:tbl>
    <w:p>
      <w:pPr>
        <w:spacing w:after="80"/>
      </w:pPr>
    </w:p>
    <w:p>
      <w:pPr>
        <w:spacing w:after="120"/>
      </w:pPr>
      <w:r>
        <w:rPr>
          <w:b w:val="0"/>
          <w:i/>
          <w:color w:val="5A5A5A"/>
        </w:rPr>
        <w:t>End of document.</w:t>
      </w:r>
    </w:p>
    <w:sectPr w:rsidR="00FC693F" w:rsidRPr="0006063C" w:rsidSect="00034616">
      <w:footerReference w:type="default" r:id="rId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Twin KMS — QA Test Plan &amp; Outsourcing Pack · CONFIDENTIAL · v1.0 (2026-06-26)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