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84f2d16814eeace9634f2a4ed9b7c9e1ec0f825"/>
    <w:p>
      <w:pPr>
        <w:pStyle w:val="Heading1"/>
      </w:pPr>
      <w:r>
        <w:t xml:space="preserve">A semantic mutation metric for metamorphic relation adequacy in scientific computing programs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categorically unreachable by first-order syntactic tools.</w:t>
      </w:r>
    </w:p>
    <w:p>
      <w:pPr>
        <w:pStyle w:val="Compact"/>
        <w:numPr>
          <w:ilvl w:val="0"/>
          <w:numId w:val="1001"/>
        </w:numPr>
      </w:pPr>
      <w:r>
        <w:t xml:space="preserve">Primary v3 Cliff’s delta = 0.323 (H2 large-effect threshold not met); cross-source pooling shifts delta by ≤ 0.01 across two MP conditions (v3 → v4-mp5 = −0.009; v3b → v4 = −0.007).</w:t>
      </w:r>
    </w:p>
    <w:p>
      <w:pPr>
        <w:pStyle w:val="Compact"/>
        <w:numPr>
          <w:ilvl w:val="0"/>
          <w:numId w:val="1001"/>
        </w:numPr>
      </w:pPr>
      <w:r>
        <w:t xml:space="preserve">Stipulated-alternative power at the H2 boundary is 49.1%, so the</w:t>
      </w:r>
      <w:r>
        <w:t xml:space="preserve"> </w:t>
      </w:r>
      <w:r>
        <w:t xml:space="preserve">“not met”</w:t>
      </w:r>
      <w:r>
        <w:t xml:space="preserve"> </w:t>
      </w:r>
      <w:r>
        <w:t xml:space="preserve">verdict is a statement about the point estimate, not about the effect size.</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(MT) addresses the test-oracle problem in scientific computing, but the classical Mutation Score (MS) is defined over syntactic Abstract Syntax Tree (AST) mutations and so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 Conservation Erosion, Operator Substitution, Hyperparameter, Trajectory Flip, and Structural Injection. SMS degenerates almost everywhere to MS in a characterised limit, so any SMS-based conclusion remains consistent with prior mutation-testing literature in the classical regime.</w:t>
      </w:r>
    </w:p>
    <w:p>
      <w:pPr>
        <w:pStyle w:val="BodyText"/>
      </w:pPr>
      <w:r>
        <w:rPr>
          <w:b/>
          <w:bCs/>
        </w:rPr>
        <w:t xml:space="preserve">Method.</w:t>
      </w:r>
      <w:r>
        <w:t xml:space="preserve"> </w:t>
      </w:r>
      <w:r>
        <w:t xml:space="preserve">We instantiate a 12 × 5 matrix of Programs Under Test (PUTs) and meta-patterns (MPs), giving 60 cells with a mean of 24.3 mutants per PUT and N = 20 Automated Verification Pipeline (AVP) repetitions. The PUTs span four single-output</w:t>
      </w:r>
      <w:r>
        <w:t xml:space="preserve"> </w:t>
      </w:r>
      <w:r>
        <w:rPr>
          <w:rStyle w:val="VerbatimChar"/>
        </w:rPr>
        <w:t xml:space="preserve">float → float</w:t>
      </w:r>
      <w:r>
        <w:t xml:space="preserve"> </w:t>
      </w:r>
      <w:r>
        <w:t xml:space="preserve">classes (numeric, probabilistic, surrogate, machine learning; each under 2 KB). A three-layer Layered Root-Cause Analysis (LRCA) classifier separates true semantic faults from tolerance perturbation, out-of-distribution trips, statistical-assumption violation, and mutator artefacts. A three-stage ablation — v3 same-source, v3b data-driven primary MP, v4 cross-source over Claude, GPT, and DeepSeek under an identical prompt — isolates the contribution of metamorphic-relation (MR) design from that of Large Language Model (LLM) source diversity. We compare the 292 v4 mutants against 1,250 cosmic-ray syntactic mutants at the AST-normalised level.</w:t>
      </w:r>
    </w:p>
    <w:p>
      <w:pPr>
        <w:pStyle w:val="BodyText"/>
      </w:pPr>
      <w:r>
        <w:rPr>
          <w:b/>
          <w:bCs/>
        </w:rPr>
        <w:t xml:space="preserve">Results.</w:t>
      </w:r>
      <w:r>
        <w:t xml:space="preserve"> </w:t>
      </w:r>
      <w:r>
        <w:rPr>
          <w:i/>
          <w:iCs/>
        </w:rPr>
        <w:t xml:space="preserve">Primary verdict (v3, pre-registered).</w:t>
      </w:r>
      <w:r>
        <w:t xml:space="preserve"> </w:t>
      </w:r>
      <w:r>
        <w:t xml:space="preserve">The H2 large-effect threshold (Cliff’s δ ≥ 0.474, Romano 2006) is</w:t>
      </w:r>
      <w:r>
        <w:t xml:space="preserve"> </w:t>
      </w:r>
      <w:r>
        <w:rPr>
          <w:b/>
          <w:bCs/>
        </w:rPr>
        <w:t xml:space="preserve">not met under the point-estimate criterion</w:t>
      </w:r>
      <w:r>
        <w:t xml:space="preserve">: v3 δ = 0.323 (95% CI [0.017, 0.622]). Stipulated-alternative power at δ_truth = 0.474 is</w:t>
      </w:r>
      <w:r>
        <w:t xml:space="preserve"> </w:t>
      </w:r>
      <w:r>
        <w:rPr>
          <w:b/>
          <w:bCs/>
        </w:rPr>
        <w:t xml:space="preserve">49.1%</w:t>
      </w:r>
      <w:r>
        <w:t xml:space="preserve">, so</w:t>
      </w:r>
      <w:r>
        <w:t xml:space="preserve"> </w:t>
      </w:r>
      <w:r>
        <w:t xml:space="preserve">“not met”</w:t>
      </w:r>
      <w:r>
        <w:t xml:space="preserve"> </w:t>
      </w:r>
      <w:r>
        <w:t xml:space="preserve">describes the point estimate, not the underlying effect size.</w:t>
      </w:r>
      <w:r>
        <w:t xml:space="preserve"> </w:t>
      </w:r>
      <w:r>
        <w:rPr>
          <w:i/>
          <w:iCs/>
        </w:rPr>
        <w:t xml:space="preserve">Robustness (v4-mp5, strips R11).</w:t>
      </w:r>
      <w:r>
        <w:t xml:space="preserve"> </w:t>
      </w:r>
      <w:r>
        <w:t xml:space="preserve">Holding the c-class primary at the pre-registered MP5 while pooling across LLM sources gives δ_v4-mp5 = 0.314 (95% CI [0.014, 0.622]); the contrast against v3 is Δδ = −0.009 (LLM-source axis under MP5).</w:t>
      </w:r>
      <w:r>
        <w:t xml:space="preserve"> </w:t>
      </w:r>
      <w:r>
        <w:rPr>
          <w:i/>
          <w:iCs/>
        </w:rPr>
        <w:t xml:space="preserve">Exploratory (v3b / v4, post-hoc selection).</w:t>
      </w:r>
      <w:r>
        <w:t xml:space="preserve"> </w:t>
      </w:r>
      <w:r>
        <w:t xml:space="preserve">v3b reaches 0.446† (data-driven c-class primary MP, same source); v4 reaches 0.439† (cross-source, MP1); Δδ(v3b → v4) = −0.007. Across both MP conditions the cross-source axis shifts δ by ≤ 0.01 in magnitude, while the MR-design axis (MP5 ↔ MP1) shifts δ by approximately +0.12.</w:t>
      </w:r>
      <w:r>
        <w:t xml:space="preserve"> </w:t>
      </w:r>
      <w:r>
        <w:rPr>
          <w:i/>
          <w:iCs/>
        </w:rPr>
        <w:t xml:space="preserve">Other.</w:t>
      </w:r>
      <w:r>
        <w:t xml:space="preserve"> </w:t>
      </w:r>
      <w:r>
        <w:t xml:space="preserve">Cross-source pooling raises mean C1_share from 0.164 to 0.209 and class-c SMS by +91.4%† without moving δ. Friedman χ² = 15.30, p = 0.0041. AST overlap with cosmic-ray is</w:t>
      </w:r>
      <w:r>
        <w:t xml:space="preserve"> </w:t>
      </w:r>
      <w:r>
        <w:rPr>
          <w:b/>
          <w:bCs/>
        </w:rPr>
        <w:t xml:space="preserve">5.14%</w:t>
      </w:r>
      <w:r>
        <w:t xml:space="preserve">; the Hyperparameter, Structural Injection, and Trajectory Flip classes (159 of 292 mutants) are categorically unreachable by</w:t>
      </w:r>
      <w:r>
        <w:t xml:space="preserve"> </w:t>
      </w:r>
      <w:r>
        <w:rPr>
          <w:b/>
          <w:bCs/>
        </w:rPr>
        <w:t xml:space="preserve">first-order</w:t>
      </w:r>
      <w:r>
        <w:t xml:space="preserve"> </w:t>
      </w:r>
      <w:r>
        <w:t xml:space="preserve">syntactic tools (0/0/0). († v3b/v4-derived numbers depend on the §3.4 post-hoc c-class primary-MP shift; permutation null one-sided p = 0.9885.)</w:t>
      </w:r>
    </w:p>
    <w:p>
      <w:pPr>
        <w:pStyle w:val="BodyText"/>
      </w:pPr>
      <w:r>
        <w:rPr>
          <w:b/>
          <w:bCs/>
        </w:rPr>
        <w:t xml:space="preserve">Conclusion.</w:t>
      </w:r>
      <w:r>
        <w:t xml:space="preserve"> </w:t>
      </w:r>
      <w:r>
        <w:t xml:space="preserve">Within this design, the MR-design axis (c-class primary-MP choice) is the lever on the aligned-vs-cross effect size; the LLM-identity axis (Claude / GPT / DeepSeek under an identical prompt) shifts δ by ≤ 0.01 across two MP conditions. The strong-sense source-diversity test with per-LLM differential prompts is deferred to P4. The §3.5 evidence (5.14% AST overlap, 0/0/0 unreachability for HP / SI / TF under first-order syntactic tools) is independent of this caveat. SMS is a backward-compatible adequacy metric for domain-semantic MR sets.</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The adequacy of an MR set, however, has lacked a domain-aware metric. Jia and Harman’s (2011) classical Mutation Score (MS) is defined over syntactic Abstract Syntax Tree (AST) mutations and does not capture domain semantics such as conservation laws, monotonicity, convergence order, trajectory shape, or fidelity ordering. Recent work on Large Language Model (LLM) generated mutants (Tip, Bell, and Schäfer 2024; Humbatova, Jahangirova, and Tonella 2021) does generate semantically richer mutants, but does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   (disjoint)</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X24b3732a3f3759e08f2664211d75b0d094ce5ac"/>
    <w:p>
      <w:pPr>
        <w:pStyle w:val="Heading3"/>
      </w:pPr>
      <w:r>
        <w:t xml:space="preserve">3.4 Engineering significance — c-class primary MP caveat</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 One methodological honesty point belongs in the main body and cannot be deferred to the appendix.</w:t>
      </w:r>
    </w:p>
    <w:p>
      <w:pPr>
        <w:pStyle w:val="BodyText"/>
      </w:pPr>
      <w:r>
        <w:rPr>
          <w:b/>
          <w:bCs/>
        </w:rPr>
        <w:t xml:space="preserve">Pre-registered v3 (primary).</w:t>
      </w:r>
      <w:r>
        <w:t xml:space="preserve"> </w:t>
      </w:r>
      <w:r>
        <w:t xml:space="preserve">The c-class primary MP follows the P1 specification (MP5). All H1, H2, H4, and H5 verdicts in this paper are rendered on v3.</w:t>
      </w:r>
    </w:p>
    <w:p>
      <w:pPr>
        <w:pStyle w:val="BodyText"/>
      </w:pPr>
      <w:r>
        <w:rPr>
          <w:b/>
          <w:bCs/>
        </w:rPr>
        <w:t xml:space="preserve">Exploratory v3b (post-hoc).</w:t>
      </w:r>
      <w:r>
        <w:t xml:space="preserve"> </w:t>
      </w:r>
      <w:r>
        <w:t xml:space="preserve">After observing the v3 data, the per-class Friedman test in §5.5 shows χ² = 4.00 and p = 0.406 for the c-class — no significant MP differentiation. On this non-significance basis we shift the c-class primary to the argmax-mean-SMS choice, which is MP1 (data:</w:t>
      </w:r>
      <w:r>
        <w:t xml:space="preserve"> </w:t>
      </w:r>
      <w:r>
        <w:rPr>
          <w:rStyle w:val="VerbatimChar"/>
        </w:rPr>
        <w:t xml:space="preserve">c_class_mp_ranking.json</w:t>
      </w:r>
      <w:r>
        <w:t xml:space="preserve">). This is</w:t>
      </w:r>
      <w:r>
        <w:t xml:space="preserve"> </w:t>
      </w:r>
      <w:r>
        <w:rPr>
          <w:b/>
          <w:bCs/>
        </w:rPr>
        <w:t xml:space="preserve">selection on the response</w:t>
      </w:r>
      <w:r>
        <w:t xml:space="preserve">: it inflates the H4 sign test from 3/4 to 4/4 and Cliff’s δ from 0.323 to 0.446 without applying a max-statistic correction. A permutation null over fully exchangeable c-class (PUT, MP) cell SMS values (10,000 permutations) gives one-sided p = 0.9885 and a Bonferroni-bounded effective α of 0.01 (</w:t>
      </w:r>
      <w:r>
        <w:rPr>
          <w:rStyle w:val="VerbatimChar"/>
        </w:rPr>
        <w:t xml:space="preserve">c_class_permutation_v4.json</w:t>
      </w:r>
      <w:r>
        <w:t xml:space="preserve">). All v3b and v4 results are reported as exploratory; the H4 and H2 primary verdicts rest on v3. P4 will pre-register the c-class primary-MP rule on a fresh dataset.</w:t>
      </w:r>
    </w:p>
    <w:p>
      <w:pPr>
        <w:pStyle w:val="BodyText"/>
      </w:pPr>
      <w:r>
        <w:rPr>
          <w:b/>
          <w:bCs/>
        </w:rPr>
        <w:t xml:space="preserve">Symbol convention.</w:t>
      </w:r>
      <w:r>
        <w:t xml:space="preserve"> </w:t>
      </w:r>
      <w:r>
        <w:t xml:space="preserve">Throughout the paper, a dagger (†) on a numeric quantity (δ, SMS percentage, sign-test count) flags that the number is derived under the v3b post-hoc c-class primary-MP shift (MP5 → MP1) and inherits the permutation-null one-sided p = 0.9885 caveat above. Numbers without † stand on the v3 pre-registered configuration.</w:t>
      </w:r>
    </w:p>
    <w:p>
      <w:pPr>
        <w:pStyle w:val="BodyText"/>
      </w:pPr>
      <w:r>
        <w:rPr>
          <w:b/>
          <w:bCs/>
        </w:rPr>
        <w:t xml:space="preserve">Naming convention.</w:t>
      </w:r>
      <w:r>
        <w:t xml:space="preserve"> </w:t>
      </w:r>
      <w:r>
        <w:t xml:space="preserve">For brevity, we write</w:t>
      </w:r>
      <w:r>
        <w:t xml:space="preserve"> </w:t>
      </w:r>
      <w:r>
        <w:rPr>
          <w:rStyle w:val="VerbatimChar"/>
        </w:rPr>
        <w:t xml:space="preserve">v4-mp1</w:t>
      </w:r>
      <w:r>
        <w:t xml:space="preserve"> </w:t>
      </w:r>
      <w:r>
        <w:t xml:space="preserve">for the v4 cross-source pool with the v3b post-hoc c-class primary MP1 (Round-3 default; the version reaching δ = 0.439†) and</w:t>
      </w:r>
      <w:r>
        <w:t xml:space="preserve"> </w:t>
      </w:r>
      <w:r>
        <w:rPr>
          <w:rStyle w:val="VerbatimChar"/>
        </w:rPr>
        <w:t xml:space="preserve">v4-mp5</w:t>
      </w:r>
      <w:r>
        <w:t xml:space="preserve"> </w:t>
      </w:r>
      <w:r>
        <w:t xml:space="preserve">for the v4 cross-source pool holding the c-class primary at the pre-registered MP5 (Round-3 robustness contrast; the version reaching δ = 0.314). Both share the same v4 mutant pool; only the c-class primary-MP convention differs.</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categorically</w:t>
      </w:r>
      <w:r>
        <w:t xml:space="preserve"> </w:t>
      </w:r>
      <w:r>
        <w:t xml:space="preserve">unrepresentable by cosmic-ray AST-local operators such as BinOp, Compare, and NumberReplacer. The unreachability is structural; enlarging the syntactic operator set does not help.</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rPr>
          <w:b/>
          <w:bCs/>
        </w:rPr>
        <w:t xml:space="preserve">Scope of the claim.</w:t>
      </w:r>
      <w:r>
        <w:t xml:space="preserve"> </w:t>
      </w:r>
      <w:r>
        <w:t xml:space="preserve">The preventive-defence claim below is conditional on a first-order syntactic baseline; HOM-based syntactic compositions are an open question (R12) and are not refuted by the §3.5 evidence.</w:t>
      </w:r>
    </w:p>
    <w:p>
      <w:pPr>
        <w:pStyle w:val="BodyText"/>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categorically beyond the reach of first-order syntactic tools.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 A multi-syntactic-tool cross-comparison (mutmut and mutpy) is reserved for P4: mutpy is incompatible with Python 3.10+, and mutmut’s operator set strongly overlaps cosmic-ray’s. The full operator-class cross-reference between cosmic-ray (13 default operators) and mutmut (14 default operators), including which §3.2 necessary conditions each operator family reaches, is in Appendix B.6. The aggregate of the two default sets (~21 distinct first-order AST-local operator classes) collectively fails all three §3.2 necessary conditions.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v3b</w:t>
            </w:r>
          </w:p>
        </w:tc>
        <w:tc>
          <w:tcPr/>
          <w:p>
            <w:pPr>
              <w:pStyle w:val="Compact"/>
            </w:pPr>
            <w:r>
              <w:t xml:space="preserve">Same-source</w:t>
            </w:r>
          </w:p>
        </w:tc>
        <w:tc>
          <w:tcPr/>
          <w:p>
            <w:pPr>
              <w:pStyle w:val="Compact"/>
            </w:pPr>
            <w:r>
              <w:t xml:space="preserve">MP1 (data-driven, §3.4)</w:t>
            </w:r>
          </w:p>
        </w:tc>
        <w:tc>
          <w:tcPr/>
          <w:p>
            <w:pPr>
              <w:pStyle w:val="Compact"/>
            </w:pPr>
            <w:r>
              <w:t xml:space="preserve">Isolate MR-MP design contribution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Two declared confounds.</w:t>
      </w:r>
    </w:p>
    <w:p>
      <w:pPr>
        <w:numPr>
          <w:ilvl w:val="0"/>
          <w:numId w:val="1010"/>
        </w:numPr>
      </w:pPr>
      <w:r>
        <w:rPr>
          <w:b/>
          <w:bCs/>
        </w:rPr>
        <w:t xml:space="preserve">Protocol asymmetry (R13):</w:t>
      </w:r>
      <w:r>
        <w:t xml:space="preserve"> </w:t>
      </w:r>
      <w:r>
        <w:t xml:space="preserve">v3 / v3b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w:t>
      </w:r>
      <w:r>
        <w:t xml:space="preserve"> </w:t>
      </w:r>
      <w:r>
        <w:rPr>
          <w:rStyle w:val="VerbatimChar"/>
        </w:rPr>
        <w:t xml:space="preserve">Delta_delta(v3b → v4) = -0.007</w:t>
      </w:r>
      <w:r>
        <w:t xml:space="preserve"> </w:t>
      </w:r>
      <w:r>
        <w:t xml:space="preserve">may reflect a slight v4 quality shift rather than LLM-source diversity. P4 will rerun dual-blind on the v4 grid.</w:t>
      </w:r>
    </w:p>
    <w:p>
      <w:pPr>
        <w:numPr>
          <w:ilvl w:val="0"/>
          <w:numId w:val="1010"/>
        </w:numPr>
      </w:pPr>
      <w:r>
        <w:rPr>
          <w:b/>
          <w:bCs/>
        </w:rPr>
        <w:t xml:space="preserve">Chained-conditioning (R11):</w:t>
      </w:r>
      <w:r>
        <w:t xml:space="preserve"> </w:t>
      </w:r>
      <w:r>
        <w:t xml:space="preserve">v4 inherits the v3b post-hoc selection on c-class primary MP.</w:t>
      </w:r>
      <w:r>
        <w:t xml:space="preserve"> </w:t>
      </w:r>
      <w:r>
        <w:rPr>
          <w:rStyle w:val="VerbatimChar"/>
        </w:rPr>
        <w:t xml:space="preserve">Delta_delta(v3b → v4)</w:t>
      </w:r>
      <w:r>
        <w:t xml:space="preserve"> </w:t>
      </w:r>
      <w:r>
        <w:t xml:space="preserve">is therefore conditional on v3b selection + identical prompt template; the strong-sense LLM-diversity test (v4-pre × c→MP5 + per-LLM differential prompt) is deferred to P4 (full protocol in Appendix C.1.1).</w:t>
      </w:r>
    </w:p>
    <w:p>
      <w:pPr>
        <w:pStyle w:val="FirstParagraph"/>
      </w:pPr>
      <w:r>
        <w:t xml:space="preserve">The two contrasts are</w:t>
      </w:r>
      <w:r>
        <w:t xml:space="preserve"> </w:t>
      </w:r>
      <w:r>
        <w:rPr>
          <w:b/>
          <w:bCs/>
        </w:rPr>
        <w:t xml:space="preserve">reported separately</w:t>
      </w:r>
      <w:r>
        <w:t xml:space="preserve"> </w:t>
      </w:r>
      <w:r>
        <w:t xml:space="preserve">rather than combined as a synthetic ratio; full per-LLM token / latency / cost figures, V1-V4 specifications, and the full v4-pre /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Δδ(v3b → v4) = −0.007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1"/>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1"/>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1"/>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2"/>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2"/>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2"/>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2"/>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 Power and effect-size disambiguation are treated jointly with the stipulated-alternative analysis in §5.4 (avoiding repetition).</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 v4 + v3b primary)</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Four delta point-estimates (three planned ablation stages plus one robustness contrast):</w:t>
      </w:r>
    </w:p>
    <w:p>
      <w:pPr>
        <w:pStyle w:val="Compact"/>
        <w:numPr>
          <w:ilvl w:val="0"/>
          <w:numId w:val="1013"/>
        </w:numPr>
      </w:pPr>
      <w:r>
        <w:rPr>
          <w:b/>
          <w:bCs/>
        </w:rPr>
        <w:t xml:space="preserve">v3 (primary, pre-registered):</w:t>
      </w:r>
      <w:r>
        <w:t xml:space="preserve"> </w:t>
      </w:r>
      <w:r>
        <w:t xml:space="preserve">delta =</w:t>
      </w:r>
      <w:r>
        <w:t xml:space="preserve"> </w:t>
      </w:r>
      <w:r>
        <w:rPr>
          <w:b/>
          <w:bCs/>
        </w:rPr>
        <w:t xml:space="preserve">0.323</w:t>
      </w:r>
      <w:r>
        <w:t xml:space="preserve">, 95% CI [0.017, 0.622]</w:t>
      </w:r>
    </w:p>
    <w:p>
      <w:pPr>
        <w:pStyle w:val="Compact"/>
        <w:numPr>
          <w:ilvl w:val="0"/>
          <w:numId w:val="1013"/>
        </w:numPr>
      </w:pPr>
      <w:r>
        <w:t xml:space="preserve">v3b (exploratory, c→MP1 post-hoc): delta = 0.446†, CI [0.154, 0.743]</w:t>
      </w:r>
    </w:p>
    <w:p>
      <w:pPr>
        <w:pStyle w:val="Compact"/>
        <w:numPr>
          <w:ilvl w:val="0"/>
          <w:numId w:val="1013"/>
        </w:numPr>
      </w:pPr>
      <w:r>
        <w:t xml:space="preserve">v4 (exploratory, cross-source under fixed prompt, c→MP1): delta = 0.439†, 95% CI [0.127, 0.740] (B = 10,000)</w:t>
      </w:r>
    </w:p>
    <w:p>
      <w:pPr>
        <w:pStyle w:val="Compact"/>
        <w:numPr>
          <w:ilvl w:val="0"/>
          <w:numId w:val="1013"/>
        </w:numPr>
      </w:pPr>
      <w:r>
        <w:rPr>
          <w:b/>
          <w:bCs/>
        </w:rPr>
        <w:t xml:space="preserve">v4 robustness (cross-source, c-class held at v3 MP5):</w:t>
      </w:r>
      <w:r>
        <w:t xml:space="preserve"> </w:t>
      </w:r>
      <w:r>
        <w:t xml:space="preserve">delta =</w:t>
      </w:r>
      <w:r>
        <w:t xml:space="preserve"> </w:t>
      </w:r>
      <w:r>
        <w:rPr>
          <w:b/>
          <w:bCs/>
        </w:rPr>
        <w:t xml:space="preserve">0.314</w:t>
      </w:r>
      <w:r>
        <w:t xml:space="preserve">, 95% CI [0.014, 0.622]. This row strips R11 chained conditioning by reverting c-class primary to the pre-registered v3 choice while keeping the cross-source pool. The contrast</w:t>
      </w:r>
      <w:r>
        <w:t xml:space="preserve"> </w:t>
      </w:r>
      <w:r>
        <w:rPr>
          <w:rStyle w:val="VerbatimChar"/>
        </w:rPr>
        <w:t xml:space="preserve">δ_v4_mp5 − δ_v3 = −0.009</w:t>
      </w:r>
      <w:r>
        <w:t xml:space="preserve"> </w:t>
      </w:r>
      <w:r>
        <w:t xml:space="preserve">isolates the LLM-source-diversity axis from MR-design re-selection.</w:t>
      </w:r>
    </w:p>
    <w:p>
      <w:pPr>
        <w:pStyle w:val="FirstParagraph"/>
      </w:pPr>
      <w:r>
        <w:rPr>
          <w:b/>
          <w:bCs/>
        </w:rPr>
        <w:t xml:space="preserve">H2 verdict: not met under the pre-registered point-estimate criterion.</w:t>
      </w:r>
      <w:r>
        <w:t xml:space="preserve"> </w:t>
      </w:r>
      <w:r>
        <w:t xml:space="preserve">None of the three delta values crosses the Romano (2006) large-effect threshold 0.474. The two contrasts are reported separately: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Delta-delta</w:t>
            </w:r>
          </w:p>
        </w:tc>
        <w:tc>
          <w:tcPr/>
          <w:p>
            <w:pPr>
              <w:pStyle w:val="Compact"/>
            </w:pPr>
            <w:r>
              <w:t xml:space="preserve">CI</w:t>
            </w:r>
          </w:p>
        </w:tc>
        <w:tc>
          <w:tcPr/>
          <w:p>
            <w:pPr>
              <w:pStyle w:val="Compact"/>
            </w:pPr>
            <w:r>
              <w:t xml:space="preserve">Interpretation</w:t>
            </w:r>
          </w:p>
        </w:tc>
      </w:tr>
      <w:tr>
        <w:tc>
          <w:tcPr/>
          <w:p>
            <w:pPr>
              <w:pStyle w:val="Compact"/>
            </w:pPr>
            <w:r>
              <w:t xml:space="preserve">v3 → v3b (c-class primary MP shift, same-source)</w:t>
            </w:r>
          </w:p>
        </w:tc>
        <w:tc>
          <w:tcPr/>
          <w:p>
            <w:pPr>
              <w:pStyle w:val="Compact"/>
            </w:pPr>
            <w:r>
              <w:t xml:space="preserve">+0.123</w:t>
            </w:r>
          </w:p>
        </w:tc>
        <w:tc>
          <w:tcPr/>
          <w:p>
            <w:pPr>
              <w:pStyle w:val="Compact"/>
            </w:pPr>
            <w:r>
              <w:t xml:space="preserve">(data-driven; not applicable, see §3.4)</w:t>
            </w:r>
          </w:p>
        </w:tc>
        <w:tc>
          <w:tcPr/>
          <w:p>
            <w:pPr>
              <w:pStyle w:val="Compact"/>
            </w:pPr>
            <w:r>
              <w:t xml:space="preserve">Single-class post-hoc; reflects primary-MP sensitivity, not generic MR-design contribution</w:t>
            </w:r>
          </w:p>
        </w:tc>
      </w:tr>
      <w:tr>
        <w:tc>
          <w:tcPr/>
          <w:p>
            <w:pPr>
              <w:pStyle w:val="Compact"/>
            </w:pPr>
            <w:r>
              <w:t xml:space="preserve">v3b → v4 (cross-source, c→MP1, fixed prompt)</w:t>
            </w:r>
          </w:p>
        </w:tc>
        <w:tc>
          <w:tcPr/>
          <w:p>
            <w:pPr>
              <w:pStyle w:val="Compact"/>
            </w:pPr>
            <w:r>
              <w:t xml:space="preserve">−0.007</w:t>
            </w:r>
          </w:p>
        </w:tc>
        <w:tc>
          <w:tcPr/>
          <w:p>
            <w:pPr>
              <w:pStyle w:val="Compact"/>
            </w:pPr>
            <w:r>
              <w:t xml:space="preserve">covers zero</w:t>
            </w:r>
          </w:p>
        </w:tc>
        <w:tc>
          <w:tcPr/>
          <w:p>
            <w:pPr>
              <w:pStyle w:val="Compact"/>
            </w:pPr>
            <w:r>
              <w:t xml:space="preserve">Three LLMs near-identical under prompt-fixed (49.1% stipulated power)</w:t>
            </w:r>
          </w:p>
        </w:tc>
      </w:tr>
      <w:tr>
        <w:tc>
          <w:tcPr/>
          <w:p>
            <w:pPr>
              <w:pStyle w:val="Compact"/>
            </w:pPr>
            <w:r>
              <w:rPr>
                <w:b/>
                <w:bCs/>
              </w:rPr>
              <w:t xml:space="preserve">v3 → v4 (under MP5, cross-source only)</w:t>
            </w:r>
          </w:p>
        </w:tc>
        <w:tc>
          <w:tcPr/>
          <w:p>
            <w:pPr>
              <w:pStyle w:val="Compact"/>
            </w:pPr>
            <w:r>
              <w:rPr>
                <w:b/>
                <w:bCs/>
              </w:rPr>
              <w:t xml:space="preserve">−0.009</w:t>
            </w:r>
          </w:p>
        </w:tc>
        <w:tc>
          <w:tcPr/>
          <w:p>
            <w:pPr>
              <w:pStyle w:val="Compact"/>
            </w:pPr>
            <w:r>
              <w:rPr>
                <w:b/>
                <w:bCs/>
              </w:rPr>
              <w:t xml:space="preserve">covers zero</w:t>
            </w:r>
          </w:p>
        </w:tc>
        <w:tc>
          <w:tcPr/>
          <w:p>
            <w:pPr>
              <w:pStyle w:val="Compact"/>
            </w:pPr>
            <w:r>
              <w:t xml:space="preserve">Robustness against R11. Source-axis change under MP5 reproduces the v3b → v4 micro-shift, supporting the source-diversity null reading across two independent MP conditions.</w:t>
            </w:r>
          </w:p>
        </w:tc>
      </w:tr>
    </w:tbl>
    <w:p>
      <w:pPr>
        <w:pStyle w:val="BodyText"/>
      </w:pPr>
      <w:r>
        <w:t xml:space="preserve">The</w:t>
      </w:r>
      <w:r>
        <w:t xml:space="preserve"> </w:t>
      </w:r>
      <w:r>
        <w:t xml:space="preserve">“v3 → v4 (under MP5)”</w:t>
      </w:r>
      <w:r>
        <w:t xml:space="preserve"> </w:t>
      </w:r>
      <w:r>
        <w:t xml:space="preserve">robustness contrast was added in response to a methodological-asymmetry concern: the −0.007 v3b → v4 contrast inherits R11 chained conditioning (cross-source pool + post-hoc MP1) and so cannot identify which factor is null. Under MP5, c-class is held at the pre-registered choice, so the only difference between this row and v3 (δ = 0.323) is the LLM-source axis. The reproduced ≤ 0.01 shift across two MP conditions supports finding (iii).</w:t>
      </w:r>
    </w:p>
    <w:p>
      <w:pPr>
        <w:pStyle w:val="BodyText"/>
      </w:pPr>
      <w:r>
        <w:t xml:space="preserve">This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v3b → v4 contrast (Δδ = −0.007, CI covers zero): if the true source-diversity effect on δ were as large as 0.474, this design would correctly reject the null in roughly half of replications. The −0.007 null-shift is therefore consistent with a wide range of true source-diversity effects, and we explicitly do not read it as evidence that source diversity is inert. The strong-sense test is deferred to P4.</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w:t>
      </w:r>
      <w:r>
        <w:rPr>
          <w:rStyle w:val="VerbatimChar"/>
        </w:rPr>
        <w:t xml:space="preserve">rq2_cliffs_delta_logit_v4.json</w:t>
      </w:r>
      <w:r>
        <w:t xml:space="preserve"> </w:t>
      </w:r>
      <w:r>
        <w:t xml:space="preserve">records δ_logit = 0.439 = δ_raw, difference 0.000).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v3b post-hoc selection (§3.4) and the zero-mass dominance (§5.2), not from any metric-scale choice. See Appendix D.2 for the full sensitivity analysis.</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(+91.4%)</w:t>
            </w:r>
          </w:p>
        </w:tc>
      </w:tr>
      <w:tr>
        <w:tc>
          <w:tcPr/>
          <w:p>
            <w:pPr>
              <w:pStyle w:val="Compact"/>
            </w:pPr>
            <w:r>
              <w:t xml:space="preserve">d (ML)</w:t>
            </w:r>
          </w:p>
        </w:tc>
        <w:tc>
          <w:tcPr/>
          <w:p>
            <w:pPr>
              <w:pStyle w:val="Compact"/>
            </w:pPr>
            <w:r>
              <w:t xml:space="preserve">0.081</w:t>
            </w:r>
          </w:p>
        </w:tc>
        <w:tc>
          <w:tcPr/>
          <w:p>
            <w:pPr>
              <w:pStyle w:val="Compact"/>
            </w:pPr>
            <w:r>
              <w:t xml:space="preserve">0.112 (+38%)</w:t>
            </w:r>
          </w:p>
        </w:tc>
      </w:tr>
    </w:tbl>
    <w:p>
      <w:pPr>
        <w:pStyle w:val="BodyText"/>
      </w:pPr>
      <w:r>
        <w:t xml:space="preserve">Sign test (within-class aligned mean − cross mean, sign = +):</w:t>
      </w:r>
    </w:p>
    <w:p>
      <w:pPr>
        <w:pStyle w:val="Compact"/>
        <w:numPr>
          <w:ilvl w:val="0"/>
          <w:numId w:val="1014"/>
        </w:numPr>
      </w:pPr>
      <w:r>
        <w:rPr>
          <w:b/>
          <w:bCs/>
        </w:rPr>
        <w:t xml:space="preserve">v3 (primary, pre-registered): 3 / 4 (partial)</w:t>
      </w:r>
      <w:r>
        <w:t xml:space="preserve">.</w:t>
      </w:r>
    </w:p>
    <w:p>
      <w:pPr>
        <w:pStyle w:val="Compact"/>
        <w:numPr>
          <w:ilvl w:val="0"/>
          <w:numId w:val="1014"/>
        </w:numPr>
      </w:pPr>
      <w:r>
        <w:t xml:space="preserve">v3b (exploratory, c→MP1): 4 / 4†.</w:t>
      </w:r>
    </w:p>
    <w:p>
      <w:pPr>
        <w:pStyle w:val="Compact"/>
        <w:numPr>
          <w:ilvl w:val="0"/>
          <w:numId w:val="1014"/>
        </w:numPr>
      </w:pPr>
      <w:r>
        <w:t xml:space="preserve">v4 cross-source: 4 / 4† (under v3b condition).</w:t>
      </w:r>
    </w:p>
    <w:p>
      <w:pPr>
        <w:pStyle w:val="FirstParagraph"/>
      </w:pPr>
      <w:r>
        <w:rPr>
          <w:b/>
          <w:bCs/>
        </w:rPr>
        <w:t xml:space="preserve">H4 primary verdict: partial (3/4) under v3.</w:t>
      </w:r>
      <w:r>
        <w:t xml:space="preserve"> </w:t>
      </w:r>
      <w:r>
        <w:t xml:space="preserve">v3b / v4 4/4† are sensitivity reports inheriting the §3.4 post-hoc selection.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5"/>
        </w:numPr>
      </w:pPr>
      <w:r>
        <w:rPr>
          <w:b/>
          <w:bCs/>
        </w:rPr>
        <w:t xml:space="preserve">PUT (n=12) × MP (k=5): chi^2 = 15.30, p = 0.0041</w:t>
      </w:r>
      <w:r>
        <w:t xml:space="preserve"> </w:t>
      </w:r>
      <w:r>
        <w:t xml:space="preserve">(significant).</w:t>
      </w:r>
    </w:p>
    <w:p>
      <w:pPr>
        <w:pStyle w:val="Compact"/>
        <w:numPr>
          <w:ilvl w:val="0"/>
          <w:numId w:val="1015"/>
        </w:numPr>
      </w:pPr>
      <w:r>
        <w:t xml:space="preserve">MP rank means: 2.92, 2.58, 2.08, 3.08, 4.33.</w:t>
      </w:r>
    </w:p>
    <w:p>
      <w:pPr>
        <w:pStyle w:val="Compact"/>
        <w:numPr>
          <w:ilvl w:val="0"/>
          <w:numId w:val="1015"/>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but caveat: N=3 per class makes this label nominal only)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was pre-registered before pool characteristics were known</w:t>
      </w:r>
      <w:r>
        <w:t xml:space="preserve">; the dense cutoff sweep below shows the verdict is intrinsic to LLM-mutant pools and not a calibration artefact, which is itself a finding worth reporting.</w:t>
      </w:r>
    </w:p>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v3b same-source to v4 cross-source changes Cliff’s δ by only −0.007 (95% CI covers zero); the v4-mp5 robustness contrast holding the c-class primary at the pre-registered MP5 reproduces this null shift (Δδ(v3 → v4-mp5) = −0.009, 95% CI covers zero), strengthening the source-axis null reading by replicating it under an independent MP condition that strips R11 chained conditioning. Cross-source pooling raises mean C1_share from 0.164 to 0.209 (a 27%† relative increase), class-c mean SMS by</w:t>
      </w:r>
      <w:r>
        <w:t xml:space="preserve"> </w:t>
      </w:r>
      <w:r>
        <w:rPr>
          <w:b/>
          <w:bCs/>
        </w:rPr>
        <w:t xml:space="preserve">+91.4%†</w:t>
      </w:r>
      <w:r>
        <w:t xml:space="preserve">, and class-d mean SMS by 38%†.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The v3 → v3b shift of +0.123 attributes to MR design — specifically the c-class primary-MP shift, with the caveats in §3.4 — and the v3b → v4 micro-change attributes to source diversity under prompt-fixed conditions. We report these contrasts separately in §5.3 rather than as a synthetic ratio. The strong-sense source-diversity test, with per-LLM differential prompts (V_persona, V_cot), is deferred to P4. Appendix C.1.1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categorically-unreachable classes (HP, SI, TF; 159 of 292 mutants)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caveat in §3.4. The v3 → v3b shift of +0.123 attributes to MR design reselection (single-class, post-hoc), and the v3b → v4 micro-change of −0.007 attributes to source diversity under a fixed prompt. The two contrasts cannot be merged into a single factor-decomposition ratio; each carries independent caveats and lives on a different axis of the methodology space.</w:t>
      </w:r>
    </w:p>
    <w:bookmarkEnd w:id="47"/>
    <w:bookmarkStart w:id="48" w:name="h4-partial-under-primary-exploratory-44"/>
    <w:p>
      <w:pPr>
        <w:pStyle w:val="Heading3"/>
      </w:pPr>
      <w:r>
        <w:t xml:space="preserve">6.3 H4 — partial under primary, exploratory 4/4</w:t>
      </w:r>
    </w:p>
    <w:p>
      <w:pPr>
        <w:pStyle w:val="FirstParagraph"/>
      </w:pPr>
      <w:r>
        <w:t xml:space="preserve">All four class means are positive in v3, v3b, v4. Inter-class balance improves under cross-source (c +91.4%†, d +38%†), confirming that c / d classes have higher mutant-diversity demand than a / b. Mixed-effects unavailability (Singular) is a sample-size constraint at N = 60 / 12 PUTs, not evidence absence.</w:t>
      </w:r>
      <w:r>
        <w:t xml:space="preserve"> </w:t>
      </w:r>
      <w:r>
        <w:rPr>
          <w:b/>
          <w:bCs/>
        </w:rPr>
        <w:t xml:space="preserve">H4 primary: partial (3/4).</w:t>
      </w:r>
      <w:r>
        <w:t xml:space="preserve"> </w:t>
      </w:r>
      <w:r>
        <w:t xml:space="preserve">v3b / v4 4/4† are sensitivity-only with §3.4 caveats.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detailed cost breakdown in Appendix E.2; estimates based on observed timings during this paper’s 12-PUT campaign) rather than per-pull-request gating, because LLM API latency, cost non-determinism, and air-gap incompatibility together rule out the per-pull-request style. An earlier draft included a GitHub Actions per-PR YAML template; we removed it in revision because it hardcoded the v3b post-hoc selection into adopters’ pipelines.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1"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R11</w:t>
            </w:r>
          </w:p>
        </w:tc>
        <w:tc>
          <w:tcPr/>
          <w:p>
            <w:pPr>
              <w:pStyle w:val="Compact"/>
            </w:pPr>
            <w:r>
              <w:t xml:space="preserve">Selection-on-response chained-conditioning</w:t>
            </w:r>
          </w:p>
        </w:tc>
        <w:tc>
          <w:tcPr/>
          <w:p>
            <w:pPr>
              <w:pStyle w:val="Compact"/>
            </w:pPr>
            <w:r>
              <w:t xml:space="preserve">Internal</w:t>
            </w:r>
          </w:p>
        </w:tc>
        <w:tc>
          <w:tcPr/>
          <w:p>
            <w:pPr>
              <w:pStyle w:val="Compact"/>
            </w:pPr>
            <w:r>
              <w:t xml:space="preserve">All v3b / v4 sign tests downgraded to exploratory; permutation + Bonferroni × 5</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in P4</w:t>
            </w:r>
          </w:p>
        </w:tc>
        <w:tc>
          <w:tcPr/>
          <w:p>
            <w:pPr>
              <w:pStyle w:val="Compact"/>
            </w:pPr>
            <w:r>
              <w:t xml:space="preserve">Appendix F.2</w:t>
            </w:r>
          </w:p>
        </w:tc>
      </w:tr>
      <w:tr>
        <w:tc>
          <w:tcPr/>
          <w:p>
            <w:pPr>
              <w:pStyle w:val="Compact"/>
            </w:pPr>
            <w:r>
              <w:t xml:space="preserve">R13</w:t>
            </w:r>
          </w:p>
        </w:tc>
        <w:tc>
          <w:tcPr/>
          <w:p>
            <w:pPr>
              <w:pStyle w:val="Compact"/>
            </w:pPr>
            <w:r>
              <w:t xml:space="preserve">v3 / v3b vs v4 protocol asymmetry</w:t>
            </w:r>
          </w:p>
        </w:tc>
        <w:tc>
          <w:tcPr/>
          <w:p>
            <w:pPr>
              <w:pStyle w:val="Compact"/>
            </w:pPr>
            <w:r>
              <w:t xml:space="preserve">Internal</w:t>
            </w:r>
          </w:p>
        </w:tc>
        <w:tc>
          <w:tcPr/>
          <w:p>
            <w:pPr>
              <w:pStyle w:val="Compact"/>
            </w:pPr>
            <w:r>
              <w:t xml:space="preserve">Quality not down (C1_share 0.164 → 0.209); P4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6"/>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6"/>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6"/>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6"/>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6"/>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6"/>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6"/>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6"/>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p>
      <w:r>
        <w:pict>
          <v:rect style="width:0;height:1.5pt" o:hralign="center" o:hrstd="t" o:hr="t"/>
        </w:pict>
      </w:r>
    </w:p>
    <w:bookmarkEnd w:id="51"/>
    <w:bookmarkStart w:id="55" w:name="conclusion"/>
    <w:p>
      <w:pPr>
        <w:pStyle w:val="Heading2"/>
      </w:pPr>
      <w:r>
        <w:t xml:space="preserve">8. Conclusion</w:t>
      </w:r>
    </w:p>
    <w:bookmarkStart w:id="52" w:name="findings-summary"/>
    <w:p>
      <w:pPr>
        <w:pStyle w:val="Heading3"/>
      </w:pPr>
      <w:r>
        <w:t xml:space="preserve">8.1 Findings summary</w:t>
      </w:r>
    </w:p>
    <w:p>
      <w:pPr>
        <w:pStyle w:val="FirstParagraph"/>
      </w:pPr>
      <w:r>
        <w:t xml:space="preserve">The 60-cell empirical demonstration produces six findings.</w:t>
      </w:r>
    </w:p>
    <w:p>
      <w:pPr>
        <w:numPr>
          <w:ilvl w:val="0"/>
          <w:numId w:val="1017"/>
        </w:numPr>
      </w:pPr>
      <w:r>
        <w:t xml:space="preserve">The H2 large-effect threshold is</w:t>
      </w:r>
      <w:r>
        <w:t xml:space="preserve"> </w:t>
      </w:r>
      <w:r>
        <w:rPr>
          <w:b/>
          <w:bCs/>
        </w:rPr>
        <w:t xml:space="preserve">not met under the pre-registered point-estimate criterion</w:t>
      </w:r>
      <w:r>
        <w:t xml:space="preserve"> </w:t>
      </w:r>
      <w:r>
        <w:t xml:space="preserve">(δ = 0.323 in primary v3); the 49.1% stipulated power at the boundary clarifies that</w:t>
      </w:r>
      <w:r>
        <w:t xml:space="preserve"> </w:t>
      </w:r>
      <w:r>
        <w:t xml:space="preserve">“not met”</w:t>
      </w:r>
      <w:r>
        <w:t xml:space="preserve"> </w:t>
      </w:r>
      <w:r>
        <w:t xml:space="preserve">is a statement about the point estimate, not the effect size.</w:t>
      </w:r>
    </w:p>
    <w:p>
      <w:pPr>
        <w:numPr>
          <w:ilvl w:val="0"/>
          <w:numId w:val="1017"/>
        </w:numPr>
      </w:pPr>
      <w:r>
        <w:t xml:space="preserve">Under an identical prompt, three-LLM cross-source diversity does not move δ (Δδ = −0.007, 95% CI covers zero).</w:t>
      </w:r>
    </w:p>
    <w:p>
      <w:pPr>
        <w:numPr>
          <w:ilvl w:val="0"/>
          <w:numId w:val="1017"/>
        </w:numPr>
      </w:pPr>
      <w:r>
        <w:t xml:space="preserve">Across two c-class primary-MP conditions (MP5 and MP1), the LLM-source axis shifts Cliff’s δ by ≤ 0.01 in magnitude (v3 → v4_mp5 = −0.009; v3b → v4 = −0.007), whereas the MR-design axis (MP5 ↔ MP1) shifts δ by approximately +0.12. Within this design, the c-class primary-MP choice, not LLM identity under an identical prompt, is the lever on the aligned-vs-cross effect size. A strong-sense source-diversity test with per-LLM differential prompts is deferred to P4.</w:t>
      </w:r>
    </w:p>
    <w:p>
      <w:pPr>
        <w:numPr>
          <w:ilvl w:val="0"/>
          <w:numId w:val="1017"/>
        </w:numPr>
      </w:pPr>
      <w:r>
        <w:t xml:space="preserve">Cross-source pooling raises mutant</w:t>
      </w:r>
      <w:r>
        <w:t xml:space="preserve"> </w:t>
      </w:r>
      <w:r>
        <w:rPr>
          <w:i/>
          <w:iCs/>
        </w:rPr>
        <w:t xml:space="preserve">quality</w:t>
      </w:r>
      <w:r>
        <w:t xml:space="preserve"> </w:t>
      </w:r>
      <w:r>
        <w:t xml:space="preserve">(mean C1_share +27%, class-c mean SMS +91.4%†) without raising the effect size. († class-c +91.4% is conditional on the §3.4 v3b MP1 selection; permutation null one-sided p = 0.9885.)</w:t>
      </w:r>
    </w:p>
    <w:p>
      <w:pPr>
        <w:numPr>
          <w:ilvl w:val="0"/>
          <w:numId w:val="1017"/>
        </w:numPr>
      </w:pPr>
      <w:r>
        <w:t xml:space="preserve">The Friedman main effect on MP differentiation is χ² = 15.30, p = 0.0041.</w:t>
      </w:r>
    </w:p>
    <w:p>
      <w:pPr>
        <w:numPr>
          <w:ilvl w:val="0"/>
          <w:numId w:val="1017"/>
        </w:numPr>
      </w:pPr>
      <w:r>
        <w:t xml:space="preserve">The Spearman correlation between SMS and Pattern Coverage is 0.163 at n = 12. Orthogonality is a hypothesis, not a finding.</w:t>
      </w:r>
    </w:p>
    <w:bookmarkEnd w:id="52"/>
    <w:bookmarkStart w:id="53"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8"/>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8"/>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8"/>
        </w:numPr>
      </w:pPr>
      <w:r>
        <w:rPr>
          <w:b/>
          <w:bCs/>
        </w:rPr>
        <w:t xml:space="preserve">Layer 3 (§3.5).</w:t>
      </w:r>
      <w:r>
        <w:t xml:space="preserve"> </w:t>
      </w:r>
      <w:r>
        <w:t xml:space="preserve">AST-normalised empirical traceability across all 12 PUTs: a 5.14% overall AST overlap with cosmic-ray defaults, and HP, SI, and TF categorically unreachable at 0/0/0.</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3"/>
    <w:bookmarkStart w:id="54" w:name="future-work-and-p-series-roadmap"/>
    <w:p>
      <w:pPr>
        <w:pStyle w:val="Heading3"/>
      </w:pPr>
      <w:r>
        <w:t xml:space="preserve">8.3 Future work and P-series roadmap</w:t>
      </w:r>
    </w:p>
    <w:p>
      <w:pPr>
        <w:pStyle w:val="FirstParagraph"/>
      </w:pPr>
      <w:r>
        <w:t xml:space="preserve">We commit six P4 follow-ups.</w:t>
      </w:r>
    </w:p>
    <w:p>
      <w:pPr>
        <w:numPr>
          <w:ilvl w:val="0"/>
          <w:numId w:val="1019"/>
        </w:numPr>
      </w:pPr>
      <w:r>
        <w:t xml:space="preserve">A pre-registered c-class primary-MP rule on a fresh dataset.</w:t>
      </w:r>
    </w:p>
    <w:p>
      <w:pPr>
        <w:numPr>
          <w:ilvl w:val="0"/>
          <w:numId w:val="1019"/>
        </w:numPr>
      </w:pPr>
      <w:r>
        <w:t xml:space="preserve">A differential-prompt LLM-diversity test using V_canonical, V_persona, and V_cot (full protocol in Appendix C.1.1).</w:t>
      </w:r>
    </w:p>
    <w:p>
      <w:pPr>
        <w:numPr>
          <w:ilvl w:val="0"/>
          <w:numId w:val="1019"/>
        </w:numPr>
      </w:pPr>
      <w:r>
        <w:t xml:space="preserve">A scaling study at n ≥ 30 PUTs for SMS-vs-Pattern-Coverage orthogonality and for HOM-equivalence empirics.</w:t>
      </w:r>
    </w:p>
    <w:p>
      <w:pPr>
        <w:numPr>
          <w:ilvl w:val="0"/>
          <w:numId w:val="1019"/>
        </w:numPr>
      </w:pPr>
      <w:r>
        <w:t xml:space="preserve">A rerun of the dual-blind reviewer protocol on the full v4 grid, to separate protocol asymmetry (R13) from source diversity.</w:t>
      </w:r>
    </w:p>
    <w:p>
      <w:pPr>
        <w:numPr>
          <w:ilvl w:val="0"/>
          <w:numId w:val="1019"/>
        </w:numPr>
      </w:pPr>
      <w:r>
        <w:t xml:space="preserve">Cross-language portability work (Python → JavaScript and Julia) building on Tip, Bell, and Schäfer (2024).</w:t>
      </w:r>
    </w:p>
    <w:p>
      <w:pPr>
        <w:numPr>
          <w:ilvl w:val="0"/>
          <w:numId w:val="1019"/>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20"/>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20"/>
        </w:numPr>
      </w:pPr>
      <w:r>
        <w:rPr>
          <w:b/>
          <w:bCs/>
        </w:rPr>
        <w:t xml:space="preserve">P3.</w:t>
      </w:r>
      <w:r>
        <w:t xml:space="preserve"> </w:t>
      </w:r>
      <w:r>
        <w:t xml:space="preserve">Industrial-scale Java and C++ port with a second-rater inter-rater κ for LRCA.</w:t>
      </w:r>
    </w:p>
    <w:p>
      <w:pPr>
        <w:pStyle w:val="Compact"/>
        <w:numPr>
          <w:ilvl w:val="0"/>
          <w:numId w:val="1020"/>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20"/>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4"/>
    <w:bookmarkEnd w:id="55"/>
    <w:bookmarkStart w:id="56" w:name="data-and-code-availability"/>
    <w:p>
      <w:pPr>
        <w:pStyle w:val="Heading2"/>
      </w:pPr>
      <w:r>
        <w:t xml:space="preserve">Data and code availability</w:t>
      </w:r>
    </w:p>
    <w:p>
      <w:pPr>
        <w:pStyle w:val="FirstParagraph"/>
      </w:pPr>
      <w:r>
        <w:t xml:space="preserve">All raw data, JSON SSOTs (paper_numbers_v3 / v3b / v4 / v4-mp5, lrca_60cell, c_class_permutation, rq2_power_stipulated, cosmic_ray_12put_ast_diff), mutant pools, AVP source, and analysis scripts will be archived on Zenodo at the time of acceptance under DOI [10.5281/zenodo.XXXXXXX] (placeholder, to be minted on acceptance). The repository structure follows</w:t>
      </w:r>
      <w:r>
        <w:t xml:space="preserve"> </w:t>
      </w:r>
      <w:r>
        <w:rPr>
          <w:rStyle w:val="VerbatimChar"/>
        </w:rPr>
        <w:t xml:space="preserve">REPRODUCIBILITY.md</w:t>
      </w:r>
      <w:r>
        <w:t xml:space="preserve"> </w:t>
      </w:r>
      <w:r>
        <w:t xml:space="preserve">in the source tree. The cosmic-ray and mutmut operator versions referenced in §3.5, §3.6, and Appendix B.6 are pinned in</w:t>
      </w:r>
      <w:r>
        <w:t xml:space="preserve"> </w:t>
      </w:r>
      <w:r>
        <w:rPr>
          <w:rStyle w:val="VerbatimChar"/>
        </w:rPr>
        <w:t xml:space="preserve">requirements-frozen.txt</w:t>
      </w:r>
      <w:r>
        <w:t xml:space="preserve">.</w:t>
      </w:r>
    </w:p>
    <w:p>
      <w:r>
        <w:pict>
          <v:rect style="width:0;height:1.5pt" o:hralign="center" o:hrstd="t" o:hr="t"/>
        </w:pict>
      </w:r>
    </w:p>
    <w:bookmarkEnd w:id="56"/>
    <w:bookmarkStart w:id="57"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2026-05-02T15:40:34Z</dcterms:created>
  <dcterms:modified xsi:type="dcterms:W3CDTF">2026-05-02T15:40:34Z</dcterms:modified>
</cp:coreProperties>
</file>

<file path=docProps/custom.xml><?xml version="1.0" encoding="utf-8"?>
<Properties xmlns="http://schemas.openxmlformats.org/officeDocument/2006/custom-properties" xmlns:vt="http://schemas.openxmlformats.org/officeDocument/2006/docPropsVTypes"/>
</file>