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84f2d16814eeace9634f2a4ed9b7c9e1ec0f825"/>
    <w:p>
      <w:pPr>
        <w:pStyle w:val="Heading1"/>
      </w:pPr>
      <w:r>
        <w:t xml:space="preserve">A semantic mutation metric for metamorphic relation adequacy in scientific computing programs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categorically unreachable by first-order syntactic tools.</w:t>
      </w:r>
    </w:p>
    <w:p>
      <w:pPr>
        <w:pStyle w:val="Compact"/>
        <w:numPr>
          <w:ilvl w:val="0"/>
          <w:numId w:val="1001"/>
        </w:numPr>
      </w:pPr>
      <w:r>
        <w:t xml:space="preserve">Primary v3 Cliff’s delta = 0.323 (H2 large-effect threshold not met); cross-source pooling shifts delta by ≤ 0.01 across two MP conditions (v3 → v4-mp5 = −0.009; v3b → v4 = −0.007).</w:t>
      </w:r>
    </w:p>
    <w:p>
      <w:pPr>
        <w:pStyle w:val="Compact"/>
        <w:numPr>
          <w:ilvl w:val="0"/>
          <w:numId w:val="1001"/>
        </w:numPr>
      </w:pPr>
      <w:r>
        <w:t xml:space="preserve">Stipulated-alternative power at the H2 boundary is 49.1%, so the</w:t>
      </w:r>
      <w:r>
        <w:t xml:space="preserve"> </w:t>
      </w:r>
      <w:r>
        <w:t xml:space="preserve">“not met”</w:t>
      </w:r>
      <w:r>
        <w:t xml:space="preserve"> </w:t>
      </w:r>
      <w:r>
        <w:t xml:space="preserve">verdict is a statement about the point estimate, not about the effect size.</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(MT) addresses the test-oracle problem in scientific computing, but the classical Mutation Score (MS) is defined over syntactic Abstract Syntax Tree (AST) mutations and so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 Conservation Erosion, Operator Substitution, Hyperparameter, Trajectory Flip, and Structural Injection. SMS degenerates almost everywhere to MS in a characterised limit, so any SMS-based conclusion remains consistent with prior mutation-testing literature in the classical regime.</w:t>
      </w:r>
    </w:p>
    <w:p>
      <w:pPr>
        <w:pStyle w:val="BodyText"/>
      </w:pPr>
      <w:r>
        <w:rPr>
          <w:b/>
          <w:bCs/>
        </w:rPr>
        <w:t xml:space="preserve">Method.</w:t>
      </w:r>
      <w:r>
        <w:t xml:space="preserve"> </w:t>
      </w:r>
      <w:r>
        <w:t xml:space="preserve">We instantiate a 12 × 5 matrix of Programs Under Test (PUTs) and meta-patterns (MPs), giving 60 cells with a mean of 24.3 mutants per PUT and N = 20 Automated Verification Pipeline (AVP) repetitions. The PUTs span four single-output</w:t>
      </w:r>
      <w:r>
        <w:t xml:space="preserve"> </w:t>
      </w:r>
      <w:r>
        <w:rPr>
          <w:rStyle w:val="VerbatimChar"/>
        </w:rPr>
        <w:t xml:space="preserve">float → float</w:t>
      </w:r>
      <w:r>
        <w:t xml:space="preserve"> </w:t>
      </w:r>
      <w:r>
        <w:t xml:space="preserve">classes (numeric, probabilistic, surrogate, machine learning; each under 2 KB). A three-layer Layered Root-Cause Analysis (LRCA) classifier separates true semantic faults from tolerance perturbation, out-of-distribution trips, statistical-assumption violation, and mutator artefacts. A three-stage ablation — v3 same-source, v3b data-driven primary MP, v4 cross-source over Claude, GPT, and DeepSeek under an identical prompt — isolates the contribution of metamorphic-relation (MR) design from that of Large Language Model (LLM) source diversity. We compare the 292 v4 mutants against 1,250 cosmic-ray syntactic mutants at the AST-normalised level.</w:t>
      </w:r>
    </w:p>
    <w:p>
      <w:pPr>
        <w:pStyle w:val="BodyText"/>
      </w:pPr>
      <w:r>
        <w:rPr>
          <w:b/>
          <w:bCs/>
        </w:rPr>
        <w:t xml:space="preserve">Results.</w:t>
      </w:r>
      <w:r>
        <w:t xml:space="preserve"> </w:t>
      </w:r>
      <w:r>
        <w:rPr>
          <w:i/>
          <w:iCs/>
        </w:rPr>
        <w:t xml:space="preserve">Primary verdict (v3, pre-registered).</w:t>
      </w:r>
      <w:r>
        <w:t xml:space="preserve"> </w:t>
      </w:r>
      <w:r>
        <w:t xml:space="preserve">The H2 large-effect threshold (Cliff’s δ ≥ 0.474, Romano 2006) is</w:t>
      </w:r>
      <w:r>
        <w:t xml:space="preserve"> </w:t>
      </w:r>
      <w:r>
        <w:rPr>
          <w:b/>
          <w:bCs/>
        </w:rPr>
        <w:t xml:space="preserve">not met under the point-estimate criterion</w:t>
      </w:r>
      <w:r>
        <w:t xml:space="preserve">: v3 δ = 0.323 (95% CI [0.017, 0.622]). Stipulated-alternative power at δ_truth = 0.474 is</w:t>
      </w:r>
      <w:r>
        <w:t xml:space="preserve"> </w:t>
      </w:r>
      <w:r>
        <w:rPr>
          <w:b/>
          <w:bCs/>
        </w:rPr>
        <w:t xml:space="preserve">49.1%</w:t>
      </w:r>
      <w:r>
        <w:t xml:space="preserve">, so</w:t>
      </w:r>
      <w:r>
        <w:t xml:space="preserve"> </w:t>
      </w:r>
      <w:r>
        <w:t xml:space="preserve">“not met”</w:t>
      </w:r>
      <w:r>
        <w:t xml:space="preserve"> </w:t>
      </w:r>
      <w:r>
        <w:t xml:space="preserve">describes the point estimate, not the underlying effect size.</w:t>
      </w:r>
      <w:r>
        <w:t xml:space="preserve"> </w:t>
      </w:r>
      <w:r>
        <w:rPr>
          <w:i/>
          <w:iCs/>
        </w:rPr>
        <w:t xml:space="preserve">Robustness (v4-mp5, strips R11).</w:t>
      </w:r>
      <w:r>
        <w:t xml:space="preserve"> </w:t>
      </w:r>
      <w:r>
        <w:t xml:space="preserve">Holding the c-class primary at the pre-registered MP5 while pooling across LLM sources gives δ_v4-mp5 = 0.314 (95% CI [0.014, 0.622]); the contrast against v3 is Δδ = −0.009 (LLM-source axis under MP5).</w:t>
      </w:r>
      <w:r>
        <w:t xml:space="preserve"> </w:t>
      </w:r>
      <w:r>
        <w:rPr>
          <w:i/>
          <w:iCs/>
        </w:rPr>
        <w:t xml:space="preserve">Exploratory (v3b / v4, post-hoc selection).</w:t>
      </w:r>
      <w:r>
        <w:t xml:space="preserve"> </w:t>
      </w:r>
      <w:r>
        <w:t xml:space="preserve">v3b reaches 0.446† (data-driven c-class primary MP, same source); v4 reaches 0.439† (cross-source, MP1); Δδ(v3b → v4) = −0.007. Across both MP conditions the cross-source axis shifts δ by ≤ 0.01 in magnitude, while the MR-design axis (MP5 ↔ MP1) shifts δ by approximately +0.12.</w:t>
      </w:r>
      <w:r>
        <w:t xml:space="preserve"> </w:t>
      </w:r>
      <w:r>
        <w:rPr>
          <w:i/>
          <w:iCs/>
        </w:rPr>
        <w:t xml:space="preserve">Other.</w:t>
      </w:r>
      <w:r>
        <w:t xml:space="preserve"> </w:t>
      </w:r>
      <w:r>
        <w:t xml:space="preserve">Cross-source pooling raises mean C1_share from 0.164 to 0.209 and class-c SMS by +91.4%† without moving δ. Friedman χ² = 15.30, p = 0.0041. AST overlap with cosmic-ray is</w:t>
      </w:r>
      <w:r>
        <w:t xml:space="preserve"> </w:t>
      </w:r>
      <w:r>
        <w:rPr>
          <w:b/>
          <w:bCs/>
        </w:rPr>
        <w:t xml:space="preserve">5.14%</w:t>
      </w:r>
      <w:r>
        <w:t xml:space="preserve">; the Hyperparameter, Structural Injection, and Trajectory Flip classes (159 of 292 mutants) are categorically unreachable by</w:t>
      </w:r>
      <w:r>
        <w:t xml:space="preserve"> </w:t>
      </w:r>
      <w:r>
        <w:rPr>
          <w:b/>
          <w:bCs/>
        </w:rPr>
        <w:t xml:space="preserve">first-order</w:t>
      </w:r>
      <w:r>
        <w:t xml:space="preserve"> </w:t>
      </w:r>
      <w:r>
        <w:t xml:space="preserve">syntactic tools (0/0/0). († v3b/v4-derived numbers depend on the §3.4 post-hoc c-class primary-MP shift; permutation null one-sided p = 0.9885.)</w:t>
      </w:r>
    </w:p>
    <w:p>
      <w:pPr>
        <w:pStyle w:val="BodyText"/>
      </w:pPr>
      <w:r>
        <w:rPr>
          <w:b/>
          <w:bCs/>
        </w:rPr>
        <w:t xml:space="preserve">Conclusion.</w:t>
      </w:r>
      <w:r>
        <w:t xml:space="preserve"> </w:t>
      </w:r>
      <w:r>
        <w:t xml:space="preserve">Within this design, the MR-design axis (c-class primary-MP choice) is the lever on the aligned-vs-cross effect size; the LLM-identity axis (Claude / GPT / DeepSeek under an identical prompt) shifts δ by ≤ 0.01 across two MP conditions. The strong-sense source-diversity test with per-LLM differential prompts is deferred to P4. The §3.5 evidence (5.14% AST overlap, 0/0/0 unreachability for HP / SI / TF under first-order syntactic tools) is independent of this caveat. SMS is a backward-compatible adequacy metric for domain-semantic MR sets.</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While</w:t>
      </w:r>
      <w:r>
        <w:t xml:space="preserve"> </w:t>
      </w:r>
      <w:r>
        <w:rPr>
          <w:i/>
          <w:iCs/>
        </w:rPr>
        <w:t xml:space="preserve">semantic mutation testing</w:t>
      </w:r>
      <w:r>
        <w:t xml:space="preserve"> </w:t>
      </w:r>
      <w:r>
        <w:t xml:space="preserve">has been named since Clark, Dan, and Hierons (2010) and tooled for C (Dan and Hierons 2012) and for UML state-machine behaviour (Derezińska and Zaremba 2019), and while MR-adjacent data-semantic mutation (Sun et al. 2016, 2023; Zhu et al. 2020; Chan and Keung 2024) and recent LLM semantic-invariance MT (Curtò and Zarzà 2025) extend the mutation target to test data, relations, and task-level semantics, the adequacy of an MR set against</w:t>
      </w:r>
      <w:r>
        <w:t xml:space="preserve"> </w:t>
      </w:r>
      <w:r>
        <w:rPr>
          <w:i/>
          <w:iCs/>
        </w:rPr>
        <w:t xml:space="preserve">domain-specific code-level faults</w:t>
      </w:r>
      <w:r>
        <w:t xml:space="preserve"> </w:t>
      </w:r>
      <w:r>
        <w:t xml:space="preserve">— conservation laws, monotonicity, convergence order, trajectory shape, fidelity ordering — has lacked a backward-compatible metric tied to the classical Mutation Score (MS) lineage. Jia and Harman’s (2011) MS is defined over syntactic Abstract Syntax Tree (AST) mutations and does not capture these domain semantics. Recent Large Language Model (LLM) generated mutants (Tip, Bell, and Schäfer 2024; Humbatova, Jahangirova, and Tonella 2021) do produce semantically richer mutants, but do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rPr>
          <w:b/>
          <w:bCs/>
        </w:rPr>
        <w:t xml:space="preserve">(iv) Semantic mutation operators across testing communities.</w:t>
      </w:r>
      <w:r>
        <w:t xml:space="preserve"> </w:t>
      </w:r>
      <w:r>
        <w:t xml:space="preserve">Semantic mutation as a research line is older than the LLM-mutant lineage. Clark, Dan, and Hierons (2010) introduce</w:t>
      </w:r>
      <w:r>
        <w:t xml:space="preserve"> </w:t>
      </w:r>
      <w:r>
        <w:rPr>
          <w:i/>
          <w:iCs/>
        </w:rPr>
        <w:t xml:space="preserve">semantic mutation testing</w:t>
      </w:r>
      <w:r>
        <w:t xml:space="preserve"> </w:t>
      </w:r>
      <w:r>
        <w:t xml:space="preserve">as a path distinct from syntactic mutation; Dan and Hierons (2012) tool the approach for C; Derezińska and Zaremba (2019) apply</w:t>
      </w:r>
      <w:r>
        <w:t xml:space="preserve"> </w:t>
      </w:r>
      <w:r>
        <w:rPr>
          <w:i/>
          <w:iCs/>
        </w:rPr>
        <w:t xml:space="preserve">semantic mutation operators</w:t>
      </w:r>
      <w:r>
        <w:t xml:space="preserve"> </w:t>
      </w:r>
      <w:r>
        <w:t xml:space="preserve">to UML state-machine behaviour by perturbing semantic-variation-point interpretations rather than syntactic structure. Within MT specifically, Sun et al. (2016, 2023) propose</w:t>
      </w:r>
      <w:r>
        <w:t xml:space="preserve"> </w:t>
      </w:r>
      <w:r>
        <w:rPr>
          <w:i/>
          <w:iCs/>
        </w:rPr>
        <w:t xml:space="preserve">data mutation operators</w:t>
      </w:r>
      <w:r>
        <w:t xml:space="preserve"> </w:t>
      </w:r>
      <w:r>
        <w:t xml:space="preserve">and the μMT methodology to drive MR acquisition through controlled data-semantic perturbation; Zhu et al. (2020) formalise</w:t>
      </w:r>
      <w:r>
        <w:t xml:space="preserve"> </w:t>
      </w:r>
      <w:r>
        <w:rPr>
          <w:i/>
          <w:iCs/>
        </w:rPr>
        <w:t xml:space="preserve">datamorphic testing</w:t>
      </w:r>
      <w:r>
        <w:t xml:space="preserve">, separating datamorphisms (test-case-to-test-case mappings) from metamorphisms (test-case-to-Boolean mappings) over data semantics; Chan and Keung (2024) extend generic data mutation operators to unsupervised software-defect-prediction validation. Most recently, Curtò and Zarzà (2025) formalise</w:t>
      </w:r>
      <w:r>
        <w:t xml:space="preserve"> </w:t>
      </w:r>
      <w:r>
        <w:rPr>
          <w:i/>
          <w:iCs/>
        </w:rPr>
        <w:t xml:space="preserve">semantic invariance</w:t>
      </w:r>
      <w:r>
        <w:t xml:space="preserve"> </w:t>
      </w:r>
      <w:r>
        <w:t xml:space="preserve">in LLM MT under paraphrase, fact-reorder, expand/contract, and context-shift transformations. These works establish that mutation can target data, relation, task, and behavioural semantics.</w:t>
      </w:r>
      <w:r>
        <w:t xml:space="preserve"> </w:t>
      </w:r>
      <w:r>
        <w:rPr>
          <w:b/>
          <w:bCs/>
        </w:rPr>
        <w:t xml:space="preserve">The contribution of this paper is the first to formalise a domain-specific Semantic Mutation Score (SMS) for MR adequacy in scientific computing kernels, with a proven backward-compatible reduction to classical MS (Theorem 9.1) and a code-level operator framework (Conservation Erosion, Operator Substitution, Hyperparameter, Trajectory Flip, Structural Injection) targeting kernel-specific faults.</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   (disjoint)</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X24b3732a3f3759e08f2664211d75b0d094ce5ac"/>
    <w:p>
      <w:pPr>
        <w:pStyle w:val="Heading3"/>
      </w:pPr>
      <w:r>
        <w:t xml:space="preserve">3.4 Engineering significance — c-class primary MP caveat</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 One methodological honesty point belongs in the main body and cannot be deferred to the appendix.</w:t>
      </w:r>
    </w:p>
    <w:p>
      <w:pPr>
        <w:pStyle w:val="BodyText"/>
      </w:pPr>
      <w:r>
        <w:rPr>
          <w:b/>
          <w:bCs/>
        </w:rPr>
        <w:t xml:space="preserve">Pre-registered v3 (primary).</w:t>
      </w:r>
      <w:r>
        <w:t xml:space="preserve"> </w:t>
      </w:r>
      <w:r>
        <w:t xml:space="preserve">The c-class primary MP follows the P1 specification (MP5). All H1, H2, H4, and H5 verdicts in this paper are rendered on v3.</w:t>
      </w:r>
    </w:p>
    <w:p>
      <w:pPr>
        <w:pStyle w:val="BodyText"/>
      </w:pPr>
      <w:r>
        <w:rPr>
          <w:b/>
          <w:bCs/>
        </w:rPr>
        <w:t xml:space="preserve">Exploratory v3b (post-hoc).</w:t>
      </w:r>
      <w:r>
        <w:t xml:space="preserve"> </w:t>
      </w:r>
      <w:r>
        <w:t xml:space="preserve">After observing the v3 data, the per-class Friedman test in §5.5 shows χ² = 4.00 and p = 0.406 for the c-class — no significant MP differentiation. On this non-significance basis we shift the c-class primary to the argmax-mean-SMS choice, which is MP1 (data:</w:t>
      </w:r>
      <w:r>
        <w:t xml:space="preserve"> </w:t>
      </w:r>
      <w:r>
        <w:rPr>
          <w:rStyle w:val="VerbatimChar"/>
        </w:rPr>
        <w:t xml:space="preserve">c_class_mp_ranking.json</w:t>
      </w:r>
      <w:r>
        <w:t xml:space="preserve">). This is</w:t>
      </w:r>
      <w:r>
        <w:t xml:space="preserve"> </w:t>
      </w:r>
      <w:r>
        <w:rPr>
          <w:b/>
          <w:bCs/>
        </w:rPr>
        <w:t xml:space="preserve">selection on the response</w:t>
      </w:r>
      <w:r>
        <w:t xml:space="preserve">: it inflates the H4 sign test from 3/4 to 4/4 and Cliff’s δ from 0.323 to 0.446 without applying a max-statistic correction. A permutation null over fully exchangeable c-class (PUT, MP) cell SMS values (10,000 permutations) gives one-sided p = 0.9885 and a Bonferroni-bounded effective α of 0.01 (</w:t>
      </w:r>
      <w:r>
        <w:rPr>
          <w:rStyle w:val="VerbatimChar"/>
        </w:rPr>
        <w:t xml:space="preserve">c_class_permutation_v4.json</w:t>
      </w:r>
      <w:r>
        <w:t xml:space="preserve">). All v3b and v4 results are reported as exploratory; the H4 and H2 primary verdicts rest on v3. P4 will pre-register the c-class primary-MP rule on a fresh dataset.</w:t>
      </w:r>
    </w:p>
    <w:p>
      <w:pPr>
        <w:pStyle w:val="BodyText"/>
      </w:pPr>
      <w:r>
        <w:rPr>
          <w:b/>
          <w:bCs/>
        </w:rPr>
        <w:t xml:space="preserve">Symbol convention.</w:t>
      </w:r>
      <w:r>
        <w:t xml:space="preserve"> </w:t>
      </w:r>
      <w:r>
        <w:t xml:space="preserve">Throughout the paper, a dagger (†) on a numeric quantity (δ, SMS percentage, sign-test count) flags that the number is derived under the v3b post-hoc c-class primary-MP shift (MP5 → MP1) and inherits the permutation-null one-sided p = 0.9885 caveat above. Numbers without † stand on the v3 pre-registered configuration.</w:t>
      </w:r>
    </w:p>
    <w:p>
      <w:pPr>
        <w:pStyle w:val="BodyText"/>
      </w:pPr>
      <w:r>
        <w:rPr>
          <w:b/>
          <w:bCs/>
        </w:rPr>
        <w:t xml:space="preserve">Naming convention.</w:t>
      </w:r>
      <w:r>
        <w:t xml:space="preserve"> </w:t>
      </w:r>
      <w:r>
        <w:t xml:space="preserve">For brevity, we write</w:t>
      </w:r>
      <w:r>
        <w:t xml:space="preserve"> </w:t>
      </w:r>
      <w:r>
        <w:rPr>
          <w:rStyle w:val="VerbatimChar"/>
        </w:rPr>
        <w:t xml:space="preserve">v4-mp1</w:t>
      </w:r>
      <w:r>
        <w:t xml:space="preserve"> </w:t>
      </w:r>
      <w:r>
        <w:t xml:space="preserve">for the v4 cross-source pool with the v3b post-hoc c-class primary MP1 (Round-3 default; the version reaching δ = 0.439†) and</w:t>
      </w:r>
      <w:r>
        <w:t xml:space="preserve"> </w:t>
      </w:r>
      <w:r>
        <w:rPr>
          <w:rStyle w:val="VerbatimChar"/>
        </w:rPr>
        <w:t xml:space="preserve">v4-mp5</w:t>
      </w:r>
      <w:r>
        <w:t xml:space="preserve"> </w:t>
      </w:r>
      <w:r>
        <w:t xml:space="preserve">for the v4 cross-source pool holding the c-class primary at the pre-registered MP5 (Round-3 robustness contrast; the version reaching δ = 0.314). Both share the same v4 mutant pool; only the c-class primary-MP convention differs.</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categorically</w:t>
      </w:r>
      <w:r>
        <w:t xml:space="preserve"> </w:t>
      </w:r>
      <w:r>
        <w:t xml:space="preserve">unrepresentable by cosmic-ray AST-local operators such as BinOp, Compare, and NumberReplacer. The unreachability is structural; enlarging the syntactic operator set does not help.</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rPr>
          <w:b/>
          <w:bCs/>
        </w:rPr>
        <w:t xml:space="preserve">Scope of the claim.</w:t>
      </w:r>
      <w:r>
        <w:t xml:space="preserve"> </w:t>
      </w:r>
      <w:r>
        <w:t xml:space="preserve">The preventive-defence claim below is conditional on a first-order syntactic baseline; HOM-based syntactic compositions are an open question (R12) and are not refuted by the §3.5 evidence.</w:t>
      </w:r>
    </w:p>
    <w:p>
      <w:pPr>
        <w:pStyle w:val="BodyText"/>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categorically beyond the reach of first-order syntactic tools.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 A multi-syntactic-tool cross-comparison (mutmut and mutpy) is reserved for P4: mutpy is incompatible with Python 3.10+, and mutmut’s operator set strongly overlaps cosmic-ray’s. The full operator-class cross-reference between cosmic-ray (13 default operators) and mutmut (14 default operators), including which §3.2 necessary conditions each operator family reaches, is in Appendix B.6. The aggregate of the two default sets (~21 distinct first-order AST-local operator classes) collectively fails all three §3.2 necessary conditions.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v3b</w:t>
            </w:r>
          </w:p>
        </w:tc>
        <w:tc>
          <w:tcPr/>
          <w:p>
            <w:pPr>
              <w:pStyle w:val="Compact"/>
            </w:pPr>
            <w:r>
              <w:t xml:space="preserve">Same-source</w:t>
            </w:r>
          </w:p>
        </w:tc>
        <w:tc>
          <w:tcPr/>
          <w:p>
            <w:pPr>
              <w:pStyle w:val="Compact"/>
            </w:pPr>
            <w:r>
              <w:t xml:space="preserve">MP1 (data-driven, §3.4)</w:t>
            </w:r>
          </w:p>
        </w:tc>
        <w:tc>
          <w:tcPr/>
          <w:p>
            <w:pPr>
              <w:pStyle w:val="Compact"/>
            </w:pPr>
            <w:r>
              <w:t xml:space="preserve">Isolate MR-MP design contribution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Two declared confounds.</w:t>
      </w:r>
    </w:p>
    <w:p>
      <w:pPr>
        <w:numPr>
          <w:ilvl w:val="0"/>
          <w:numId w:val="1010"/>
        </w:numPr>
      </w:pPr>
      <w:r>
        <w:rPr>
          <w:b/>
          <w:bCs/>
        </w:rPr>
        <w:t xml:space="preserve">Protocol asymmetry (R13):</w:t>
      </w:r>
      <w:r>
        <w:t xml:space="preserve"> </w:t>
      </w:r>
      <w:r>
        <w:t xml:space="preserve">v3 / v3b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w:t>
      </w:r>
      <w:r>
        <w:t xml:space="preserve"> </w:t>
      </w:r>
      <w:r>
        <w:rPr>
          <w:rStyle w:val="VerbatimChar"/>
        </w:rPr>
        <w:t xml:space="preserve">Delta_delta(v3b → v4) = -0.007</w:t>
      </w:r>
      <w:r>
        <w:t xml:space="preserve"> </w:t>
      </w:r>
      <w:r>
        <w:t xml:space="preserve">may reflect a slight v4 quality shift rather than LLM-source diversity. P4 will rerun dual-blind on the v4 grid.</w:t>
      </w:r>
    </w:p>
    <w:p>
      <w:pPr>
        <w:numPr>
          <w:ilvl w:val="0"/>
          <w:numId w:val="1010"/>
        </w:numPr>
      </w:pPr>
      <w:r>
        <w:rPr>
          <w:b/>
          <w:bCs/>
        </w:rPr>
        <w:t xml:space="preserve">Chained-conditioning (R11):</w:t>
      </w:r>
      <w:r>
        <w:t xml:space="preserve"> </w:t>
      </w:r>
      <w:r>
        <w:t xml:space="preserve">v4 inherits the v3b post-hoc selection on c-class primary MP.</w:t>
      </w:r>
      <w:r>
        <w:t xml:space="preserve"> </w:t>
      </w:r>
      <w:r>
        <w:rPr>
          <w:rStyle w:val="VerbatimChar"/>
        </w:rPr>
        <w:t xml:space="preserve">Delta_delta(v3b → v4)</w:t>
      </w:r>
      <w:r>
        <w:t xml:space="preserve"> </w:t>
      </w:r>
      <w:r>
        <w:t xml:space="preserve">is therefore conditional on v3b selection + identical prompt template; the strong-sense LLM-diversity test (v4-pre × c→MP5 + per-LLM differential prompt) is deferred to P4 (full protocol in Appendix C.1.1).</w:t>
      </w:r>
    </w:p>
    <w:p>
      <w:pPr>
        <w:pStyle w:val="FirstParagraph"/>
      </w:pPr>
      <w:r>
        <w:t xml:space="preserve">The two contrasts are</w:t>
      </w:r>
      <w:r>
        <w:t xml:space="preserve"> </w:t>
      </w:r>
      <w:r>
        <w:rPr>
          <w:b/>
          <w:bCs/>
        </w:rPr>
        <w:t xml:space="preserve">reported separately</w:t>
      </w:r>
      <w:r>
        <w:t xml:space="preserve"> </w:t>
      </w:r>
      <w:r>
        <w:t xml:space="preserve">rather than combined as a synthetic ratio; full per-LLM token / latency / cost figures, V1-V4 specifications, and the full v4-pre /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Δδ(v3b → v4) = −0.007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1"/>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1"/>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1"/>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2"/>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2"/>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2"/>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2"/>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 Power and effect-size disambiguation are treated jointly with the stipulated-alternative analysis in §5.4 (avoiding repetition).</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 v4 + v3b primary)</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Four delta point-estimates (three planned ablation stages plus one robustness contrast):</w:t>
      </w:r>
    </w:p>
    <w:p>
      <w:pPr>
        <w:pStyle w:val="Compact"/>
        <w:numPr>
          <w:ilvl w:val="0"/>
          <w:numId w:val="1013"/>
        </w:numPr>
      </w:pPr>
      <w:r>
        <w:rPr>
          <w:b/>
          <w:bCs/>
        </w:rPr>
        <w:t xml:space="preserve">v3 (primary, pre-registered):</w:t>
      </w:r>
      <w:r>
        <w:t xml:space="preserve"> </w:t>
      </w:r>
      <w:r>
        <w:t xml:space="preserve">delta =</w:t>
      </w:r>
      <w:r>
        <w:t xml:space="preserve"> </w:t>
      </w:r>
      <w:r>
        <w:rPr>
          <w:b/>
          <w:bCs/>
        </w:rPr>
        <w:t xml:space="preserve">0.323</w:t>
      </w:r>
      <w:r>
        <w:t xml:space="preserve">, 95% CI [0.017, 0.622]</w:t>
      </w:r>
    </w:p>
    <w:p>
      <w:pPr>
        <w:pStyle w:val="Compact"/>
        <w:numPr>
          <w:ilvl w:val="0"/>
          <w:numId w:val="1013"/>
        </w:numPr>
      </w:pPr>
      <w:r>
        <w:t xml:space="preserve">v3b (exploratory, c→MP1 post-hoc): delta = 0.446†, CI [0.154, 0.743]</w:t>
      </w:r>
    </w:p>
    <w:p>
      <w:pPr>
        <w:pStyle w:val="Compact"/>
        <w:numPr>
          <w:ilvl w:val="0"/>
          <w:numId w:val="1013"/>
        </w:numPr>
      </w:pPr>
      <w:r>
        <w:t xml:space="preserve">v4 (exploratory, cross-source under fixed prompt, c→MP1): delta = 0.439†, 95% CI [0.127, 0.740] (B = 10,000)</w:t>
      </w:r>
    </w:p>
    <w:p>
      <w:pPr>
        <w:pStyle w:val="Compact"/>
        <w:numPr>
          <w:ilvl w:val="0"/>
          <w:numId w:val="1013"/>
        </w:numPr>
      </w:pPr>
      <w:r>
        <w:rPr>
          <w:b/>
          <w:bCs/>
        </w:rPr>
        <w:t xml:space="preserve">v4 robustness (cross-source, c-class held at v3 MP5):</w:t>
      </w:r>
      <w:r>
        <w:t xml:space="preserve"> </w:t>
      </w:r>
      <w:r>
        <w:t xml:space="preserve">delta =</w:t>
      </w:r>
      <w:r>
        <w:t xml:space="preserve"> </w:t>
      </w:r>
      <w:r>
        <w:rPr>
          <w:b/>
          <w:bCs/>
        </w:rPr>
        <w:t xml:space="preserve">0.314</w:t>
      </w:r>
      <w:r>
        <w:t xml:space="preserve">, 95% CI [0.014, 0.622]. This row strips R11 chained conditioning by reverting c-class primary to the pre-registered v3 choice while keeping the cross-source pool. The contrast</w:t>
      </w:r>
      <w:r>
        <w:t xml:space="preserve"> </w:t>
      </w:r>
      <w:r>
        <w:rPr>
          <w:rStyle w:val="VerbatimChar"/>
        </w:rPr>
        <w:t xml:space="preserve">δ_v4_mp5 − δ_v3 = −0.009</w:t>
      </w:r>
      <w:r>
        <w:t xml:space="preserve"> </w:t>
      </w:r>
      <w:r>
        <w:t xml:space="preserve">isolates the LLM-source-diversity axis from MR-design re-selection.</w:t>
      </w:r>
    </w:p>
    <w:p>
      <w:pPr>
        <w:pStyle w:val="FirstParagraph"/>
      </w:pPr>
      <w:r>
        <w:rPr>
          <w:b/>
          <w:bCs/>
        </w:rPr>
        <w:t xml:space="preserve">H2 verdict: not met under the pre-registered point-estimate criterion.</w:t>
      </w:r>
      <w:r>
        <w:t xml:space="preserve"> </w:t>
      </w:r>
      <w:r>
        <w:t xml:space="preserve">None of the three delta values crosses the Romano (2006) large-effect threshold 0.474. The two contrasts are reported separately: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Delta-delta</w:t>
            </w:r>
          </w:p>
        </w:tc>
        <w:tc>
          <w:tcPr/>
          <w:p>
            <w:pPr>
              <w:pStyle w:val="Compact"/>
            </w:pPr>
            <w:r>
              <w:t xml:space="preserve">CI</w:t>
            </w:r>
          </w:p>
        </w:tc>
        <w:tc>
          <w:tcPr/>
          <w:p>
            <w:pPr>
              <w:pStyle w:val="Compact"/>
            </w:pPr>
            <w:r>
              <w:t xml:space="preserve">Interpretation</w:t>
            </w:r>
          </w:p>
        </w:tc>
      </w:tr>
      <w:tr>
        <w:tc>
          <w:tcPr/>
          <w:p>
            <w:pPr>
              <w:pStyle w:val="Compact"/>
            </w:pPr>
            <w:r>
              <w:t xml:space="preserve">v3 → v3b (c-class primary MP shift, same-source)</w:t>
            </w:r>
          </w:p>
        </w:tc>
        <w:tc>
          <w:tcPr/>
          <w:p>
            <w:pPr>
              <w:pStyle w:val="Compact"/>
            </w:pPr>
            <w:r>
              <w:t xml:space="preserve">+0.123</w:t>
            </w:r>
          </w:p>
        </w:tc>
        <w:tc>
          <w:tcPr/>
          <w:p>
            <w:pPr>
              <w:pStyle w:val="Compact"/>
            </w:pPr>
            <w:r>
              <w:t xml:space="preserve">(data-driven; not applicable, see §3.4)</w:t>
            </w:r>
          </w:p>
        </w:tc>
        <w:tc>
          <w:tcPr/>
          <w:p>
            <w:pPr>
              <w:pStyle w:val="Compact"/>
            </w:pPr>
            <w:r>
              <w:t xml:space="preserve">Single-class post-hoc; reflects primary-MP sensitivity, not generic MR-design contribution</w:t>
            </w:r>
          </w:p>
        </w:tc>
      </w:tr>
      <w:tr>
        <w:tc>
          <w:tcPr/>
          <w:p>
            <w:pPr>
              <w:pStyle w:val="Compact"/>
            </w:pPr>
            <w:r>
              <w:t xml:space="preserve">v3b → v4 (cross-source, c→MP1, fixed prompt)</w:t>
            </w:r>
          </w:p>
        </w:tc>
        <w:tc>
          <w:tcPr/>
          <w:p>
            <w:pPr>
              <w:pStyle w:val="Compact"/>
            </w:pPr>
            <w:r>
              <w:t xml:space="preserve">−0.007</w:t>
            </w:r>
          </w:p>
        </w:tc>
        <w:tc>
          <w:tcPr/>
          <w:p>
            <w:pPr>
              <w:pStyle w:val="Compact"/>
            </w:pPr>
            <w:r>
              <w:t xml:space="preserve">covers zero</w:t>
            </w:r>
          </w:p>
        </w:tc>
        <w:tc>
          <w:tcPr/>
          <w:p>
            <w:pPr>
              <w:pStyle w:val="Compact"/>
            </w:pPr>
            <w:r>
              <w:t xml:space="preserve">Three LLMs near-identical under prompt-fixed (49.1% stipulated power)</w:t>
            </w:r>
          </w:p>
        </w:tc>
      </w:tr>
      <w:tr>
        <w:tc>
          <w:tcPr/>
          <w:p>
            <w:pPr>
              <w:pStyle w:val="Compact"/>
            </w:pPr>
            <w:r>
              <w:rPr>
                <w:b/>
                <w:bCs/>
              </w:rPr>
              <w:t xml:space="preserve">v3 → v4 (under MP5, cross-source only)</w:t>
            </w:r>
          </w:p>
        </w:tc>
        <w:tc>
          <w:tcPr/>
          <w:p>
            <w:pPr>
              <w:pStyle w:val="Compact"/>
            </w:pPr>
            <w:r>
              <w:rPr>
                <w:b/>
                <w:bCs/>
              </w:rPr>
              <w:t xml:space="preserve">−0.009</w:t>
            </w:r>
          </w:p>
        </w:tc>
        <w:tc>
          <w:tcPr/>
          <w:p>
            <w:pPr>
              <w:pStyle w:val="Compact"/>
            </w:pPr>
            <w:r>
              <w:rPr>
                <w:b/>
                <w:bCs/>
              </w:rPr>
              <w:t xml:space="preserve">covers zero</w:t>
            </w:r>
          </w:p>
        </w:tc>
        <w:tc>
          <w:tcPr/>
          <w:p>
            <w:pPr>
              <w:pStyle w:val="Compact"/>
            </w:pPr>
            <w:r>
              <w:t xml:space="preserve">Robustness against R11. Source-axis change under MP5 reproduces the v3b → v4 micro-shift, supporting the source-diversity null reading across two independent MP conditions.</w:t>
            </w:r>
          </w:p>
        </w:tc>
      </w:tr>
    </w:tbl>
    <w:p>
      <w:pPr>
        <w:pStyle w:val="BodyText"/>
      </w:pPr>
      <w:r>
        <w:t xml:space="preserve">The</w:t>
      </w:r>
      <w:r>
        <w:t xml:space="preserve"> </w:t>
      </w:r>
      <w:r>
        <w:t xml:space="preserve">“v3 → v4 (under MP5)”</w:t>
      </w:r>
      <w:r>
        <w:t xml:space="preserve"> </w:t>
      </w:r>
      <w:r>
        <w:t xml:space="preserve">robustness contrast was added in response to a methodological-asymmetry concern: the −0.007 v3b → v4 contrast inherits R11 chained conditioning (cross-source pool + post-hoc MP1) and so cannot identify which factor is null. Under MP5, c-class is held at the pre-registered choice, so the only difference between this row and v3 (δ = 0.323) is the LLM-source axis. The reproduced ≤ 0.01 shift across two MP conditions supports finding (iii).</w:t>
      </w:r>
    </w:p>
    <w:p>
      <w:pPr>
        <w:pStyle w:val="BodyText"/>
      </w:pPr>
      <w:r>
        <w:t xml:space="preserve">This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v3b → v4 contrast (Δδ = −0.007, CI covers zero): if the true source-diversity effect on δ were as large as 0.474, this design would correctly reject the null in roughly half of replications. The −0.007 null-shift is therefore consistent with a wide range of true source-diversity effects, and we explicitly do not read it as evidence that source diversity is inert. The strong-sense test is deferred to P4.</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w:t>
      </w:r>
      <w:r>
        <w:rPr>
          <w:rStyle w:val="VerbatimChar"/>
        </w:rPr>
        <w:t xml:space="preserve">rq2_cliffs_delta_logit_v4.json</w:t>
      </w:r>
      <w:r>
        <w:t xml:space="preserve"> </w:t>
      </w:r>
      <w:r>
        <w:t xml:space="preserve">records δ_logit = 0.439 = δ_raw, difference 0.000).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v3b post-hoc selection (§3.4) and the zero-mass dominance (§5.2), not from any metric-scale choice. See Appendix D.2 for the full sensitivity analysis.</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(+91.4%)</w:t>
            </w:r>
          </w:p>
        </w:tc>
      </w:tr>
      <w:tr>
        <w:tc>
          <w:tcPr/>
          <w:p>
            <w:pPr>
              <w:pStyle w:val="Compact"/>
            </w:pPr>
            <w:r>
              <w:t xml:space="preserve">d (ML)</w:t>
            </w:r>
          </w:p>
        </w:tc>
        <w:tc>
          <w:tcPr/>
          <w:p>
            <w:pPr>
              <w:pStyle w:val="Compact"/>
            </w:pPr>
            <w:r>
              <w:t xml:space="preserve">0.081</w:t>
            </w:r>
          </w:p>
        </w:tc>
        <w:tc>
          <w:tcPr/>
          <w:p>
            <w:pPr>
              <w:pStyle w:val="Compact"/>
            </w:pPr>
            <w:r>
              <w:t xml:space="preserve">0.112 (+38%)</w:t>
            </w:r>
          </w:p>
        </w:tc>
      </w:tr>
    </w:tbl>
    <w:p>
      <w:pPr>
        <w:pStyle w:val="BodyText"/>
      </w:pPr>
      <w:r>
        <w:t xml:space="preserve">Sign test (within-class aligned mean − cross mean, sign = +):</w:t>
      </w:r>
    </w:p>
    <w:p>
      <w:pPr>
        <w:pStyle w:val="Compact"/>
        <w:numPr>
          <w:ilvl w:val="0"/>
          <w:numId w:val="1014"/>
        </w:numPr>
      </w:pPr>
      <w:r>
        <w:rPr>
          <w:b/>
          <w:bCs/>
        </w:rPr>
        <w:t xml:space="preserve">v3 (primary, pre-registered): 3 / 4 (partial)</w:t>
      </w:r>
      <w:r>
        <w:t xml:space="preserve">.</w:t>
      </w:r>
    </w:p>
    <w:p>
      <w:pPr>
        <w:pStyle w:val="Compact"/>
        <w:numPr>
          <w:ilvl w:val="0"/>
          <w:numId w:val="1014"/>
        </w:numPr>
      </w:pPr>
      <w:r>
        <w:t xml:space="preserve">v3b (exploratory, c→MP1): 4 / 4†.</w:t>
      </w:r>
    </w:p>
    <w:p>
      <w:pPr>
        <w:pStyle w:val="Compact"/>
        <w:numPr>
          <w:ilvl w:val="0"/>
          <w:numId w:val="1014"/>
        </w:numPr>
      </w:pPr>
      <w:r>
        <w:t xml:space="preserve">v4 cross-source: 4 / 4† (under v3b condition).</w:t>
      </w:r>
    </w:p>
    <w:p>
      <w:pPr>
        <w:pStyle w:val="FirstParagraph"/>
      </w:pPr>
      <w:r>
        <w:rPr>
          <w:b/>
          <w:bCs/>
        </w:rPr>
        <w:t xml:space="preserve">H4 primary verdict: partial (3/4) under v3.</w:t>
      </w:r>
      <w:r>
        <w:t xml:space="preserve"> </w:t>
      </w:r>
      <w:r>
        <w:t xml:space="preserve">v3b / v4 4/4† are sensitivity reports inheriting the §3.4 post-hoc selection.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5"/>
        </w:numPr>
      </w:pPr>
      <w:r>
        <w:rPr>
          <w:b/>
          <w:bCs/>
        </w:rPr>
        <w:t xml:space="preserve">PUT (n=12) × MP (k=5): chi^2 = 15.30, p = 0.0041</w:t>
      </w:r>
      <w:r>
        <w:t xml:space="preserve"> </w:t>
      </w:r>
      <w:r>
        <w:t xml:space="preserve">(significant).</w:t>
      </w:r>
    </w:p>
    <w:p>
      <w:pPr>
        <w:pStyle w:val="Compact"/>
        <w:numPr>
          <w:ilvl w:val="0"/>
          <w:numId w:val="1015"/>
        </w:numPr>
      </w:pPr>
      <w:r>
        <w:t xml:space="preserve">MP rank means: 2.92, 2.58, 2.08, 3.08, 4.33.</w:t>
      </w:r>
    </w:p>
    <w:p>
      <w:pPr>
        <w:pStyle w:val="Compact"/>
        <w:numPr>
          <w:ilvl w:val="0"/>
          <w:numId w:val="1015"/>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but caveat: N=3 per class makes this label nominal only)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was pre-registered before pool characteristics were known</w:t>
      </w:r>
      <w:r>
        <w:t xml:space="preserve">; the dense cutoff sweep below shows the verdict is intrinsic to LLM-mutant pools and not a calibration artefact, which is itself a finding worth reporting.</w:t>
      </w:r>
    </w:p>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v3b same-source to v4 cross-source changes Cliff’s δ by only −0.007 (95% CI covers zero); the v4-mp5 robustness contrast holding the c-class primary at the pre-registered MP5 reproduces this null shift (Δδ(v3 → v4-mp5) = −0.009, 95% CI covers zero), strengthening the source-axis null reading by replicating it under an independent MP condition that strips R11 chained conditioning. Cross-source pooling raises mean C1_share from 0.164 to 0.209 (a 27%† relative increase), class-c mean SMS by</w:t>
      </w:r>
      <w:r>
        <w:t xml:space="preserve"> </w:t>
      </w:r>
      <w:r>
        <w:rPr>
          <w:b/>
          <w:bCs/>
        </w:rPr>
        <w:t xml:space="preserve">+91.4%†</w:t>
      </w:r>
      <w:r>
        <w:t xml:space="preserve">, and class-d mean SMS by 38%†.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The v3 → v3b shift of +0.123 attributes to MR design — specifically the c-class primary-MP shift, with the caveats in §3.4 — and the v3b → v4 micro-change attributes to source diversity under prompt-fixed conditions. We report these contrasts separately in §5.3 rather than as a synthetic ratio. The strong-sense source-diversity test, with per-LLM differential prompts (V_persona, V_cot), is deferred to P4. Appendix C.1.1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categorically-unreachable classes (HP, SI, TF; 159 of 292 mutants)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caveat in §3.4. The v3 → v3b shift of +0.123 attributes to MR design reselection (single-class, post-hoc), and the v3b → v4 micro-change of −0.007 attributes to source diversity under a fixed prompt. The two contrasts cannot be merged into a single factor-decomposition ratio; each carries independent caveats and lives on a different axis of the methodology space.</w:t>
      </w:r>
    </w:p>
    <w:bookmarkEnd w:id="47"/>
    <w:bookmarkStart w:id="48" w:name="h4-partial-under-primary-exploratory-44"/>
    <w:p>
      <w:pPr>
        <w:pStyle w:val="Heading3"/>
      </w:pPr>
      <w:r>
        <w:t xml:space="preserve">6.3 H4 — partial under primary, exploratory 4/4</w:t>
      </w:r>
    </w:p>
    <w:p>
      <w:pPr>
        <w:pStyle w:val="FirstParagraph"/>
      </w:pPr>
      <w:r>
        <w:t xml:space="preserve">All four class means are positive in v3, v3b, v4. Inter-class balance improves under cross-source (c +91.4%†, d +38%†), confirming that c / d classes have higher mutant-diversity demand than a / b. Mixed-effects unavailability (Singular) is a sample-size constraint at N = 60 / 12 PUTs, not evidence absence.</w:t>
      </w:r>
      <w:r>
        <w:t xml:space="preserve"> </w:t>
      </w:r>
      <w:r>
        <w:rPr>
          <w:b/>
          <w:bCs/>
        </w:rPr>
        <w:t xml:space="preserve">H4 primary: partial (3/4).</w:t>
      </w:r>
      <w:r>
        <w:t xml:space="preserve"> </w:t>
      </w:r>
      <w:r>
        <w:t xml:space="preserve">v3b / v4 4/4† are sensitivity-only with §3.4 caveats.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detailed cost breakdown in Appendix E.2; estimates based on observed timings during this paper’s 12-PUT campaign) rather than per-pull-request gating, because LLM API latency, cost non-determinism, and air-gap incompatibility together rule out the per-pull-request style. An earlier draft included a GitHub Actions per-PR YAML template; we removed it in revision because it hardcoded the v3b post-hoc selection into adopters’ pipelines.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1"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R11</w:t>
            </w:r>
          </w:p>
        </w:tc>
        <w:tc>
          <w:tcPr/>
          <w:p>
            <w:pPr>
              <w:pStyle w:val="Compact"/>
            </w:pPr>
            <w:r>
              <w:t xml:space="preserve">Selection-on-response chained-conditioning</w:t>
            </w:r>
          </w:p>
        </w:tc>
        <w:tc>
          <w:tcPr/>
          <w:p>
            <w:pPr>
              <w:pStyle w:val="Compact"/>
            </w:pPr>
            <w:r>
              <w:t xml:space="preserve">Internal</w:t>
            </w:r>
          </w:p>
        </w:tc>
        <w:tc>
          <w:tcPr/>
          <w:p>
            <w:pPr>
              <w:pStyle w:val="Compact"/>
            </w:pPr>
            <w:r>
              <w:t xml:space="preserve">All v3b / v4 sign tests downgraded to exploratory; permutation + Bonferroni × 5</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in P4</w:t>
            </w:r>
          </w:p>
        </w:tc>
        <w:tc>
          <w:tcPr/>
          <w:p>
            <w:pPr>
              <w:pStyle w:val="Compact"/>
            </w:pPr>
            <w:r>
              <w:t xml:space="preserve">Appendix F.2</w:t>
            </w:r>
          </w:p>
        </w:tc>
      </w:tr>
      <w:tr>
        <w:tc>
          <w:tcPr/>
          <w:p>
            <w:pPr>
              <w:pStyle w:val="Compact"/>
            </w:pPr>
            <w:r>
              <w:t xml:space="preserve">R13</w:t>
            </w:r>
          </w:p>
        </w:tc>
        <w:tc>
          <w:tcPr/>
          <w:p>
            <w:pPr>
              <w:pStyle w:val="Compact"/>
            </w:pPr>
            <w:r>
              <w:t xml:space="preserve">v3 / v3b vs v4 protocol asymmetry</w:t>
            </w:r>
          </w:p>
        </w:tc>
        <w:tc>
          <w:tcPr/>
          <w:p>
            <w:pPr>
              <w:pStyle w:val="Compact"/>
            </w:pPr>
            <w:r>
              <w:t xml:space="preserve">Internal</w:t>
            </w:r>
          </w:p>
        </w:tc>
        <w:tc>
          <w:tcPr/>
          <w:p>
            <w:pPr>
              <w:pStyle w:val="Compact"/>
            </w:pPr>
            <w:r>
              <w:t xml:space="preserve">Quality not down (C1_share 0.164 → 0.209); P4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6"/>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6"/>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6"/>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6"/>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6"/>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6"/>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6"/>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6"/>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p>
      <w:r>
        <w:pict>
          <v:rect style="width:0;height:1.5pt" o:hralign="center" o:hrstd="t" o:hr="t"/>
        </w:pict>
      </w:r>
    </w:p>
    <w:bookmarkEnd w:id="51"/>
    <w:bookmarkStart w:id="55" w:name="conclusion"/>
    <w:p>
      <w:pPr>
        <w:pStyle w:val="Heading2"/>
      </w:pPr>
      <w:r>
        <w:t xml:space="preserve">8. Conclusion</w:t>
      </w:r>
    </w:p>
    <w:bookmarkStart w:id="52" w:name="findings-summary"/>
    <w:p>
      <w:pPr>
        <w:pStyle w:val="Heading3"/>
      </w:pPr>
      <w:r>
        <w:t xml:space="preserve">8.1 Findings summary</w:t>
      </w:r>
    </w:p>
    <w:p>
      <w:pPr>
        <w:pStyle w:val="FirstParagraph"/>
      </w:pPr>
      <w:r>
        <w:t xml:space="preserve">The 60-cell empirical demonstration produces six findings.</w:t>
      </w:r>
    </w:p>
    <w:p>
      <w:pPr>
        <w:numPr>
          <w:ilvl w:val="0"/>
          <w:numId w:val="1017"/>
        </w:numPr>
      </w:pPr>
      <w:r>
        <w:t xml:space="preserve">The H2 large-effect threshold is</w:t>
      </w:r>
      <w:r>
        <w:t xml:space="preserve"> </w:t>
      </w:r>
      <w:r>
        <w:rPr>
          <w:b/>
          <w:bCs/>
        </w:rPr>
        <w:t xml:space="preserve">not met under the pre-registered point-estimate criterion</w:t>
      </w:r>
      <w:r>
        <w:t xml:space="preserve"> </w:t>
      </w:r>
      <w:r>
        <w:t xml:space="preserve">(δ = 0.323 in primary v3); the 49.1% stipulated power at the boundary clarifies that</w:t>
      </w:r>
      <w:r>
        <w:t xml:space="preserve"> </w:t>
      </w:r>
      <w:r>
        <w:t xml:space="preserve">“not met”</w:t>
      </w:r>
      <w:r>
        <w:t xml:space="preserve"> </w:t>
      </w:r>
      <w:r>
        <w:t xml:space="preserve">is a statement about the point estimate, not the effect size.</w:t>
      </w:r>
    </w:p>
    <w:p>
      <w:pPr>
        <w:numPr>
          <w:ilvl w:val="0"/>
          <w:numId w:val="1017"/>
        </w:numPr>
      </w:pPr>
      <w:r>
        <w:t xml:space="preserve">Under an identical prompt, three-LLM cross-source diversity does not move δ (Δδ = −0.007, 95% CI covers zero).</w:t>
      </w:r>
    </w:p>
    <w:p>
      <w:pPr>
        <w:numPr>
          <w:ilvl w:val="0"/>
          <w:numId w:val="1017"/>
        </w:numPr>
      </w:pPr>
      <w:r>
        <w:t xml:space="preserve">Across two c-class primary-MP conditions (MP5 and MP1), the LLM-source axis shifts Cliff’s δ by ≤ 0.01 in magnitude (v3 → v4_mp5 = −0.009; v3b → v4 = −0.007), whereas the MR-design axis (MP5 ↔ MP1) shifts δ by approximately +0.12. Within this design, the c-class primary-MP choice, not LLM identity under an identical prompt, is the lever on the aligned-vs-cross effect size. A strong-sense source-diversity test with per-LLM differential prompts is deferred to P4.</w:t>
      </w:r>
    </w:p>
    <w:p>
      <w:pPr>
        <w:numPr>
          <w:ilvl w:val="0"/>
          <w:numId w:val="1017"/>
        </w:numPr>
      </w:pPr>
      <w:r>
        <w:t xml:space="preserve">Cross-source pooling raises mutant</w:t>
      </w:r>
      <w:r>
        <w:t xml:space="preserve"> </w:t>
      </w:r>
      <w:r>
        <w:rPr>
          <w:i/>
          <w:iCs/>
        </w:rPr>
        <w:t xml:space="preserve">quality</w:t>
      </w:r>
      <w:r>
        <w:t xml:space="preserve"> </w:t>
      </w:r>
      <w:r>
        <w:t xml:space="preserve">(mean C1_share +27%, class-c mean SMS +91.4%†) without raising the effect size. († class-c +91.4% is conditional on the §3.4 v3b MP1 selection; permutation null one-sided p = 0.9885.)</w:t>
      </w:r>
    </w:p>
    <w:p>
      <w:pPr>
        <w:numPr>
          <w:ilvl w:val="0"/>
          <w:numId w:val="1017"/>
        </w:numPr>
      </w:pPr>
      <w:r>
        <w:t xml:space="preserve">The Friedman main effect on MP differentiation is χ² = 15.30, p = 0.0041.</w:t>
      </w:r>
    </w:p>
    <w:p>
      <w:pPr>
        <w:numPr>
          <w:ilvl w:val="0"/>
          <w:numId w:val="1017"/>
        </w:numPr>
      </w:pPr>
      <w:r>
        <w:t xml:space="preserve">The Spearman correlation between SMS and Pattern Coverage is 0.163 at n = 12. Orthogonality is a hypothesis, not a finding.</w:t>
      </w:r>
    </w:p>
    <w:bookmarkEnd w:id="52"/>
    <w:bookmarkStart w:id="53"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8"/>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8"/>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8"/>
        </w:numPr>
      </w:pPr>
      <w:r>
        <w:rPr>
          <w:b/>
          <w:bCs/>
        </w:rPr>
        <w:t xml:space="preserve">Layer 3 (§3.5).</w:t>
      </w:r>
      <w:r>
        <w:t xml:space="preserve"> </w:t>
      </w:r>
      <w:r>
        <w:t xml:space="preserve">AST-normalised empirical traceability across all 12 PUTs: a 5.14% overall AST overlap with cosmic-ray defaults, and HP, SI, and TF categorically unreachable at 0/0/0.</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3"/>
    <w:bookmarkStart w:id="54" w:name="future-work-and-p-series-roadmap"/>
    <w:p>
      <w:pPr>
        <w:pStyle w:val="Heading3"/>
      </w:pPr>
      <w:r>
        <w:t xml:space="preserve">8.3 Future work and P-series roadmap</w:t>
      </w:r>
    </w:p>
    <w:p>
      <w:pPr>
        <w:pStyle w:val="FirstParagraph"/>
      </w:pPr>
      <w:r>
        <w:t xml:space="preserve">We commit six P4 follow-ups.</w:t>
      </w:r>
    </w:p>
    <w:p>
      <w:pPr>
        <w:numPr>
          <w:ilvl w:val="0"/>
          <w:numId w:val="1019"/>
        </w:numPr>
      </w:pPr>
      <w:r>
        <w:t xml:space="preserve">A pre-registered c-class primary-MP rule on a fresh dataset.</w:t>
      </w:r>
    </w:p>
    <w:p>
      <w:pPr>
        <w:numPr>
          <w:ilvl w:val="0"/>
          <w:numId w:val="1019"/>
        </w:numPr>
      </w:pPr>
      <w:r>
        <w:t xml:space="preserve">A differential-prompt LLM-diversity test using V_canonical, V_persona, and V_cot (full protocol in Appendix C.1.1).</w:t>
      </w:r>
    </w:p>
    <w:p>
      <w:pPr>
        <w:numPr>
          <w:ilvl w:val="0"/>
          <w:numId w:val="1019"/>
        </w:numPr>
      </w:pPr>
      <w:r>
        <w:t xml:space="preserve">A scaling study at n ≥ 30 PUTs for SMS-vs-Pattern-Coverage orthogonality and for HOM-equivalence empirics.</w:t>
      </w:r>
    </w:p>
    <w:p>
      <w:pPr>
        <w:numPr>
          <w:ilvl w:val="0"/>
          <w:numId w:val="1019"/>
        </w:numPr>
      </w:pPr>
      <w:r>
        <w:t xml:space="preserve">A rerun of the dual-blind reviewer protocol on the full v4 grid, to separate protocol asymmetry (R13) from source diversity.</w:t>
      </w:r>
    </w:p>
    <w:p>
      <w:pPr>
        <w:numPr>
          <w:ilvl w:val="0"/>
          <w:numId w:val="1019"/>
        </w:numPr>
      </w:pPr>
      <w:r>
        <w:t xml:space="preserve">Cross-language portability work (Python → JavaScript and Julia) building on Tip, Bell, and Schäfer (2024).</w:t>
      </w:r>
    </w:p>
    <w:p>
      <w:pPr>
        <w:numPr>
          <w:ilvl w:val="0"/>
          <w:numId w:val="1019"/>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20"/>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20"/>
        </w:numPr>
      </w:pPr>
      <w:r>
        <w:rPr>
          <w:b/>
          <w:bCs/>
        </w:rPr>
        <w:t xml:space="preserve">P3.</w:t>
      </w:r>
      <w:r>
        <w:t xml:space="preserve"> </w:t>
      </w:r>
      <w:r>
        <w:t xml:space="preserve">Industrial-scale Java and C++ port with a second-rater inter-rater κ for LRCA.</w:t>
      </w:r>
    </w:p>
    <w:p>
      <w:pPr>
        <w:pStyle w:val="Compact"/>
        <w:numPr>
          <w:ilvl w:val="0"/>
          <w:numId w:val="1020"/>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20"/>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4"/>
    <w:bookmarkEnd w:id="55"/>
    <w:bookmarkStart w:id="56" w:name="data-and-code-availability"/>
    <w:p>
      <w:pPr>
        <w:pStyle w:val="Heading2"/>
      </w:pPr>
      <w:r>
        <w:t xml:space="preserve">Data and code availability</w:t>
      </w:r>
    </w:p>
    <w:p>
      <w:pPr>
        <w:pStyle w:val="FirstParagraph"/>
      </w:pPr>
      <w:r>
        <w:t xml:space="preserve">All raw data, JSON SSOTs (paper_numbers_v3 / v3b / v4 / v4-mp5, lrca_60cell, c_class_permutation, rq2_power_stipulated, cosmic_ray_12put_ast_diff), mutant pools, AVP source, and analysis scripts will be archived on Zenodo at the time of acceptance under DOI [10.5281/zenodo.XXXXXXX] (placeholder, to be minted on acceptance). The repository structure follows</w:t>
      </w:r>
      <w:r>
        <w:t xml:space="preserve"> </w:t>
      </w:r>
      <w:r>
        <w:rPr>
          <w:rStyle w:val="VerbatimChar"/>
        </w:rPr>
        <w:t xml:space="preserve">REPRODUCIBILITY.md</w:t>
      </w:r>
      <w:r>
        <w:t xml:space="preserve"> </w:t>
      </w:r>
      <w:r>
        <w:t xml:space="preserve">in the source tree. The cosmic-ray and mutmut operator versions referenced in §3.5, §3.6, and Appendix B.6 are pinned in</w:t>
      </w:r>
      <w:r>
        <w:t xml:space="preserve"> </w:t>
      </w:r>
      <w:r>
        <w:rPr>
          <w:rStyle w:val="VerbatimChar"/>
        </w:rPr>
        <w:t xml:space="preserve">requirements-frozen.txt</w:t>
      </w:r>
      <w:r>
        <w:t xml:space="preserve">.</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Clark, J. A., Dan, H., &amp; Hierons, R. M. (2010). Semantic Mutation Testing. In</w:t>
      </w:r>
      <w:r>
        <w:t xml:space="preserve"> </w:t>
      </w:r>
      <w:r>
        <w:rPr>
          <w:i/>
          <w:iCs/>
        </w:rPr>
        <w:t xml:space="preserve">Proc. Third International Conference on Software Testing, Verification, and Validation Workshops (ICSTW)</w:t>
      </w:r>
      <w:r>
        <w:t xml:space="preserve">, 100-109. IEEE. https://doi.org/10.1109/ICSTW.2010.8</w:t>
      </w:r>
    </w:p>
    <w:p>
      <w:pPr>
        <w:pStyle w:val="BodyText"/>
      </w:pPr>
      <w:r>
        <w:t xml:space="preserve">Dan, H., &amp; Hierons, R. M. (2012). SMT-C: A Semantic Mutation Testing Tool for C. In</w:t>
      </w:r>
      <w:r>
        <w:t xml:space="preserve"> </w:t>
      </w:r>
      <w:r>
        <w:rPr>
          <w:i/>
          <w:iCs/>
        </w:rPr>
        <w:t xml:space="preserve">Proc. Fifth International Conference on Software Testing, Verification and Validation (ICST)</w:t>
      </w:r>
      <w:r>
        <w:t xml:space="preserve">, 654-663. IEEE. https://doi.org/10.1109/ICST.2012.155</w:t>
      </w:r>
    </w:p>
    <w:p>
      <w:pPr>
        <w:pStyle w:val="BodyText"/>
      </w:pPr>
      <w:r>
        <w:t xml:space="preserve">Derezińska, A., &amp; Zaremba, L. (2019). Mutating UML State Machine Behavior with Semantic Mutation Operators. In</w:t>
      </w:r>
      <w:r>
        <w:t xml:space="preserve"> </w:t>
      </w:r>
      <w:r>
        <w:rPr>
          <w:i/>
          <w:iCs/>
        </w:rPr>
        <w:t xml:space="preserve">Proc. International Conference on Evaluation of Novel Approaches to Software Engineering (ENASE)</w:t>
      </w:r>
      <w:r>
        <w:t xml:space="preserve">, 385-393. https://doi.org/10.5220/0007735003850393</w:t>
      </w:r>
    </w:p>
    <w:p>
      <w:pPr>
        <w:pStyle w:val="BodyText"/>
      </w:pPr>
      <w:r>
        <w:t xml:space="preserve">Sun, C., Liu, Y., Wang, Z., &amp; Chan, W. K. (2016). μMT: A Data Mutation Directed Metamorphic Relation Acquisition Methodology. In</w:t>
      </w:r>
      <w:r>
        <w:t xml:space="preserve"> </w:t>
      </w:r>
      <w:r>
        <w:rPr>
          <w:i/>
          <w:iCs/>
        </w:rPr>
        <w:t xml:space="preserve">Proc. 1st International Workshop on Metamorphic Testing (MET)</w:t>
      </w:r>
      <w:r>
        <w:t xml:space="preserve">, 12-18. ACM. https://doi.org/10.1145/2896971.2896974</w:t>
      </w:r>
    </w:p>
    <w:p>
      <w:pPr>
        <w:pStyle w:val="BodyText"/>
      </w:pPr>
      <w:r>
        <w:t xml:space="preserve">Sun, C., Jin, H., Wu, S., Fu, A., Wang, Z., &amp; Chan, W. K. (2023). Identifying metamorphic relations: A data mutation directed approach.</w:t>
      </w:r>
      <w:r>
        <w:t xml:space="preserve"> </w:t>
      </w:r>
      <w:r>
        <w:rPr>
          <w:i/>
          <w:iCs/>
        </w:rPr>
        <w:t xml:space="preserve">Software: Practice and Experience</w:t>
      </w:r>
      <w:r>
        <w:t xml:space="preserve">, 54(3), 394-418. https://doi.org/10.1002/spe.3280</w:t>
      </w:r>
    </w:p>
    <w:p>
      <w:pPr>
        <w:pStyle w:val="BodyText"/>
      </w:pPr>
      <w:r>
        <w:t xml:space="preserve">Zhu, H., Bayley, I., Liu, D., &amp; Zheng, X. (2020). Automation of Datamorphic Testing. In</w:t>
      </w:r>
      <w:r>
        <w:t xml:space="preserve"> </w:t>
      </w:r>
      <w:r>
        <w:rPr>
          <w:i/>
          <w:iCs/>
        </w:rPr>
        <w:t xml:space="preserve">Proc. IEEE International Conference On Artificial Intelligence Testing (AITest)</w:t>
      </w:r>
      <w:r>
        <w:t xml:space="preserve">, 64-72. IEEE. https://doi.org/10.1109/AITEST49225.2020.00017</w:t>
      </w:r>
    </w:p>
    <w:p>
      <w:pPr>
        <w:pStyle w:val="BodyText"/>
      </w:pPr>
      <w:r>
        <w:t xml:space="preserve">Chan, P. Y. P., &amp; Keung, J. (2024). Validating Unsupervised Machine Learning Techniques for Software Defect Prediction With Generic Metamorphic Testing.</w:t>
      </w:r>
      <w:r>
        <w:t xml:space="preserve"> </w:t>
      </w:r>
      <w:r>
        <w:rPr>
          <w:i/>
          <w:iCs/>
        </w:rPr>
        <w:t xml:space="preserve">IEEE Access</w:t>
      </w:r>
      <w:r>
        <w:t xml:space="preserve">, 12, 165155-165172. https://doi.org/10.1109/ACCESS.2024.3494044</w:t>
      </w:r>
    </w:p>
    <w:p>
      <w:pPr>
        <w:pStyle w:val="BodyText"/>
      </w:pPr>
      <w:r>
        <w:t xml:space="preserve">Curtò, J. de, &amp; Zarzà, I. de. (2025). Metamorphic Testing for Semantic Invariance in Large Language Models.</w:t>
      </w:r>
      <w:r>
        <w:t xml:space="preserve"> </w:t>
      </w:r>
      <w:r>
        <w:rPr>
          <w:i/>
          <w:iCs/>
        </w:rPr>
        <w:t xml:space="preserve">IEEE Access</w:t>
      </w:r>
      <w:r>
        <w:t xml:space="preserve">, 13, 214772-214791. https://doi.org/10.1109/ACCESS.2025.3646270</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2026-05-02T15:58:42Z</dcterms:created>
  <dcterms:modified xsi:type="dcterms:W3CDTF">2026-05-02T15:58:42Z</dcterms:modified>
</cp:coreProperties>
</file>

<file path=docProps/custom.xml><?xml version="1.0" encoding="utf-8"?>
<Properties xmlns="http://schemas.openxmlformats.org/officeDocument/2006/custom-properties" xmlns:vt="http://schemas.openxmlformats.org/officeDocument/2006/docPropsVTypes"/>
</file>