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84f2d16814eeace9634f2a4ed9b7c9e1ec0f825"/>
    <w:p>
      <w:pPr>
        <w:pStyle w:val="Heading1"/>
      </w:pPr>
      <w:r>
        <w:t xml:space="preserve">A semantic mutation metric for metamorphic relation adequacy in scientific computing programs</w:t>
      </w:r>
    </w:p>
    <w:bookmarkStart w:id="9" w:name="highlights"/>
    <w:p>
      <w:pPr>
        <w:pStyle w:val="Heading2"/>
      </w:pPr>
      <w:r>
        <w:t xml:space="preserve">Highlights</w:t>
      </w:r>
    </w:p>
    <w:p>
      <w:pPr>
        <w:pStyle w:val="Compact"/>
        <w:numPr>
          <w:ilvl w:val="0"/>
          <w:numId w:val="1001"/>
        </w:numPr>
      </w:pPr>
      <w:r>
        <w:t xml:space="preserve">Five semantic mutation operators degenerate to the classical Mutation Score in a proven limit.</w:t>
      </w:r>
    </w:p>
    <w:p>
      <w:pPr>
        <w:pStyle w:val="Compact"/>
        <w:numPr>
          <w:ilvl w:val="0"/>
          <w:numId w:val="1001"/>
        </w:numPr>
      </w:pPr>
      <w:r>
        <w:t xml:space="preserve">Across 12 Programs Under Test and 60 cells, 292 LLM-generated mutants overlap with 1,250 cosmic-ray syntactic mutants on only 5.14% of abstract syntax trees.</w:t>
      </w:r>
    </w:p>
    <w:p>
      <w:pPr>
        <w:pStyle w:val="Compact"/>
        <w:numPr>
          <w:ilvl w:val="0"/>
          <w:numId w:val="1001"/>
        </w:numPr>
      </w:pPr>
      <w:r>
        <w:t xml:space="preserve">The Hyperparameter, Structural Injection, and Trajectory Flip classes (54.5% of the mutant pool) are unreachable under default first-order syntactic configurations (HOM compositions; Jia and Harman 2008; not refuted).</w:t>
      </w:r>
    </w:p>
    <w:p>
      <w:pPr>
        <w:pStyle w:val="Compact"/>
        <w:numPr>
          <w:ilvl w:val="0"/>
          <w:numId w:val="1001"/>
        </w:numPr>
      </w:pPr>
      <w:r>
        <w:t xml:space="preserve">Primary v3 Cliff’s delta = 0.323 (H2 large-effect threshold not met); cross-source pooling shifts delta by ≤ 0.01 across two MP conditions (v3 → v4-mp5 = −0.009; v3b → v4 = −0.007).</w:t>
      </w:r>
    </w:p>
    <w:p>
      <w:pPr>
        <w:pStyle w:val="Compact"/>
        <w:numPr>
          <w:ilvl w:val="0"/>
          <w:numId w:val="1001"/>
        </w:numPr>
      </w:pPr>
      <w:r>
        <w:t xml:space="preserve">Stipulated-alternative power at the H2 boundary is 49.1%, so the</w:t>
      </w:r>
      <w:r>
        <w:t xml:space="preserve"> </w:t>
      </w:r>
      <w:r>
        <w:t xml:space="preserve">“not met”</w:t>
      </w:r>
      <w:r>
        <w:t xml:space="preserve"> </w:t>
      </w:r>
      <w:r>
        <w:t xml:space="preserve">verdict is a statement about the point estimate, not about the effect size.</w:t>
      </w:r>
    </w:p>
    <w:bookmarkEnd w:id="9"/>
    <w:bookmarkStart w:id="10" w:name="abstract"/>
    <w:p>
      <w:pPr>
        <w:pStyle w:val="Heading2"/>
      </w:pPr>
      <w:r>
        <w:t xml:space="preserve">Abstract</w:t>
      </w:r>
    </w:p>
    <w:p>
      <w:pPr>
        <w:pStyle w:val="FirstParagraph"/>
      </w:pPr>
      <w:r>
        <w:rPr>
          <w:b/>
          <w:bCs/>
        </w:rPr>
        <w:t xml:space="preserve">Context.</w:t>
      </w:r>
      <w:r>
        <w:t xml:space="preserve"> </w:t>
      </w:r>
      <w:r>
        <w:t xml:space="preserve">Metamorphic Testing (MT) addresses the test-oracle problem in scientific computing, but the classical Mutation Score (MS) is defined over syntactic Abstract Syntax Tree (AST) mutations and so misses domain semantics such as conservation, monotonicity, and convergence order.</w:t>
      </w:r>
    </w:p>
    <w:p>
      <w:pPr>
        <w:pStyle w:val="BodyText"/>
      </w:pPr>
      <w:r>
        <w:rPr>
          <w:b/>
          <w:bCs/>
        </w:rPr>
        <w:t xml:space="preserve">Objective.</w:t>
      </w:r>
      <w:r>
        <w:t xml:space="preserve"> </w:t>
      </w:r>
      <w:r>
        <w:t xml:space="preserve">We propose the Semantic Mutation Score (SMS), built on five domain-semantic operators — Conservation Erosion, Operator Substitution, Hyperparameter, Trajectory Flip, and Structural Injection. SMS degenerates almost everywhere to MS in a characterised limit, so any SMS-based conclusion remains consistent with prior mutation-testing literature in the classical regime.</w:t>
      </w:r>
    </w:p>
    <w:p>
      <w:pPr>
        <w:pStyle w:val="BodyText"/>
      </w:pPr>
      <w:r>
        <w:rPr>
          <w:b/>
          <w:bCs/>
        </w:rPr>
        <w:t xml:space="preserve">Method.</w:t>
      </w:r>
      <w:r>
        <w:t xml:space="preserve"> </w:t>
      </w:r>
      <w:r>
        <w:t xml:space="preserve">We instantiate a 12 × 5 matrix of Programs Under Test (PUTs) and meta-patterns (MPs), giving 60 cells with a mean of 24.3 mutants per PUT and N = 20 Automated Verification Pipeline (AVP) repetitions. The PUTs span four single-output</w:t>
      </w:r>
      <w:r>
        <w:t xml:space="preserve"> </w:t>
      </w:r>
      <w:r>
        <w:rPr>
          <w:rStyle w:val="VerbatimChar"/>
        </w:rPr>
        <w:t xml:space="preserve">float → float</w:t>
      </w:r>
      <w:r>
        <w:t xml:space="preserve"> </w:t>
      </w:r>
      <w:r>
        <w:t xml:space="preserve">classes (numeric, probabilistic, surrogate, machine learning; each under 2 KB). A three-layer Layered Root-Cause Analysis (LRCA) classifier separates true semantic faults from tolerance perturbation, out-of-distribution trips, statistical-assumption violation, and mutator artefacts. A three-stage ablation — v3 same-source, v3b data-driven primary MP, v4 cross-source over Claude, GPT, and DeepSeek under an identical prompt — isolates the contribution of metamorphic-relation (MR) design from that of Large Language Model (LLM) source diversity. We compare the 292 v4 mutants against 1,250 cosmic-ray syntactic mutants at the AST-normalised level.</w:t>
      </w:r>
    </w:p>
    <w:p>
      <w:pPr>
        <w:pStyle w:val="BodyText"/>
      </w:pPr>
      <w:r>
        <w:rPr>
          <w:b/>
          <w:bCs/>
        </w:rPr>
        <w:t xml:space="preserve">Results.</w:t>
      </w:r>
      <w:r>
        <w:t xml:space="preserve"> </w:t>
      </w:r>
      <w:r>
        <w:rPr>
          <w:i/>
          <w:iCs/>
        </w:rPr>
        <w:t xml:space="preserve">Primary verdict (v3, pre-registered).</w:t>
      </w:r>
      <w:r>
        <w:t xml:space="preserve"> </w:t>
      </w:r>
      <w:r>
        <w:rPr>
          <w:b/>
          <w:bCs/>
        </w:rPr>
        <w:t xml:space="preserve">The H2 large-effect threshold (Cliff’s δ ≥ 0.474, Romano 2006) is not met under the pre-registered point-estimate criterion</w:t>
      </w:r>
      <w:r>
        <w:t xml:space="preserve">: v3 δ = 0.323 (95% CI [0.017, 0.622]). At n_eff ≈ 18, the design carries acknowledged power limitations for distinguishing medium from large effects (full power analysis in §5.4); we therefore frame H2 as an underpowered exploratory contribution and defer full verification to P4 with n_PUT ≥ 30.</w:t>
      </w:r>
      <w:r>
        <w:t xml:space="preserve"> </w:t>
      </w:r>
      <w:r>
        <w:rPr>
          <w:i/>
          <w:iCs/>
        </w:rPr>
        <w:t xml:space="preserve">Robustness (v4-mp5, strips R11).</w:t>
      </w:r>
      <w:r>
        <w:t xml:space="preserve"> </w:t>
      </w:r>
      <w:r>
        <w:t xml:space="preserve">Holding the c-class primary at the pre-registered MP5 while pooling across LLM sources gives δ_v4-mp5 = 0.314 (95% CI [0.014, 0.622]); the contrast against v3 is Δδ = −0.009.</w:t>
      </w:r>
      <w:r>
        <w:t xml:space="preserve"> </w:t>
      </w:r>
      <w:r>
        <w:rPr>
          <w:b/>
          <w:bCs/>
        </w:rPr>
        <w:t xml:space="preserve">This is the only source-axis comparison in the paper that does not inherit the §3.4 post-hoc c-class primary-MP selection (R11)</w:t>
      </w:r>
      <w:r>
        <w:t xml:space="preserve"> </w:t>
      </w:r>
      <w:r>
        <w:t xml:space="preserve">and is therefore the main-narrative anchor for the LLM-source-axis null reading.</w:t>
      </w:r>
      <w:r>
        <w:t xml:space="preserve"> </w:t>
      </w:r>
      <w:r>
        <w:rPr>
          <w:i/>
          <w:iCs/>
        </w:rPr>
        <w:t xml:space="preserve">Sensitivity analyses (v3b / v4-mp1, deferred to Appendix D).</w:t>
      </w:r>
      <w:r>
        <w:t xml:space="preserve"> </w:t>
      </w:r>
      <w:r>
        <w:t xml:space="preserve">A post-hoc c-class primary-MP shift (MP5 → MP1, §3.4) gives δ_v3b = 0.446† (same-source) and δ_v4-mp1 = 0.439† (cross-source). The permutation null over c-class cell exchange gives one-sided p = 0.9885: a δ inflation of this magnitude is essentially indistinguishable from random reselection of the c-class primary MP. We retain these results as sensitivity reports in Appendix D and do not use them as evidentiary anchors in the main narrative.</w:t>
      </w:r>
      <w:r>
        <w:t xml:space="preserve"> </w:t>
      </w:r>
      <w:r>
        <w:rPr>
          <w:i/>
          <w:iCs/>
        </w:rPr>
        <w:t xml:space="preserve">Other.</w:t>
      </w:r>
      <w:r>
        <w:t xml:space="preserve"> </w:t>
      </w:r>
      <w:r>
        <w:t xml:space="preserve">Cross-source pooling raises mean C1_share from 0.164 to 0.209 (+27%) and class-c SMS by +91.4%† without moving δ (the +91.4% inherits the same R11 selection). Friedman χ² = 15.30, p = 0.0041. AST overlap with cosmic-ray is</w:t>
      </w:r>
      <w:r>
        <w:t xml:space="preserve"> </w:t>
      </w:r>
      <w:r>
        <w:rPr>
          <w:b/>
          <w:bCs/>
        </w:rPr>
        <w:t xml:space="preserve">5.14%</w:t>
      </w:r>
      <w:r>
        <w:t xml:space="preserve">; the Hyperparameter, Structural Injection, and Trajectory Flip classes (159 of 292 mutants) are unreachable under default first-order syntactic configurations (0/0/0); higher-order compositions (Jia and Harman 2008) are not refuted by this evidence and remain residual threat R12. († v3b/v4-mp1-derived numbers depend on the §3.4 post-hoc c-class primary-MP shift; permutation null one-sided p = 0.9885.)</w:t>
      </w:r>
    </w:p>
    <w:p>
      <w:pPr>
        <w:pStyle w:val="BodyText"/>
      </w:pPr>
      <w:r>
        <w:rPr>
          <w:b/>
          <w:bCs/>
        </w:rPr>
        <w:t xml:space="preserve">Conclusion.</w:t>
      </w:r>
      <w:r>
        <w:t xml:space="preserve"> </w:t>
      </w:r>
      <w:r>
        <w:t xml:space="preserve">Restricting the source-axis comparison to the only contrast not inheriting the §3.4 post-hoc selection (v3 with δ = 0.323 versus v4-mp5 with δ = 0.314, Δδ = −0.009), the LLM-identity axis (Claude / GPT / DeepSeek under an identical prompt) does not appreciably shift δ within this design. We do not infer that source diversity is broadly inert; the strong-sense test (per-LLM differential prompts; sample n_PUT ≥ 30) is deferred to P4. The §3.5 evidence (5.14% AST overlap, 0/0/0 unreachability for HP / SI / TF under default first-order syntactic configurations; HOM not refuted) is independent of the H2 effect-size question. SMS is a backward-compatible adequacy metric for domain-semantic MR sets.</w:t>
      </w:r>
    </w:p>
    <w:bookmarkEnd w:id="10"/>
    <w:bookmarkStart w:id="11" w:name="keywords"/>
    <w:p>
      <w:pPr>
        <w:pStyle w:val="Heading2"/>
      </w:pPr>
      <w:r>
        <w:t xml:space="preserve">Keywords</w:t>
      </w:r>
    </w:p>
    <w:p>
      <w:pPr>
        <w:pStyle w:val="FirstParagraph"/>
      </w:pPr>
      <w:r>
        <w:t xml:space="preserve">metamorphic testing; mutation testing; semantic mutation operators; LLM-generated mutants; ablation study; metamorphic relation adequacy; cross-source mutant pool; Cliff’s delta; single-output scientific computing kernels</w:t>
      </w:r>
    </w:p>
    <w:p>
      <w:r>
        <w:pict>
          <v:rect style="width:0;height:1.5pt" o:hralign="center" o:hrstd="t" o:hr="t"/>
        </w:pict>
      </w:r>
    </w:p>
    <w:bookmarkEnd w:id="11"/>
    <w:bookmarkStart w:id="18" w:name="introduction"/>
    <w:p>
      <w:pPr>
        <w:pStyle w:val="Heading2"/>
      </w:pPr>
      <w:r>
        <w:t xml:space="preserve">1. Introduction</w:t>
      </w:r>
    </w:p>
    <w:bookmarkStart w:id="12" w:name="motivation-and-scope"/>
    <w:p>
      <w:pPr>
        <w:pStyle w:val="Heading3"/>
      </w:pPr>
      <w:r>
        <w:t xml:space="preserve">1.1 Motivation and scope</w:t>
      </w:r>
    </w:p>
    <w:p>
      <w:pPr>
        <w:pStyle w:val="FirstParagraph"/>
      </w:pPr>
      <w:r>
        <w:t xml:space="preserve">Metamorphic Testing (MT) addresses the test-oracle problem in scientific computing software: instead of checking outputs against a known-correct reference, MT checks metamorphic relations (MRs) — invariants connecting outputs of related inputs. While</w:t>
      </w:r>
      <w:r>
        <w:t xml:space="preserve"> </w:t>
      </w:r>
      <w:r>
        <w:rPr>
          <w:i/>
          <w:iCs/>
        </w:rPr>
        <w:t xml:space="preserve">semantic mutation testing</w:t>
      </w:r>
      <w:r>
        <w:t xml:space="preserve"> </w:t>
      </w:r>
      <w:r>
        <w:t xml:space="preserve">has been named since Clark, Dan, and Hierons (2010) and tooled for C (Dan and Hierons 2012) and for UML state-machine behaviour (Derezińska and Zaremba 2019), and while MR-adjacent data-semantic mutation (Sun et al. 2016, 2024; Zhu et al. 2020; Chan and Keung 2024) and recent LLM semantic-invariance MT (Curtò and Zarzà 2025) extend the mutation target to test data, relations, and task-level semantics, the adequacy of an MR set against</w:t>
      </w:r>
      <w:r>
        <w:t xml:space="preserve"> </w:t>
      </w:r>
      <w:r>
        <w:rPr>
          <w:i/>
          <w:iCs/>
        </w:rPr>
        <w:t xml:space="preserve">domain-specific code-level faults</w:t>
      </w:r>
      <w:r>
        <w:t xml:space="preserve"> </w:t>
      </w:r>
      <w:r>
        <w:t xml:space="preserve">— conservation laws, monotonicity, convergence order, trajectory shape, fidelity ordering — has lacked a backward-compatible metric tied to the classical Mutation Score (MS) lineage. Jia and Harman’s (2011) MS is defined over syntactic Abstract Syntax Tree (AST) mutations and does not capture these domain semantics. Recent Large Language Model (LLM) generated mutants (Tip, Bell, and Schäfer 2024; Humbatova, Jahangirova, and Tonella 2021) do produce semantically richer mutants, but do not separate the contribution of LLM source diversity from the contribution of MR design.</w:t>
      </w:r>
    </w:p>
    <w:p>
      <w:pPr>
        <w:pStyle w:val="BodyText"/>
      </w:pPr>
      <w:r>
        <w:t xml:space="preserve">Throughout this paper we use the term</w:t>
      </w:r>
      <w:r>
        <w:t xml:space="preserve"> </w:t>
      </w:r>
      <w:r>
        <w:rPr>
          <w:i/>
          <w:iCs/>
        </w:rPr>
        <w:t xml:space="preserve">four representative classes of single-output scientific computing kernels</w:t>
      </w:r>
      <w:r>
        <w:t xml:space="preserve"> </w:t>
      </w:r>
      <w:r>
        <w:t xml:space="preserve">(numeric, probabilistic, surrogate, and machine-learning), and avoid the ambiguous software-engineering term</w:t>
      </w:r>
      <w:r>
        <w:t xml:space="preserve"> </w:t>
      </w:r>
      <w:r>
        <w:rPr>
          <w:i/>
          <w:iCs/>
        </w:rPr>
        <w:t xml:space="preserve">paradigm</w:t>
      </w:r>
      <w:r>
        <w:t xml:space="preserve">. The scope of our claims is strictly bounded to single-output</w:t>
      </w:r>
      <w:r>
        <w:t xml:space="preserve"> </w:t>
      </w:r>
      <w:r>
        <w:rPr>
          <w:rStyle w:val="VerbatimChar"/>
        </w:rPr>
        <w:t xml:space="preserve">float → float</w:t>
      </w:r>
      <w:r>
        <w:t xml:space="preserve"> </w:t>
      </w:r>
      <w:r>
        <w:t xml:space="preserve">kernels: each Program Under Test (PUT) is under 2 KB, and broader industrial transfer is reserved for the P3 and P5 companion papers.</w:t>
      </w:r>
    </w:p>
    <w:bookmarkEnd w:id="12"/>
    <w:bookmarkStart w:id="13" w:name="three-layer-methodological-framework"/>
    <w:p>
      <w:pPr>
        <w:pStyle w:val="Heading3"/>
      </w:pPr>
      <w:r>
        <w:t xml:space="preserve">1.2 Three-layer methodological framework</w:t>
      </w:r>
    </w:p>
    <w:p>
      <w:pPr>
        <w:pStyle w:val="FirstParagraph"/>
      </w:pPr>
      <w:r>
        <w:t xml:space="preserve">We organise the contribution as a three-layer framework around domain-semantic mutation operators.</w:t>
      </w:r>
    </w:p>
    <w:p>
      <w:pPr>
        <w:pStyle w:val="Compact"/>
        <w:numPr>
          <w:ilvl w:val="0"/>
          <w:numId w:val="1002"/>
        </w:numPr>
      </w:pPr>
      <w:r>
        <w:rPr>
          <w:b/>
          <w:bCs/>
        </w:rPr>
        <w:t xml:space="preserve">Layer 1, Definitional (§3.2).</w:t>
      </w:r>
      <w:r>
        <w:t xml:space="preserve"> </w:t>
      </w:r>
      <w:r>
        <w:t xml:space="preserve">A mutation is</w:t>
      </w:r>
      <w:r>
        <w:t xml:space="preserve"> </w:t>
      </w:r>
      <w:r>
        <w:rPr>
          <w:i/>
          <w:iCs/>
        </w:rPr>
        <w:t xml:space="preserve">semantic</w:t>
      </w:r>
      <w:r>
        <w:t xml:space="preserve"> </w:t>
      </w:r>
      <w:r>
        <w:t xml:space="preserve">if it satisfies at least one of three necessary conditions: (a) it crosses a function-call or module-import boundary, (b) it depends on domain knowledge for legality, or (c) it changes the algorithmic class. The five meta-operator classes — Conservation Erosion (CE, also written mut_C), Operator Substitution (OS, mut_M), Hyperparameter (HP, mut_G), Trajectory Flip (TF, mut_T), and Structural Injection (SI, mut_F) — specialise these conditions across the four PUT classes.</w:t>
      </w:r>
    </w:p>
    <w:p>
      <w:pPr>
        <w:pStyle w:val="Compact"/>
        <w:numPr>
          <w:ilvl w:val="0"/>
          <w:numId w:val="1002"/>
        </w:numPr>
      </w:pPr>
      <w:r>
        <w:rPr>
          <w:b/>
          <w:bCs/>
        </w:rPr>
        <w:t xml:space="preserve">Layer 2, Operational (§2.3, §4.3).</w:t>
      </w:r>
      <w:r>
        <w:t xml:space="preserve"> </w:t>
      </w:r>
      <w:r>
        <w:t xml:space="preserve">An equivalence judgement E1 ∧ E2, where E1 is Automated Verification Pipeline (AVP) coherence and E2 is output equivalence on K_eq = 1000 samples, gives the conservative instantiation of the Layer-1 conditions. The trade-off against E1-alone and E2-alone variants is in Appendix A.3.</w:t>
      </w:r>
    </w:p>
    <w:p>
      <w:pPr>
        <w:pStyle w:val="Compact"/>
        <w:numPr>
          <w:ilvl w:val="0"/>
          <w:numId w:val="1002"/>
        </w:numPr>
      </w:pPr>
      <w:r>
        <w:rPr>
          <w:b/>
          <w:bCs/>
        </w:rPr>
        <w:t xml:space="preserve">Layer 3, Applied (§3.5).</w:t>
      </w:r>
      <w:r>
        <w:t xml:space="preserve"> </w:t>
      </w:r>
      <w:r>
        <w:t xml:space="preserve">AST-normalised empirical traceability across all 12 PUTs: comparing 292 v4 mutants against 1,250 cosmic-ray syntactic mutants, we show empirically that the v4 pool is not a subset of the syntactic-mutant pool.</w:t>
      </w:r>
    </w:p>
    <w:p>
      <w:pPr>
        <w:pStyle w:val="FirstParagraph"/>
      </w:pPr>
      <w:r>
        <w:t xml:space="preserve">The 60-cell empirical audit reported in Section 5 is one demonstration following this backbone, not the paper’s main contribution. SMS is positioned as a strict generalisation of classical MS: under the degenerate limit</w:t>
      </w:r>
      <w:r>
        <w:t xml:space="preserve"> </w:t>
      </w:r>
      <w:r>
        <w:rPr>
          <w:rStyle w:val="VerbatimChar"/>
        </w:rPr>
        <w:t xml:space="preserve">L = L_equiv ∧ L_killed ∧ L_mut</w:t>
      </w:r>
      <w:r>
        <w:t xml:space="preserve"> </w:t>
      </w:r>
      <w:r>
        <w:t xml:space="preserve">formalised in §2.6, SMS reduces almost everywhere to MS.</w:t>
      </w:r>
    </w:p>
    <w:bookmarkEnd w:id="13"/>
    <w:bookmarkStart w:id="14" w:name="related-work-and-roadmap"/>
    <w:p>
      <w:pPr>
        <w:pStyle w:val="Heading3"/>
      </w:pPr>
      <w:r>
        <w:t xml:space="preserve">1.3 Related work and roadmap</w:t>
      </w:r>
    </w:p>
    <w:p>
      <w:pPr>
        <w:pStyle w:val="FirstParagraph"/>
      </w:pPr>
      <w:r>
        <w:t xml:space="preserve">This paper is P2 in a five-paper roadmap. P1 audits MR meta-patterns on the same 12-PUT infrastructure (Meng Li et al.,</w:t>
      </w:r>
      <w:r>
        <w:t xml:space="preserve"> </w:t>
      </w:r>
      <w:r>
        <w:rPr>
          <w:i/>
          <w:iCs/>
        </w:rPr>
        <w:t xml:space="preserve">Progress in Nuclear Energy</w:t>
      </w:r>
      <w:r>
        <w:t xml:space="preserve">, under review). P4 is the unified-theory companion (minimal MR-subset existence and three-pillar coupling). P5 and P2-CN cover regulatory and engineering transfer.</w:t>
      </w:r>
    </w:p>
    <w:p>
      <w:pPr>
        <w:pStyle w:val="BodyText"/>
      </w:pPr>
      <w:r>
        <w:t xml:space="preserve">Three lines of prior work bracket the contribution of this paper.</w:t>
      </w:r>
    </w:p>
    <w:p>
      <w:pPr>
        <w:pStyle w:val="BodyText"/>
      </w:pPr>
      <w:r>
        <w:rPr>
          <w:b/>
          <w:bCs/>
        </w:rPr>
        <w:t xml:space="preserve">(i) Classical mutation testing.</w:t>
      </w:r>
      <w:r>
        <w:t xml:space="preserve"> </w:t>
      </w:r>
      <w:r>
        <w:t xml:space="preserve">Jia and Harman (2011) and Papadakis et al. (2019) survey syntactic mutation. The Coupling Effect Hypothesis (CPH) — that tests detecting simple faults also detect complex faults — underpins the use of MS as a fault proxy (DeMillo, Lipton, and Sayward 1978; Andrews, Briand, and Labiche 2005; Just et al. 2014). We argue in §3.5 that CPH holds within syntactic mutation but does not automatically extend across the syntactic-versus-domain-semantic boundary, even when it couples simple syntactic faults to complex syntactic faults. The §3.5 empirical evidence (5.14% AST overlap on 12 PUTs, with HP, SI, and TF at 0/0/0) is the empirical witness for this boundary.</w:t>
      </w:r>
    </w:p>
    <w:p>
      <w:pPr>
        <w:pStyle w:val="BodyText"/>
      </w:pPr>
      <w:r>
        <w:rPr>
          <w:b/>
          <w:bCs/>
        </w:rPr>
        <w:t xml:space="preserve">(ii) Higher-order mutation.</w:t>
      </w:r>
      <w:r>
        <w:t xml:space="preserve"> </w:t>
      </w:r>
      <w:r>
        <w:t xml:space="preserve">Jia and Harman (2009) and Kintis et al. (2018) study compositions of first-order syntactic mutants. We explicitly exclude any equivalence claim about Higher-Order Mutation (HOM) and list HOM as residual threat R12 (Appendix F.1).</w:t>
      </w:r>
    </w:p>
    <w:p>
      <w:pPr>
        <w:pStyle w:val="BodyText"/>
      </w:pPr>
      <w:r>
        <w:rPr>
          <w:b/>
          <w:bCs/>
        </w:rPr>
        <w:t xml:space="preserve">(iii) LLM-generated mutants.</w:t>
      </w:r>
      <w:r>
        <w:t xml:space="preserve"> </w:t>
      </w:r>
      <w:r>
        <w:t xml:space="preserve">Tip, Bell, and Schäfer (2024) introduce LLMorpheus, which uses single-LLM JavaScript mutants. Humbatova, Jahangirova, and Tonella (2021) introduce DeepCrime for deep-learning real-fault mutation. Moradi Dakhel et al. (2024) extend LLM-driven mutation testing to test generation on Java PUTs, providing an</w:t>
      </w:r>
      <w:r>
        <w:t xml:space="preserve"> </w:t>
      </w:r>
      <w:r>
        <w:rPr>
          <w:i/>
          <w:iCs/>
        </w:rPr>
        <w:t xml:space="preserve">Information and Software Technology</w:t>
      </w:r>
      <w:r>
        <w:t xml:space="preserve"> </w:t>
      </w:r>
      <w:r>
        <w:t xml:space="preserve">anchor for the LLM-mutant lineage. To our knowledge no prior LLM-mutant work isolates</w:t>
      </w:r>
      <w:r>
        <w:t xml:space="preserve"> </w:t>
      </w:r>
      <w:r>
        <w:rPr>
          <w:i/>
          <w:iCs/>
        </w:rPr>
        <w:t xml:space="preserve">LLM source diversity</w:t>
      </w:r>
      <w:r>
        <w:t xml:space="preserve"> </w:t>
      </w:r>
      <w:r>
        <w:t xml:space="preserve">from</w:t>
      </w:r>
      <w:r>
        <w:t xml:space="preserve"> </w:t>
      </w:r>
      <w:r>
        <w:rPr>
          <w:i/>
          <w:iCs/>
        </w:rPr>
        <w:t xml:space="preserve">MR design</w:t>
      </w:r>
      <w:r>
        <w:t xml:space="preserve"> </w:t>
      </w:r>
      <w:r>
        <w:t xml:space="preserve">in the contribution to effect size; the three-stage ablation in §4.2 closes this gap. On the equivalent-mutant problem, Delgado-Pérez and Chicano (2020) emphasise the importance of the</w:t>
      </w:r>
      <w:r>
        <w:t xml:space="preserve"> </w:t>
      </w:r>
      <w:r>
        <w:rPr>
          <w:rStyle w:val="VerbatimChar"/>
        </w:rPr>
        <w:t xml:space="preserve">equiv</w:t>
      </w:r>
      <w:r>
        <w:t xml:space="preserve"> </w:t>
      </w:r>
      <w:r>
        <w:t xml:space="preserve">term in the MS denominator; we extend that classical bitwise-equivalence definition to a semantic-class equivalence E1 ∧ E2 in §2.3. Zhang et al. (2021) demonstrate MT validation in class-integration test ordering — a non-scientific-computing domain — and the present paper specialises MT to scientific-computing PUTs and couples it to a domain-semantic mutation operator framework.</w:t>
      </w:r>
    </w:p>
    <w:p>
      <w:pPr>
        <w:pStyle w:val="BodyText"/>
      </w:pPr>
      <w:r>
        <w:rPr>
          <w:b/>
          <w:bCs/>
        </w:rPr>
        <w:t xml:space="preserve">(iv) Semantic mutation operators across testing communities.</w:t>
      </w:r>
      <w:r>
        <w:t xml:space="preserve"> </w:t>
      </w:r>
      <w:r>
        <w:t xml:space="preserve">Semantic mutation as a research line is older than the LLM-mutant lineage. Clark, Dan, and Hierons (2010) introduce</w:t>
      </w:r>
      <w:r>
        <w:t xml:space="preserve"> </w:t>
      </w:r>
      <w:r>
        <w:rPr>
          <w:i/>
          <w:iCs/>
        </w:rPr>
        <w:t xml:space="preserve">semantic mutation testing</w:t>
      </w:r>
      <w:r>
        <w:t xml:space="preserve"> </w:t>
      </w:r>
      <w:r>
        <w:t xml:space="preserve">as a path distinct from syntactic mutation; Dan and Hierons (2012) tool the approach for C; Derezińska and Zaremba (2019) apply</w:t>
      </w:r>
      <w:r>
        <w:t xml:space="preserve"> </w:t>
      </w:r>
      <w:r>
        <w:rPr>
          <w:i/>
          <w:iCs/>
        </w:rPr>
        <w:t xml:space="preserve">semantic mutation operators</w:t>
      </w:r>
      <w:r>
        <w:t xml:space="preserve"> </w:t>
      </w:r>
      <w:r>
        <w:t xml:space="preserve">to UML state-machine behaviour by perturbing semantic-variation-point interpretations rather than syntactic structure. Within MT specifically, Sun et al. (2016, 2024) propose</w:t>
      </w:r>
      <w:r>
        <w:t xml:space="preserve"> </w:t>
      </w:r>
      <w:r>
        <w:rPr>
          <w:i/>
          <w:iCs/>
        </w:rPr>
        <w:t xml:space="preserve">data mutation operators</w:t>
      </w:r>
      <w:r>
        <w:t xml:space="preserve"> </w:t>
      </w:r>
      <w:r>
        <w:t xml:space="preserve">and the μMT methodology to drive MR acquisition through controlled data-semantic perturbation; Zhu et al. (2020) formalise</w:t>
      </w:r>
      <w:r>
        <w:t xml:space="preserve"> </w:t>
      </w:r>
      <w:r>
        <w:rPr>
          <w:i/>
          <w:iCs/>
        </w:rPr>
        <w:t xml:space="preserve">datamorphic testing</w:t>
      </w:r>
      <w:r>
        <w:t xml:space="preserve">, separating datamorphisms (test-case-to-test-case mappings) from metamorphisms (test-case-to-Boolean mappings) over data semantics; Chan and Keung (2024) extend generic data mutation operators to unsupervised software-defect-prediction validation. Most recently, Curtò and Zarzà (2025) formalise</w:t>
      </w:r>
      <w:r>
        <w:t xml:space="preserve"> </w:t>
      </w:r>
      <w:r>
        <w:rPr>
          <w:i/>
          <w:iCs/>
        </w:rPr>
        <w:t xml:space="preserve">semantic invariance</w:t>
      </w:r>
      <w:r>
        <w:t xml:space="preserve"> </w:t>
      </w:r>
      <w:r>
        <w:t xml:space="preserve">in LLM MT under paraphrase, fact-reorder, expand/contract, and context-shift transformations. These works establish that mutation can target data, relation, task, and behavioural semantics.</w:t>
      </w:r>
      <w:r>
        <w:t xml:space="preserve"> </w:t>
      </w:r>
      <w:r>
        <w:rPr>
          <w:b/>
          <w:bCs/>
        </w:rPr>
        <w:t xml:space="preserve">The contribution of this paper is the first to formalise a domain-specific Semantic Mutation Score (SMS) for MR adequacy in scientific computing kernels, with a proven backward-compatible reduction to classical MS (Theorem 9.1) and a code-level operator framework (Conservation Erosion, Operator Substitution, Hyperparameter, Trajectory Flip, Structural Injection) targeting kernel-specific faults.</w:t>
      </w:r>
    </w:p>
    <w:p>
      <w:pPr>
        <w:pStyle w:val="BodyText"/>
      </w:pPr>
      <w:r>
        <w:t xml:space="preserve">A numerical-coincidence note. Petrović and Ivanković’s (2018) ~20%</w:t>
      </w:r>
      <w:r>
        <w:t xml:space="preserve"> </w:t>
      </w:r>
      <w:r>
        <w:t xml:space="preserve">“productive-mutant”</w:t>
      </w:r>
      <w:r>
        <w:t xml:space="preserve"> </w:t>
      </w:r>
      <w:r>
        <w:t xml:space="preserve">rate at Google is numerically close to our LRCA-calibrated C1_share of 0.20. The two constructs differ — developer survey (subjective) versus three-layer classifier (output) — so the agreement is a contextual numerical coincidence rather than mechanism validation, as we discuss in §6.1.</w:t>
      </w:r>
    </w:p>
    <w:p>
      <w:pPr>
        <w:pStyle w:val="BodyText"/>
      </w:pPr>
      <w:r>
        <w:t xml:space="preserve">The SMS metric is conceptually complementary to the code-verification scope of ASME V&amp;V 20-2009 §3, which targets numerical-solver correctness. SMS targets MR fault-detection adequacy; we make no normative compliance claim (Appendix E.3 records this as a long-term aspiration only).</w:t>
      </w:r>
    </w:p>
    <w:bookmarkEnd w:id="14"/>
    <w:bookmarkStart w:id="15" w:name="research-questions"/>
    <w:p>
      <w:pPr>
        <w:pStyle w:val="Heading3"/>
      </w:pPr>
      <w:r>
        <w:t xml:space="preserve">1.4 Research questions</w:t>
      </w:r>
    </w:p>
    <w:p>
      <w:pPr>
        <w:pStyle w:val="Compact"/>
        <w:numPr>
          <w:ilvl w:val="0"/>
          <w:numId w:val="1003"/>
        </w:numPr>
      </w:pPr>
      <w:r>
        <w:rPr>
          <w:b/>
          <w:bCs/>
        </w:rPr>
        <w:t xml:space="preserve">RQ1</w:t>
      </w:r>
      <w:r>
        <w:t xml:space="preserve"> </w:t>
      </w:r>
      <w:r>
        <w:t xml:space="preserve">Distributions of inst_rate, equiv_rate, C1_share, survive_rate over 60 cells.</w:t>
      </w:r>
    </w:p>
    <w:p>
      <w:pPr>
        <w:pStyle w:val="Compact"/>
        <w:numPr>
          <w:ilvl w:val="0"/>
          <w:numId w:val="1003"/>
        </w:numPr>
      </w:pPr>
      <w:r>
        <w:rPr>
          <w:b/>
          <w:bCs/>
        </w:rPr>
        <w:t xml:space="preserve">RQ2</w:t>
      </w:r>
      <w:r>
        <w:t xml:space="preserve"> </w:t>
      </w:r>
      <w:r>
        <w:t xml:space="preserve">SMS difference structure between operator-MP aligned (j=k) and cross (j≠k) slices.</w:t>
      </w:r>
    </w:p>
    <w:p>
      <w:pPr>
        <w:pStyle w:val="Compact"/>
        <w:numPr>
          <w:ilvl w:val="0"/>
          <w:numId w:val="1003"/>
        </w:numPr>
      </w:pPr>
      <w:r>
        <w:rPr>
          <w:b/>
          <w:bCs/>
        </w:rPr>
        <w:t xml:space="preserve">RQ3</w:t>
      </w:r>
      <w:r>
        <w:t xml:space="preserve"> </w:t>
      </w:r>
      <w:r>
        <w:t xml:space="preserve">Cross-class consistency across 4 program classes × 5 operators.</w:t>
      </w:r>
    </w:p>
    <w:p>
      <w:pPr>
        <w:pStyle w:val="Compact"/>
        <w:numPr>
          <w:ilvl w:val="0"/>
          <w:numId w:val="1003"/>
        </w:numPr>
      </w:pPr>
      <w:r>
        <w:rPr>
          <w:b/>
          <w:bCs/>
        </w:rPr>
        <w:t xml:space="preserve">RQ4</w:t>
      </w:r>
      <w:r>
        <w:t xml:space="preserve"> </w:t>
      </w:r>
      <w:r>
        <w:t xml:space="preserve">Empirical relationship between SMS and Pattern Coverage (</w:t>
      </w:r>
      <w:r>
        <w:rPr>
          <w:b/>
          <w:bCs/>
        </w:rPr>
        <w:t xml:space="preserve">descriptive only at n = 12; no formal test</w:t>
      </w:r>
      <w:r>
        <w:t xml:space="preserve">; pre-registered as a P4 hypothesis-generating observation).</w:t>
      </w:r>
    </w:p>
    <w:bookmarkEnd w:id="15"/>
    <w:bookmarkStart w:id="16" w:name="hypotheses"/>
    <w:p>
      <w:pPr>
        <w:pStyle w:val="Heading3"/>
      </w:pPr>
      <w:r>
        <w:t xml:space="preserve">1.5 Hypotheses</w:t>
      </w:r>
    </w:p>
    <w:p>
      <w:pPr>
        <w:pStyle w:val="Compact"/>
        <w:numPr>
          <w:ilvl w:val="0"/>
          <w:numId w:val="1004"/>
        </w:numPr>
      </w:pPr>
      <w:r>
        <w:rPr>
          <w:b/>
          <w:bCs/>
        </w:rPr>
        <w:t xml:space="preserve">H1.</w:t>
      </w:r>
      <w:r>
        <w:t xml:space="preserve"> </w:t>
      </w:r>
      <w:r>
        <w:t xml:space="preserve">At least 4 of the 5 operators produce ≥ 5 non-equivalent mutants on at least 9 of the 12 PUTs.</w:t>
      </w:r>
    </w:p>
    <w:p>
      <w:pPr>
        <w:pStyle w:val="Compact"/>
        <w:numPr>
          <w:ilvl w:val="0"/>
          <w:numId w:val="1004"/>
        </w:numPr>
      </w:pPr>
      <w:r>
        <w:rPr>
          <w:b/>
          <w:bCs/>
        </w:rPr>
        <w:t xml:space="preserve">H2.</w:t>
      </w:r>
      <w:r>
        <w:t xml:space="preserve"> </w:t>
      </w:r>
      <w:r>
        <w:t xml:space="preserve">The aligned-SMS to cross-SMS odds ratio is ≥ 3.0, and Cliff’s δ is ≥ 0.474.</w:t>
      </w:r>
    </w:p>
    <w:p>
      <w:pPr>
        <w:pStyle w:val="Compact"/>
        <w:numPr>
          <w:ilvl w:val="0"/>
          <w:numId w:val="1004"/>
        </w:numPr>
      </w:pPr>
      <w:r>
        <w:rPr>
          <w:strike/>
        </w:rPr>
        <w:t xml:space="preserve">H3</w:t>
      </w:r>
      <w:r>
        <w:t xml:space="preserve"> </w:t>
      </w:r>
      <w:r>
        <w:t xml:space="preserve">retired before v3 data collection: its bidirectional-threshold formulation collapses on LLM-mutant data because too few cells trigger any non-zero equivalent mutant. The R_sem versus R_kill decoupling phenomenon now appears in §6.2 as descriptive evidence.</w:t>
      </w:r>
    </w:p>
    <w:p>
      <w:pPr>
        <w:pStyle w:val="Compact"/>
        <w:numPr>
          <w:ilvl w:val="0"/>
          <w:numId w:val="1004"/>
        </w:numPr>
      </w:pPr>
      <w:r>
        <w:rPr>
          <w:b/>
          <w:bCs/>
        </w:rPr>
        <w:t xml:space="preserve">H4.</w:t>
      </w:r>
      <w:r>
        <w:t xml:space="preserve"> </w:t>
      </w:r>
      <w:r>
        <w:t xml:space="preserve">A within-class sign test gives 4/4 across the 4 classes, and CV(ΔSMS) &lt; 0.5.</w:t>
      </w:r>
    </w:p>
    <w:p>
      <w:pPr>
        <w:pStyle w:val="Compact"/>
        <w:numPr>
          <w:ilvl w:val="0"/>
          <w:numId w:val="1004"/>
        </w:numPr>
      </w:pPr>
      <w:r>
        <w:rPr>
          <w:b/>
          <w:bCs/>
        </w:rPr>
        <w:t xml:space="preserve">H5.</w:t>
      </w:r>
      <w:r>
        <w:t xml:space="preserve"> </w:t>
      </w:r>
      <w:r>
        <w:t xml:space="preserve">Mean suspect_share is ≤ 0.20 across the 60 cells.</w:t>
      </w:r>
    </w:p>
    <w:p>
      <w:pPr>
        <w:pStyle w:val="FirstParagraph"/>
      </w:pPr>
      <w:r>
        <w:t xml:space="preserve">We keep the numbering H1, H2, H4, H5 (with H3 vacant) for cross-reference consistency.</w:t>
      </w:r>
    </w:p>
    <w:bookmarkEnd w:id="16"/>
    <w:bookmarkStart w:id="17" w:name="Xc93d74e40ff71e6f1d613b6061669c294b07ce0"/>
    <w:p>
      <w:pPr>
        <w:pStyle w:val="Heading3"/>
      </w:pPr>
      <w:r>
        <w:t xml:space="preserve">1.6 Boundary between P2 and the companion papers</w:t>
      </w:r>
    </w:p>
    <w:p>
      <w:pPr>
        <w:pStyle w:val="FirstParagraph"/>
      </w:pPr>
      <w:r>
        <w:t xml:space="preserve">P2 contributes the tool and the empirical report on 12 PUTs and 60 cells. P4 will contribute formal theorems (minimal MR-subset existence, reachable adequacy, three-pillar coupling). The 12 PUTs are deliberately</w:t>
      </w:r>
      <w:r>
        <w:t xml:space="preserve"> </w:t>
      </w:r>
      <w:r>
        <w:rPr>
          <w:i/>
          <w:iCs/>
        </w:rPr>
        <w:t xml:space="preserve">Numerical Recipes</w:t>
      </w:r>
      <w:r>
        <w:t xml:space="preserve">–style toy kernels: they provide a verifiable minimum working example for the three-layer backbone, and industrial-scale transfer is reserved for P5.</w:t>
      </w:r>
    </w:p>
    <w:p>
      <w:r>
        <w:pict>
          <v:rect style="width:0;height:1.5pt" o:hralign="center" o:hrstd="t" o:hr="t"/>
        </w:pict>
      </w:r>
    </w:p>
    <w:bookmarkEnd w:id="17"/>
    <w:bookmarkEnd w:id="18"/>
    <w:bookmarkStart w:id="25" w:name="notation-and-equivalence-judgement"/>
    <w:p>
      <w:pPr>
        <w:pStyle w:val="Heading2"/>
      </w:pPr>
      <w:r>
        <w:t xml:space="preserve">2. Notation and Equivalence Judgement</w:t>
      </w:r>
    </w:p>
    <w:bookmarkStart w:id="19" w:name="vocabulary-inheritance"/>
    <w:p>
      <w:pPr>
        <w:pStyle w:val="Heading3"/>
      </w:pPr>
      <w:r>
        <w:t xml:space="preserve">2.1 Vocabulary inheritance</w:t>
      </w:r>
    </w:p>
    <w:p>
      <w:pPr>
        <w:pStyle w:val="FirstParagraph"/>
      </w:pPr>
      <w:r>
        <w:t xml:space="preserve">Seven classical mutation-testing concepts are inherited verbatim from Jia &amp; Harman (2011) and Ammann &amp; Offutt (2008) - PUT (</w:t>
      </w:r>
      <w:r>
        <w:rPr>
          <w:rStyle w:val="VerbatimChar"/>
        </w:rPr>
        <w:t xml:space="preserve">S_i</w:t>
      </w:r>
      <w:r>
        <w:t xml:space="preserve">), mutation operator (</w:t>
      </w:r>
      <w:r>
        <w:rPr>
          <w:rStyle w:val="VerbatimChar"/>
        </w:rPr>
        <w:t xml:space="preserve">mut_j ∈ MUT</w:t>
      </w:r>
      <w:r>
        <w:t xml:space="preserve">), mutant (</w:t>
      </w:r>
      <w:r>
        <w:rPr>
          <w:rStyle w:val="VerbatimChar"/>
        </w:rPr>
        <w:t xml:space="preserve">s' ∈ mut_j(S_i)</w:t>
      </w:r>
      <w:r>
        <w:t xml:space="preserve">), equivalent mutant (</w:t>
      </w:r>
      <w:r>
        <w:rPr>
          <w:rStyle w:val="VerbatimChar"/>
        </w:rPr>
        <w:t xml:space="preserve">equiv_{i,k,j}</w:t>
      </w:r>
      <w:r>
        <w:t xml:space="preserve">), killed mutant (</w:t>
      </w:r>
      <w:r>
        <w:rPr>
          <w:rStyle w:val="VerbatimChar"/>
        </w:rPr>
        <w:t xml:space="preserve">killed_{i,k,j}</w:t>
      </w:r>
      <w:r>
        <w:t xml:space="preserve">), surviving mutant (</w:t>
      </w:r>
      <w:r>
        <w:rPr>
          <w:rStyle w:val="VerbatimChar"/>
        </w:rPr>
        <w:t xml:space="preserve">survive_{i,k,j}</w:t>
      </w:r>
      <w:r>
        <w:t xml:space="preserve">), and Mutation Score. The SMS formula structure is preserved, with extension applied only to the</w:t>
      </w:r>
      <w:r>
        <w:t xml:space="preserve"> </w:t>
      </w:r>
      <w:r>
        <w:rPr>
          <w:i/>
          <w:iCs/>
        </w:rPr>
        <w:t xml:space="preserve">internal definitions</w:t>
      </w:r>
      <w:r>
        <w:t xml:space="preserve"> </w:t>
      </w:r>
      <w:r>
        <w:t xml:space="preserve">of</w:t>
      </w:r>
      <w:r>
        <w:t xml:space="preserve"> </w:t>
      </w:r>
      <w:r>
        <w:rPr>
          <w:rStyle w:val="VerbatimChar"/>
        </w:rPr>
        <w:t xml:space="preserve">mut</w:t>
      </w:r>
      <w:r>
        <w:t xml:space="preserve">,</w:t>
      </w:r>
      <w:r>
        <w:t xml:space="preserve"> </w:t>
      </w:r>
      <w:r>
        <w:rPr>
          <w:rStyle w:val="VerbatimChar"/>
        </w:rPr>
        <w:t xml:space="preserve">equiv</w:t>
      </w:r>
      <w:r>
        <w:t xml:space="preserve">, and</w:t>
      </w:r>
      <w:r>
        <w:t xml:space="preserve"> </w:t>
      </w:r>
      <w:r>
        <w:rPr>
          <w:rStyle w:val="VerbatimChar"/>
        </w:rPr>
        <w:t xml:space="preserve">killed</w:t>
      </w:r>
      <w:r>
        <w:t xml:space="preserve">.</w:t>
      </w:r>
    </w:p>
    <w:p>
      <w:pPr>
        <w:pStyle w:val="BodyText"/>
      </w:pPr>
      <w:r>
        <w:t xml:space="preserve">Three-state decomposition (mutually exclusive and exhaustive):</w:t>
      </w:r>
    </w:p>
    <w:p>
      <w:pPr>
        <w:pStyle w:val="SourceCode"/>
      </w:pPr>
      <w:r>
        <w:rPr>
          <w:rStyle w:val="VerbatimChar"/>
        </w:rPr>
        <w:t xml:space="preserve">mut_j(S_i) = equiv_{i,k,j} ∪ killed_{i,k,j} ∪ survive_{i,k,j}   (disjoint)</w:t>
      </w:r>
      <w:r>
        <w:br/>
      </w:r>
      <w:r>
        <w:rPr>
          <w:rStyle w:val="VerbatimChar"/>
        </w:rPr>
        <w:t xml:space="preserve">SMS_{i,k,j} := |killed_{i,k,j}| / (|mut_j(S_i)| − |equiv_{i,k,j}|)  ∈ [0, 1]</w:t>
      </w:r>
    </w:p>
    <w:p>
      <w:pPr>
        <w:pStyle w:val="FirstParagraph"/>
      </w:pPr>
      <w:r>
        <w:t xml:space="preserve">The complete notation table is in Appendix A.1; index sets and tolerance parameters (</w:t>
      </w:r>
      <w:r>
        <w:rPr>
          <w:rStyle w:val="VerbatimChar"/>
        </w:rPr>
        <w:t xml:space="preserve">ε_eq</w:t>
      </w:r>
      <w:r>
        <w:t xml:space="preserve">,</w:t>
      </w:r>
      <w:r>
        <w:t xml:space="preserve"> </w:t>
      </w:r>
      <w:r>
        <w:rPr>
          <w:rStyle w:val="VerbatimChar"/>
        </w:rPr>
        <w:t xml:space="preserve">ε_AVP^k</w:t>
      </w:r>
      <w:r>
        <w:t xml:space="preserve">,</w:t>
      </w:r>
      <w:r>
        <w:t xml:space="preserve"> </w:t>
      </w:r>
      <w:r>
        <w:rPr>
          <w:rStyle w:val="VerbatimChar"/>
        </w:rPr>
        <w:t xml:space="preserve">K_eq = 1000</w:t>
      </w:r>
      <w:r>
        <w:t xml:space="preserve">,</w:t>
      </w:r>
      <w:r>
        <w:t xml:space="preserve"> </w:t>
      </w:r>
      <w:r>
        <w:rPr>
          <w:rStyle w:val="VerbatimChar"/>
        </w:rPr>
        <w:t xml:space="preserve">N = 20</w:t>
      </w:r>
      <w:r>
        <w:t xml:space="preserve">) follow that table.</w:t>
      </w:r>
    </w:p>
    <w:bookmarkEnd w:id="19"/>
    <w:bookmarkStart w:id="20" w:name="operator-signatures"/>
    <w:p>
      <w:pPr>
        <w:pStyle w:val="Heading3"/>
      </w:pPr>
      <w:r>
        <w:t xml:space="preserve">2.2 Operator signatures</w:t>
      </w:r>
    </w:p>
    <w:p>
      <w:pPr>
        <w:pStyle w:val="FirstParagraph"/>
      </w:pPr>
      <w:r>
        <w:t xml:space="preserve">Operator family and alignment:</w:t>
      </w:r>
    </w:p>
    <w:p>
      <w:pPr>
        <w:pStyle w:val="SourceCode"/>
      </w:pPr>
      <w:r>
        <w:rPr>
          <w:rStyle w:val="VerbatimChar"/>
        </w:rPr>
        <w:t xml:space="preserve">MUT = {mut_C, mut_M, mut_G, mut_T, mut_F}     (open, extensible)</w:t>
      </w:r>
      <w:r>
        <w:br/>
      </w:r>
      <w:r>
        <w:rPr>
          <w:rStyle w:val="VerbatimChar"/>
        </w:rPr>
        <w:t xml:space="preserve">mut_j : Programs → 2^Programs</w:t>
      </w:r>
      <w:r>
        <w:br/>
      </w:r>
      <w:r>
        <w:rPr>
          <w:rStyle w:val="VerbatimChar"/>
        </w:rPr>
        <w:t xml:space="preserve">align(j) = j      (design choice, not theorem)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Operator</w:t>
            </w:r>
          </w:p>
        </w:tc>
        <w:tc>
          <w:tcPr/>
          <w:p>
            <w:pPr>
              <w:pStyle w:val="Compact"/>
            </w:pPr>
            <w:r>
              <w:t xml:space="preserve">Failure semantics</w:t>
            </w:r>
          </w:p>
        </w:tc>
        <w:tc>
          <w:tcPr/>
          <w:p>
            <w:pPr>
              <w:pStyle w:val="Compact"/>
            </w:pPr>
            <w:r>
              <w:t xml:space="preserve">Aligned MP</w:t>
            </w:r>
          </w:p>
        </w:tc>
      </w:tr>
      <w:tr>
        <w:tc>
          <w:tcPr/>
          <w:p>
            <w:pPr>
              <w:pStyle w:val="Compact"/>
            </w:pPr>
            <w:r>
              <w:t xml:space="preserve">mut_C</w:t>
            </w:r>
          </w:p>
        </w:tc>
        <w:tc>
          <w:tcPr/>
          <w:p>
            <w:pPr>
              <w:pStyle w:val="Compact"/>
            </w:pPr>
            <w:r>
              <w:t xml:space="preserve">Conservation-breaking</w:t>
            </w:r>
          </w:p>
        </w:tc>
        <w:tc>
          <w:tcPr/>
          <w:p>
            <w:pPr>
              <w:pStyle w:val="Compact"/>
            </w:pPr>
            <w:r>
              <w:t xml:space="preserve">MP_1 Conservation</w:t>
            </w:r>
          </w:p>
        </w:tc>
      </w:tr>
      <w:tr>
        <w:tc>
          <w:tcPr/>
          <w:p>
            <w:pPr>
              <w:pStyle w:val="Compact"/>
            </w:pPr>
            <w:r>
              <w:t xml:space="preserve">mut_M</w:t>
            </w:r>
          </w:p>
        </w:tc>
        <w:tc>
          <w:tcPr/>
          <w:p>
            <w:pPr>
              <w:pStyle w:val="Compact"/>
            </w:pPr>
            <w:r>
              <w:t xml:space="preserve">Monotonicity-breaking</w:t>
            </w:r>
          </w:p>
        </w:tc>
        <w:tc>
          <w:tcPr/>
          <w:p>
            <w:pPr>
              <w:pStyle w:val="Compact"/>
            </w:pPr>
            <w:r>
              <w:t xml:space="preserve">MP_2 Monotonicity</w:t>
            </w:r>
          </w:p>
        </w:tc>
      </w:tr>
      <w:tr>
        <w:tc>
          <w:tcPr/>
          <w:p>
            <w:pPr>
              <w:pStyle w:val="Compact"/>
            </w:pPr>
            <w:r>
              <w:t xml:space="preserve">mut_G</w:t>
            </w:r>
          </w:p>
        </w:tc>
        <w:tc>
          <w:tcPr/>
          <w:p>
            <w:pPr>
              <w:pStyle w:val="Compact"/>
            </w:pPr>
            <w:r>
              <w:t xml:space="preserve">Convergence-breaking</w:t>
            </w:r>
          </w:p>
        </w:tc>
        <w:tc>
          <w:tcPr/>
          <w:p>
            <w:pPr>
              <w:pStyle w:val="Compact"/>
            </w:pPr>
            <w:r>
              <w:t xml:space="preserve">MP_3 Convergence</w:t>
            </w:r>
          </w:p>
        </w:tc>
      </w:tr>
      <w:tr>
        <w:tc>
          <w:tcPr/>
          <w:p>
            <w:pPr>
              <w:pStyle w:val="Compact"/>
            </w:pPr>
            <w:r>
              <w:t xml:space="preserve">mut_T</w:t>
            </w:r>
          </w:p>
        </w:tc>
        <w:tc>
          <w:tcPr/>
          <w:p>
            <w:pPr>
              <w:pStyle w:val="Compact"/>
            </w:pPr>
            <w:r>
              <w:t xml:space="preserve">Trajectory-distorting</w:t>
            </w:r>
          </w:p>
        </w:tc>
        <w:tc>
          <w:tcPr/>
          <w:p>
            <w:pPr>
              <w:pStyle w:val="Compact"/>
            </w:pPr>
            <w:r>
              <w:t xml:space="preserve">MP_4 Trajectory</w:t>
            </w:r>
          </w:p>
        </w:tc>
      </w:tr>
      <w:tr>
        <w:tc>
          <w:tcPr/>
          <w:p>
            <w:pPr>
              <w:pStyle w:val="Compact"/>
            </w:pPr>
            <w:r>
              <w:t xml:space="preserve">mut_F</w:t>
            </w:r>
          </w:p>
        </w:tc>
        <w:tc>
          <w:tcPr/>
          <w:p>
            <w:pPr>
              <w:pStyle w:val="Compact"/>
            </w:pPr>
            <w:r>
              <w:t xml:space="preserve">Fidelity-order-breaking</w:t>
            </w:r>
          </w:p>
        </w:tc>
        <w:tc>
          <w:tcPr/>
          <w:p>
            <w:pPr>
              <w:pStyle w:val="Compact"/>
            </w:pPr>
            <w:r>
              <w:t xml:space="preserve">MP_5 Partial-order</w:t>
            </w:r>
          </w:p>
        </w:tc>
      </w:tr>
    </w:tbl>
    <w:p>
      <w:pPr>
        <w:pStyle w:val="BodyText"/>
      </w:pPr>
      <w:r>
        <w:t xml:space="preserve">Per-PUT specialisation tables (mut_C/M/G/T/F across 12 PUTs and 4 classes) are deferred to</w:t>
      </w:r>
      <w:r>
        <w:t xml:space="preserve"> </w:t>
      </w:r>
      <w:r>
        <w:rPr>
          <w:b/>
          <w:bCs/>
        </w:rPr>
        <w:t xml:space="preserve">Appendix B.2</w:t>
      </w:r>
      <w:r>
        <w:t xml:space="preserve">.</w:t>
      </w:r>
    </w:p>
    <w:bookmarkEnd w:id="20"/>
    <w:bookmarkStart w:id="21" w:name="equivalence-judgement-e1-e2-layer-2"/>
    <w:p>
      <w:pPr>
        <w:pStyle w:val="Heading3"/>
      </w:pPr>
      <w:r>
        <w:t xml:space="preserve">2.3 Equivalence judgement E1 ∧ E2 (Layer 2)</w:t>
      </w:r>
    </w:p>
    <w:p>
      <w:pPr>
        <w:pStyle w:val="FirstParagraph"/>
      </w:pPr>
      <w:r>
        <w:t xml:space="preserve">The equivalence judgement is the executable instantiation of the Layer-1 necessary conditions (§3.2.0). For each candidate mutant</w:t>
      </w:r>
      <w:r>
        <w:t xml:space="preserve"> </w:t>
      </w:r>
      <w:r>
        <w:rPr>
          <w:rStyle w:val="VerbatimChar"/>
        </w:rPr>
        <w:t xml:space="preserve">s'</w:t>
      </w:r>
      <w:r>
        <w:t xml:space="preserve">:</w:t>
      </w:r>
    </w:p>
    <w:p>
      <w:pPr>
        <w:pStyle w:val="Compact"/>
        <w:numPr>
          <w:ilvl w:val="0"/>
          <w:numId w:val="1005"/>
        </w:numPr>
      </w:pPr>
      <w:r>
        <w:rPr>
          <w:b/>
          <w:bCs/>
        </w:rPr>
        <w:t xml:space="preserve">E1 (AVP-coherent):</w:t>
      </w:r>
      <w:r>
        <w:t xml:space="preserve"> </w:t>
      </w:r>
      <w:r>
        <w:t xml:space="preserve">∀ mr ∈ MR_{i,k}: AVP(S_i, mr) = AVP(s’, mr).</w:t>
      </w:r>
    </w:p>
    <w:p>
      <w:pPr>
        <w:pStyle w:val="Compact"/>
        <w:numPr>
          <w:ilvl w:val="0"/>
          <w:numId w:val="1005"/>
        </w:numPr>
      </w:pPr>
      <w:r>
        <w:rPr>
          <w:b/>
          <w:bCs/>
        </w:rPr>
        <w:t xml:space="preserve">E2 (Output-equivalent):</w:t>
      </w:r>
      <w:r>
        <w:t xml:space="preserve"> </w:t>
      </w:r>
      <w:r>
        <w:t xml:space="preserve">∀ x in K_eq=1000 samples ~ D_S: ‖S_i(x) − s’(x)‖ ≤ ε_eq.</w:t>
      </w:r>
    </w:p>
    <w:p>
      <w:pPr>
        <w:pStyle w:val="FirstParagraph"/>
      </w:pPr>
      <w:r>
        <w:t xml:space="preserve">E1 ∧ E2 is the conservative complete instantiation: false-equiv requires</w:t>
      </w:r>
      <w:r>
        <w:t xml:space="preserve"> </w:t>
      </w:r>
      <w:r>
        <w:rPr>
          <w:i/>
          <w:iCs/>
        </w:rPr>
        <w:t xml:space="preserve">both</w:t>
      </w:r>
      <w:r>
        <w:t xml:space="preserve"> </w:t>
      </w:r>
      <w:r>
        <w:t xml:space="preserve">AVP coherence and numerical agreement on K_eq samples to fail simultaneously, which is rare; false-non-equiv requires only one of E1, E2 to fail, biasing SMS slightly high. The trade-off table against E1-alone and E2-alone is in Appendix A.3. Under the §2.6 degenerate limit</w:t>
      </w:r>
      <w:r>
        <w:t xml:space="preserve"> </w:t>
      </w:r>
      <w:r>
        <w:rPr>
          <w:rStyle w:val="VerbatimChar"/>
        </w:rPr>
        <w:t xml:space="preserve">L</w:t>
      </w:r>
      <w:r>
        <w:t xml:space="preserve">, E1 ∧ E2 reduces almost everywhere to classical bitwise equivalence (Lemma 9.1).</w:t>
      </w:r>
    </w:p>
    <w:p>
      <w:pPr>
        <w:pStyle w:val="BodyText"/>
      </w:pPr>
      <w:r>
        <w:t xml:space="preserve">The killed determination preserves the classical OR-aggregation:</w:t>
      </w:r>
    </w:p>
    <w:p>
      <w:pPr>
        <w:pStyle w:val="SourceCode"/>
      </w:pPr>
      <w:r>
        <w:rPr>
          <w:rStyle w:val="VerbatimChar"/>
        </w:rPr>
        <w:t xml:space="preserve">killed(s', MR_{i,k}) ⇔ ∃ mr ∈ MR_{i,k}: AVP(S_i, mr) = pass ∧ AVP(s', mr) = fail</w:t>
      </w:r>
    </w:p>
    <w:bookmarkEnd w:id="21"/>
    <w:bookmarkStart w:id="22" w:name="Xe154283f4ac3e3e9410497f58c00725ff41c426"/>
    <w:p>
      <w:pPr>
        <w:pStyle w:val="Heading3"/>
      </w:pPr>
      <w:r>
        <w:t xml:space="preserve">2.4 LRCA engineering attribution layer (descriptive, not in SMS)</w:t>
      </w:r>
    </w:p>
    <w:p>
      <w:pPr>
        <w:pStyle w:val="FirstParagraph"/>
      </w:pPr>
      <w:r>
        <w:t xml:space="preserve">LRCA annotates every killed mutant with one of five likely root causes: C1 true semantic failure, C2 numerical-tolerance perturbation, C3 out-of-distribution (OOD) trip, C4 statistical-assumption violation, and C5 mutator artefact. The classifier is a three-layer decision tree. Layer 1 checks tolerance robustness over N = 20 repeats with a fail-ratio cutoff of 0.80. Layer 2 triages OOD on the surrogate and machine-learning classes. Layer 3 checks statistical-assumption baselines on the probabilistic and machine-learning classes using Wilcoxon and Dynamic Time Warping. A final pass rechecks for mutator artefacts. Multiple labels are resolved by priority C5 &gt; C4 &gt; C3 &gt; C2 &gt; C1.</w:t>
      </w:r>
    </w:p>
    <w:p>
      <w:pPr>
        <w:pStyle w:val="BodyText"/>
      </w:pPr>
      <w:r>
        <w:t xml:space="preserve">The output quantities are</w:t>
      </w:r>
      <w:r>
        <w:t xml:space="preserve"> </w:t>
      </w:r>
      <w:r>
        <w:rPr>
          <w:rStyle w:val="VerbatimChar"/>
        </w:rPr>
        <w:t xml:space="preserve">C1_share</w:t>
      </w:r>
      <w:r>
        <w:t xml:space="preserve"> </w:t>
      </w:r>
      <w:r>
        <w:t xml:space="preserve">(share of C1 among killed mutants) and</w:t>
      </w:r>
      <w:r>
        <w:t xml:space="preserve"> </w:t>
      </w:r>
      <w:r>
        <w:rPr>
          <w:rStyle w:val="VerbatimChar"/>
        </w:rPr>
        <w:t xml:space="preserve">suspect_share := 1 − C1_share</w:t>
      </w:r>
      <w:r>
        <w:t xml:space="preserve">.</w:t>
      </w:r>
      <w:r>
        <w:t xml:space="preserve"> </w:t>
      </w:r>
      <w:r>
        <w:rPr>
          <w:b/>
          <w:bCs/>
        </w:rPr>
        <w:t xml:space="preserve">LRCA does not modify the SMS formula</w:t>
      </w:r>
      <w:r>
        <w:t xml:space="preserve">: the killed set is never filtered by suspect status. LRCA is a descriptive overlay that tells the reader whether a given kill is likely a true semantic-failure detection or an artefact. Appendix A.2 gives the full decision tree, the 9-grid threshold calibration, and the engineering rationale for the priority ordering.</w:t>
      </w:r>
    </w:p>
    <w:bookmarkEnd w:id="22"/>
    <w:bookmarkStart w:id="23" w:name="backward-compatibility-declaration"/>
    <w:p>
      <w:pPr>
        <w:pStyle w:val="Heading3"/>
      </w:pPr>
      <w:r>
        <w:t xml:space="preserve">2.5 Backward-compatibility declaration</w:t>
      </w:r>
    </w:p>
    <w:p>
      <w:pPr>
        <w:pStyle w:val="FirstParagraph"/>
      </w:pPr>
      <w:r>
        <w:t xml:space="preserve">The seven core concepts (PUT, mutation operator, mutant, equivalent mutant, killed mutant, surviving mutant, mutation score) and the SMS formula</w:t>
      </w:r>
      <w:r>
        <w:t xml:space="preserve"> </w:t>
      </w:r>
      <w:r>
        <w:rPr>
          <w:rStyle w:val="VerbatimChar"/>
        </w:rPr>
        <w:t xml:space="preserve">|killed| / (|mut| − |equiv|)</w:t>
      </w:r>
      <w:r>
        <w:t xml:space="preserve"> </w:t>
      </w:r>
      <w:r>
        <w:t xml:space="preserve">are aligned item-for-item with Jia and Harman (2011). We extend only the internal definitions:</w:t>
      </w:r>
      <w:r>
        <w:t xml:space="preserve"> </w:t>
      </w:r>
      <w:r>
        <w:rPr>
          <w:rStyle w:val="VerbatimChar"/>
        </w:rPr>
        <w:t xml:space="preserve">mut</w:t>
      </w:r>
      <w:r>
        <w:t xml:space="preserve"> </w:t>
      </w:r>
      <w:r>
        <w:t xml:space="preserve">shifts from syntactic to domain-semantic operators,</w:t>
      </w:r>
      <w:r>
        <w:t xml:space="preserve"> </w:t>
      </w:r>
      <w:r>
        <w:rPr>
          <w:rStyle w:val="VerbatimChar"/>
        </w:rPr>
        <w:t xml:space="preserve">equiv</w:t>
      </w:r>
      <w:r>
        <w:t xml:space="preserve"> </w:t>
      </w:r>
      <w:r>
        <w:t xml:space="preserve">shifts from bitwise behavioural equivalence to the semantic-class equivalence E1 ∧ E2, and</w:t>
      </w:r>
      <w:r>
        <w:t xml:space="preserve"> </w:t>
      </w:r>
      <w:r>
        <w:rPr>
          <w:rStyle w:val="VerbatimChar"/>
        </w:rPr>
        <w:t xml:space="preserve">killed</w:t>
      </w:r>
      <w:r>
        <w:t xml:space="preserve"> </w:t>
      </w:r>
      <w:r>
        <w:t xml:space="preserve">shifts from an equality oracle to a meta-pattern AVP. We introduce no new formula terms and no new state classifications.</w:t>
      </w:r>
    </w:p>
    <w:p>
      <w:pPr>
        <w:pStyle w:val="BodyText"/>
      </w:pPr>
      <w:r>
        <w:t xml:space="preserve">Under the degenerate limit</w:t>
      </w:r>
      <w:r>
        <w:t xml:space="preserve"> </w:t>
      </w:r>
      <w:r>
        <w:rPr>
          <w:rStyle w:val="VerbatimChar"/>
        </w:rPr>
        <w:t xml:space="preserve">L</w:t>
      </w:r>
      <w:r>
        <w:t xml:space="preserve"> </w:t>
      </w:r>
      <w:r>
        <w:t xml:space="preserve">defined in §2.6, SMS reduces almost everywhere to classical syntactic MS, equivalent mutants degenerate to classical behavioural equivalence, killed mutants degenerate to bitwise difference detection, and the LRCA layer trivialises — C2 through C5 cannot fire when L1 ∧ L2 ∧ L3 hold. Any SMS-based empirical conclusion is therefore structurally consistent with the existing mutation-testing literature in the classical syntactic-mutation regime, so there is no metric-level semantic fragmentation. The skeleton of eleven concepts, the three-state decomposition, the SMS formula, and the AVP interface are fixed; the contents of MUT, MP, C, and</w:t>
      </w:r>
      <w:r>
        <w:t xml:space="preserve"> </w:t>
      </w:r>
      <w:r>
        <w:rPr>
          <w:rStyle w:val="VerbatimChar"/>
        </w:rPr>
        <w:t xml:space="preserve">cls</w:t>
      </w:r>
      <w:r>
        <w:t xml:space="preserve"> </w:t>
      </w:r>
      <w:r>
        <w:t xml:space="preserve">remain open to future extension.</w:t>
      </w:r>
    </w:p>
    <w:bookmarkEnd w:id="23"/>
    <w:bookmarkStart w:id="24" w:name="sms-ms-degeneration-formal-statement"/>
    <w:p>
      <w:pPr>
        <w:pStyle w:val="Heading3"/>
      </w:pPr>
      <w:r>
        <w:t xml:space="preserve">2.6 SMS → MS degeneration: formal statement</w:t>
      </w:r>
    </w:p>
    <w:p>
      <w:pPr>
        <w:pStyle w:val="FirstParagraph"/>
      </w:pPr>
      <w:r>
        <w:t xml:space="preserve">The §2.5 backward-compatibility claim is formalised as a degeneration theorem. The full notation cross-reference is</w:t>
      </w:r>
      <w:r>
        <w:t xml:space="preserve"> </w:t>
      </w:r>
      <w:r>
        <w:rPr>
          <w:b/>
          <w:bCs/>
        </w:rPr>
        <w:t xml:space="preserve">Appendix G.1</w:t>
      </w:r>
      <w:r>
        <w:t xml:space="preserve">; the joint conditions and lemma proofs are in</w:t>
      </w:r>
      <w:r>
        <w:t xml:space="preserve"> </w:t>
      </w:r>
      <w:r>
        <w:rPr>
          <w:b/>
          <w:bCs/>
        </w:rPr>
        <w:t xml:space="preserve">Appendix G.2-G.4</w:t>
      </w:r>
      <w:r>
        <w:t xml:space="preserve">. We state only the main theorem and corollary here. Theorem and lemma labels (Theorem 9.1, Corollary 9.1, Lemma 9.1-9.3) are preserved as stable identifiers for cross-reference with Appendix G.</w:t>
      </w:r>
    </w:p>
    <w:p>
      <w:pPr>
        <w:pStyle w:val="BodyText"/>
      </w:pPr>
      <w:r>
        <w:rPr>
          <w:b/>
          <w:bCs/>
        </w:rPr>
        <w:t xml:space="preserve">Definition (Degenerate limit).</w:t>
      </w:r>
      <w:r>
        <w:t xml:space="preserve"> </w:t>
      </w:r>
      <w:r>
        <w:rPr>
          <w:rStyle w:val="VerbatimChar"/>
        </w:rPr>
        <w:t xml:space="preserve">L = L_equiv ∧ L_killed ∧ L_mut</w:t>
      </w:r>
      <w:r>
        <w:t xml:space="preserve">, where each joint condition is a pair of paired axes acting on one layer of the SMS formula:</w:t>
      </w:r>
    </w:p>
    <w:p>
      <w:pPr>
        <w:pStyle w:val="Compact"/>
        <w:numPr>
          <w:ilvl w:val="0"/>
          <w:numId w:val="1006"/>
        </w:numPr>
      </w:pPr>
      <w:r>
        <w:rPr>
          <w:rStyle w:val="VerbatimChar"/>
        </w:rPr>
        <w:t xml:space="preserve">L_equiv = L1 ∧ L2</w:t>
      </w:r>
      <w:r>
        <w:t xml:space="preserve">: ε_eq → 0 ∧ K_eq → ∞ (controls equiv layer; Lemma 9.1).</w:t>
      </w:r>
    </w:p>
    <w:p>
      <w:pPr>
        <w:pStyle w:val="Compact"/>
        <w:numPr>
          <w:ilvl w:val="0"/>
          <w:numId w:val="1006"/>
        </w:numPr>
      </w:pPr>
      <w:r>
        <w:rPr>
          <w:rStyle w:val="VerbatimChar"/>
        </w:rPr>
        <w:t xml:space="preserve">L_killed = L3 ∧ L4</w:t>
      </w:r>
      <w:r>
        <w:t xml:space="preserve">: ε_AVP → 0 ∧ MP set = {MP_eq} (controls killed layer; Lemma 9.2).</w:t>
      </w:r>
    </w:p>
    <w:p>
      <w:pPr>
        <w:pStyle w:val="Compact"/>
        <w:numPr>
          <w:ilvl w:val="0"/>
          <w:numId w:val="1006"/>
        </w:numPr>
      </w:pPr>
      <w:r>
        <w:rPr>
          <w:rStyle w:val="VerbatimChar"/>
        </w:rPr>
        <w:t xml:space="preserve">L_mut = L5 ∧ L6</w:t>
      </w:r>
      <w:r>
        <w:t xml:space="preserve">: mut_j switches to rule-based syntactic operators (Mothra-style) ∧ PUT class ⊆ imperative deterministic programs (controls mut layer; Lemma 9.3).</w:t>
      </w:r>
    </w:p>
    <w:p>
      <w:pPr>
        <w:pStyle w:val="FirstParagraph"/>
      </w:pPr>
      <w:r>
        <w:rPr>
          <w:b/>
          <w:bCs/>
        </w:rPr>
        <w:t xml:space="preserve">Theorem 9.1 (SMS → MS degeneration).</w:t>
      </w:r>
      <w:r>
        <w:t xml:space="preserve"> </w:t>
      </w:r>
      <w:r>
        <w:t xml:space="preserve">In the degenerate limit</w:t>
      </w:r>
      <w:r>
        <w:t xml:space="preserve"> </w:t>
      </w:r>
      <w:r>
        <w:rPr>
          <w:rStyle w:val="VerbatimChar"/>
        </w:rPr>
        <w:t xml:space="preserve">L</w:t>
      </w:r>
      <w:r>
        <w:t xml:space="preserve">,</w:t>
      </w:r>
      <w:r>
        <w:t xml:space="preserve"> </w:t>
      </w:r>
      <w:r>
        <w:rPr>
          <w:b/>
          <w:bCs/>
        </w:rPr>
        <w:t xml:space="preserve">almost everywhere</w:t>
      </w:r>
      <w:r>
        <w:t xml:space="preserve"> </w:t>
      </w:r>
      <w:r>
        <w:t xml:space="preserve">with respect to the input distribution</w:t>
      </w:r>
      <w:r>
        <w:t xml:space="preserve"> </w:t>
      </w:r>
      <w:r>
        <w:rPr>
          <w:rStyle w:val="VerbatimChar"/>
        </w:rPr>
        <w:t xml:space="preserve">D_S</w:t>
      </w:r>
      <w:r>
        <w:t xml:space="preserve">,</w:t>
      </w:r>
    </w:p>
    <w:p>
      <w:pPr>
        <w:pStyle w:val="SourceCode"/>
      </w:pPr>
      <w:r>
        <w:rPr>
          <w:rStyle w:val="VerbatimChar"/>
        </w:rPr>
        <w:t xml:space="preserve">SMS_{i,k,j}  -L→  MS_{i,j} = |killed_{i,j}^classic| / (|mut_j^syntax(S_i)| - |equiv_{i,j}^classic|)</w:t>
      </w:r>
    </w:p>
    <w:p>
      <w:pPr>
        <w:pStyle w:val="FirstParagraph"/>
      </w:pPr>
      <w:r>
        <w:t xml:space="preserve">where the right-hand side is the classical Mutation Score of Jia &amp; Harman (2011),</w:t>
      </w:r>
      <w:r>
        <w:t xml:space="preserve"> </w:t>
      </w:r>
      <w:r>
        <w:rPr>
          <w:rStyle w:val="VerbatimChar"/>
        </w:rPr>
        <w:t xml:space="preserve">killed^classic</w:t>
      </w:r>
      <w:r>
        <w:t xml:space="preserve"> </w:t>
      </w:r>
      <w:r>
        <w:t xml:space="preserve">is the difference-detection set,</w:t>
      </w:r>
      <w:r>
        <w:t xml:space="preserve"> </w:t>
      </w:r>
      <w:r>
        <w:rPr>
          <w:rStyle w:val="VerbatimChar"/>
        </w:rPr>
        <w:t xml:space="preserve">equiv^classic</w:t>
      </w:r>
      <w:r>
        <w:t xml:space="preserve"> </w:t>
      </w:r>
      <w:r>
        <w:t xml:space="preserve">is the behavioural-equivalence set, and</w:t>
      </w:r>
      <w:r>
        <w:t xml:space="preserve"> </w:t>
      </w:r>
      <w:r>
        <w:rPr>
          <w:rStyle w:val="VerbatimChar"/>
        </w:rPr>
        <w:t xml:space="preserve">mut^syntax</w:t>
      </w:r>
      <w:r>
        <w:t xml:space="preserve"> </w:t>
      </w:r>
      <w:r>
        <w:t xml:space="preserve">is the syntactic-mutant set.</w:t>
      </w:r>
    </w:p>
    <w:p>
      <w:pPr>
        <w:pStyle w:val="BodyText"/>
      </w:pPr>
      <w:r>
        <w:rPr>
          <w:b/>
          <w:bCs/>
        </w:rPr>
        <w:t xml:space="preserve">Proof sketch.</w:t>
      </w:r>
      <w:r>
        <w:t xml:space="preserve"> </w:t>
      </w:r>
      <w:r>
        <w:t xml:space="preserve">By Lemma 9.1, equiv_{i,k,j} → equiv_{i,j}^classic almost everywhere with respect to D_S; the measure-zero qualifier accommodates floating-point pathological points and Not-a-Number propagation. By Lemma 9.2, killed_{i,k,j} → killed_{i,j}^classic, and the MP index k degenerates because L4 collapses MR_{i,k} to {MP_eq}. By Lemma 9.3, mut_j(S_i) → mut_j^syntax(S_i). Substituting into the SMS formula yields MS_{i,j}. Full lemma proofs are in Appendix G.3 and the full theorem proof in Appendix G.4.</w:t>
      </w:r>
    </w:p>
    <w:p>
      <w:pPr>
        <w:pStyle w:val="BodyText"/>
      </w:pPr>
      <w:r>
        <w:rPr>
          <w:b/>
          <w:bCs/>
        </w:rPr>
        <w:t xml:space="preserve">Corollary 9.1 (LRCA trivialisation).</w:t>
      </w:r>
      <w:r>
        <w:t xml:space="preserve"> </w:t>
      </w:r>
      <w:r>
        <w:t xml:space="preserve">Under</w:t>
      </w:r>
      <w:r>
        <w:t xml:space="preserve"> </w:t>
      </w:r>
      <w:r>
        <w:rPr>
          <w:rStyle w:val="VerbatimChar"/>
        </w:rPr>
        <w:t xml:space="preserve">L</w:t>
      </w:r>
      <w:r>
        <w:t xml:space="preserve">, the likely-root-cause inventory C = {C1, …, C5} degenerates to {C1}, so suspect_share → 0 and SMS becomes a single-layer metric consistent with the engineering attribution structure of Jia &amp; Harman (2011).</w:t>
      </w:r>
    </w:p>
    <w:p>
      <w:pPr>
        <w:pStyle w:val="BodyText"/>
      </w:pPr>
      <w:r>
        <w:rPr>
          <w:b/>
          <w:bCs/>
        </w:rPr>
        <w:t xml:space="preserve">Empirical consistency.</w:t>
      </w:r>
      <w:r>
        <w:t xml:space="preserve"> </w:t>
      </w:r>
      <w:r>
        <w:t xml:space="preserve">Theorem 9.1 + Corollary 9.1 jointly guarantee that any SMS-based empirical conclusion (§5 Cliff’s delta, Friedman chi^2, Spearman rho) is structurally consistent with existing mutation-testing literature in the classical syntactic-mutation regime, and</w:t>
      </w:r>
      <w:r>
        <w:t xml:space="preserve"> </w:t>
      </w:r>
      <w:r>
        <w:rPr>
          <w:b/>
          <w:bCs/>
        </w:rPr>
        <w:t xml:space="preserve">does not</w:t>
      </w:r>
      <w:r>
        <w:t xml:space="preserve"> </w:t>
      </w:r>
      <w:r>
        <w:t xml:space="preserve">constitute metric-level semantic fragmentation.</w:t>
      </w:r>
    </w:p>
    <w:p>
      <w:r>
        <w:pict>
          <v:rect style="width:0;height:1.5pt" o:hralign="center" o:hrstd="t" o:hr="t"/>
        </w:pict>
      </w:r>
    </w:p>
    <w:bookmarkEnd w:id="24"/>
    <w:bookmarkEnd w:id="25"/>
    <w:bookmarkStart w:id="32" w:name="Xbe8e1b44075f8db8e7b8ad36ef423df1df4548f"/>
    <w:p>
      <w:pPr>
        <w:pStyle w:val="Heading2"/>
      </w:pPr>
      <w:r>
        <w:t xml:space="preserve">3. Experimental Subjects and Operator Framework</w:t>
      </w:r>
    </w:p>
    <w:bookmarkStart w:id="26" w:name="put-selection-12-puts-4-classes"/>
    <w:p>
      <w:pPr>
        <w:pStyle w:val="Heading3"/>
      </w:pPr>
      <w:r>
        <w:t xml:space="preserve">3.1 PUT selection (12 PUTs, 4 classes)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PUT</w:t>
            </w:r>
          </w:p>
        </w:tc>
        <w:tc>
          <w:tcPr/>
          <w:p>
            <w:pPr>
              <w:pStyle w:val="Compact"/>
            </w:pPr>
            <w:r>
              <w:t xml:space="preserve">Name</w:t>
            </w:r>
          </w:p>
        </w:tc>
        <w:tc>
          <w:tcPr/>
          <w:p>
            <w:pPr>
              <w:pStyle w:val="Compact"/>
            </w:pPr>
            <w:r>
              <w:t xml:space="preserve">Mathematical structure</w:t>
            </w:r>
          </w:p>
        </w:tc>
        <w:tc>
          <w:tcPr/>
          <w:p>
            <w:pPr>
              <w:pStyle w:val="Compact"/>
            </w:pPr>
            <w:r>
              <w:t xml:space="preserve">LOC</w:t>
            </w:r>
          </w:p>
        </w:tc>
      </w:tr>
      <w:tr>
        <w:tc>
          <w:tcPr/>
          <w:p>
            <w:pPr>
              <w:pStyle w:val="Compact"/>
            </w:pPr>
            <w:r>
              <w:rPr>
                <w:b/>
                <w:bCs/>
              </w:rPr>
              <w:t xml:space="preserve">A Numeric</w:t>
            </w:r>
          </w:p>
        </w:tc>
        <w:tc>
          <w:tcPr/>
          <w:p>
            <w:pPr>
              <w:pStyle w:val="Compact"/>
            </w:pPr>
            <w:r>
              <w:t xml:space="preserve">A1</w:t>
            </w:r>
          </w:p>
        </w:tc>
        <w:tc>
          <w:tcPr/>
          <w:p>
            <w:pPr>
              <w:pStyle w:val="Compact"/>
            </w:pPr>
            <w:r>
              <w:t xml:space="preserve">Lorenz ODE integration</w:t>
            </w:r>
          </w:p>
        </w:tc>
        <w:tc>
          <w:tcPr/>
          <w:p>
            <w:pPr>
              <w:pStyle w:val="Compact"/>
            </w:pPr>
            <w:r>
              <w:t xml:space="preserve">Nonlinear ODE</w:t>
            </w:r>
          </w:p>
        </w:tc>
        <w:tc>
          <w:tcPr/>
          <w:p>
            <w:pPr>
              <w:pStyle w:val="Compact"/>
            </w:pPr>
            <w:r>
              <w:t xml:space="preserve">~150</w:t>
            </w:r>
          </w:p>
        </w:tc>
      </w:tr>
      <w:tr>
        <w:tc>
          <w:tcPr/>
          <w:p>
            <w:pPr>
              <w:pStyle w:val="Compact"/>
            </w:pPr>
          </w:p>
        </w:tc>
        <w:tc>
          <w:tcPr/>
          <w:p>
            <w:pPr>
              <w:pStyle w:val="Compact"/>
            </w:pPr>
            <w:r>
              <w:t xml:space="preserve">A2</w:t>
            </w:r>
          </w:p>
        </w:tc>
        <w:tc>
          <w:tcPr/>
          <w:p>
            <w:pPr>
              <w:pStyle w:val="Compact"/>
            </w:pPr>
            <w:r>
              <w:t xml:space="preserve">LU decomposition</w:t>
            </w:r>
          </w:p>
        </w:tc>
        <w:tc>
          <w:tcPr/>
          <w:p>
            <w:pPr>
              <w:pStyle w:val="Compact"/>
            </w:pPr>
            <w:r>
              <w:t xml:space="preserve">Linear algebra</w:t>
            </w:r>
          </w:p>
        </w:tc>
        <w:tc>
          <w:tcPr/>
          <w:p>
            <w:pPr>
              <w:pStyle w:val="Compact"/>
            </w:pPr>
            <w:r>
              <w:t xml:space="preserve">~80</w:t>
            </w:r>
          </w:p>
        </w:tc>
      </w:tr>
      <w:tr>
        <w:tc>
          <w:tcPr/>
          <w:p>
            <w:pPr>
              <w:pStyle w:val="Compact"/>
            </w:pPr>
          </w:p>
        </w:tc>
        <w:tc>
          <w:tcPr/>
          <w:p>
            <w:pPr>
              <w:pStyle w:val="Compact"/>
            </w:pPr>
            <w:r>
              <w:t xml:space="preserve">A3</w:t>
            </w:r>
          </w:p>
        </w:tc>
        <w:tc>
          <w:tcPr/>
          <w:p>
            <w:pPr>
              <w:pStyle w:val="Compact"/>
            </w:pPr>
            <w:r>
              <w:t xml:space="preserve">FDM 1D heat conduction</w:t>
            </w:r>
          </w:p>
        </w:tc>
        <w:tc>
          <w:tcPr/>
          <w:p>
            <w:pPr>
              <w:pStyle w:val="Compact"/>
            </w:pPr>
            <w:r>
              <w:t xml:space="preserve">Parabolic PDE</w:t>
            </w:r>
          </w:p>
        </w:tc>
        <w:tc>
          <w:tcPr/>
          <w:p>
            <w:pPr>
              <w:pStyle w:val="Compact"/>
            </w:pPr>
            <w:r>
              <w:t xml:space="preserve">~200</w:t>
            </w:r>
          </w:p>
        </w:tc>
      </w:tr>
      <w:tr>
        <w:tc>
          <w:tcPr/>
          <w:p>
            <w:pPr>
              <w:pStyle w:val="Compact"/>
            </w:pPr>
            <w:r>
              <w:rPr>
                <w:b/>
                <w:bCs/>
              </w:rPr>
              <w:t xml:space="preserve">B Probabilistic</w:t>
            </w:r>
          </w:p>
        </w:tc>
        <w:tc>
          <w:tcPr/>
          <w:p>
            <w:pPr>
              <w:pStyle w:val="Compact"/>
            </w:pPr>
            <w:r>
              <w:t xml:space="preserve">B1</w:t>
            </w:r>
          </w:p>
        </w:tc>
        <w:tc>
          <w:tcPr/>
          <w:p>
            <w:pPr>
              <w:pStyle w:val="Compact"/>
            </w:pPr>
            <w:r>
              <w:t xml:space="preserve">Beta-Binomial conjugate</w:t>
            </w:r>
          </w:p>
        </w:tc>
        <w:tc>
          <w:tcPr/>
          <w:p>
            <w:pPr>
              <w:pStyle w:val="Compact"/>
            </w:pPr>
            <w:r>
              <w:t xml:space="preserve">Analytic posterior</w:t>
            </w:r>
          </w:p>
        </w:tc>
        <w:tc>
          <w:tcPr/>
          <w:p>
            <w:pPr>
              <w:pStyle w:val="Compact"/>
            </w:pPr>
            <w:r>
              <w:t xml:space="preserve">~60</w:t>
            </w:r>
          </w:p>
        </w:tc>
      </w:tr>
      <w:tr>
        <w:tc>
          <w:tcPr/>
          <w:p>
            <w:pPr>
              <w:pStyle w:val="Compact"/>
            </w:pPr>
          </w:p>
        </w:tc>
        <w:tc>
          <w:tcPr/>
          <w:p>
            <w:pPr>
              <w:pStyle w:val="Compact"/>
            </w:pPr>
            <w:r>
              <w:t xml:space="preserve">B2</w:t>
            </w:r>
          </w:p>
        </w:tc>
        <w:tc>
          <w:tcPr/>
          <w:p>
            <w:pPr>
              <w:pStyle w:val="Compact"/>
            </w:pPr>
            <w:r>
              <w:t xml:space="preserve">MCMC Metropolis-Hastings</w:t>
            </w:r>
          </w:p>
        </w:tc>
        <w:tc>
          <w:tcPr/>
          <w:p>
            <w:pPr>
              <w:pStyle w:val="Compact"/>
            </w:pPr>
            <w:r>
              <w:t xml:space="preserve">Markov chain</w:t>
            </w:r>
          </w:p>
        </w:tc>
        <w:tc>
          <w:tcPr/>
          <w:p>
            <w:pPr>
              <w:pStyle w:val="Compact"/>
            </w:pPr>
            <w:r>
              <w:t xml:space="preserve">~250</w:t>
            </w:r>
          </w:p>
        </w:tc>
      </w:tr>
      <w:tr>
        <w:tc>
          <w:tcPr/>
          <w:p>
            <w:pPr>
              <w:pStyle w:val="Compact"/>
            </w:pPr>
          </w:p>
        </w:tc>
        <w:tc>
          <w:tcPr/>
          <w:p>
            <w:pPr>
              <w:pStyle w:val="Compact"/>
            </w:pPr>
            <w:r>
              <w:t xml:space="preserve">B3</w:t>
            </w:r>
          </w:p>
        </w:tc>
        <w:tc>
          <w:tcPr/>
          <w:p>
            <w:pPr>
              <w:pStyle w:val="Compact"/>
            </w:pPr>
            <w:r>
              <w:t xml:space="preserve">Monte Carlo integration</w:t>
            </w:r>
          </w:p>
        </w:tc>
        <w:tc>
          <w:tcPr/>
          <w:p>
            <w:pPr>
              <w:pStyle w:val="Compact"/>
            </w:pPr>
            <w:r>
              <w:t xml:space="preserve">Importance sampling</w:t>
            </w:r>
          </w:p>
        </w:tc>
        <w:tc>
          <w:tcPr/>
          <w:p>
            <w:pPr>
              <w:pStyle w:val="Compact"/>
            </w:pPr>
            <w:r>
              <w:t xml:space="preserve">~100</w:t>
            </w:r>
          </w:p>
        </w:tc>
      </w:tr>
      <w:tr>
        <w:tc>
          <w:tcPr/>
          <w:p>
            <w:pPr>
              <w:pStyle w:val="Compact"/>
            </w:pPr>
            <w:r>
              <w:rPr>
                <w:b/>
                <w:bCs/>
              </w:rPr>
              <w:t xml:space="preserve">C Surrogate</w:t>
            </w:r>
          </w:p>
        </w:tc>
        <w:tc>
          <w:tcPr/>
          <w:p>
            <w:pPr>
              <w:pStyle w:val="Compact"/>
            </w:pPr>
            <w:r>
              <w:t xml:space="preserve">C1</w:t>
            </w:r>
          </w:p>
        </w:tc>
        <w:tc>
          <w:tcPr/>
          <w:p>
            <w:pPr>
              <w:pStyle w:val="Compact"/>
            </w:pPr>
            <w:r>
              <w:t xml:space="preserve">Gaussian Process Regression</w:t>
            </w:r>
          </w:p>
        </w:tc>
        <w:tc>
          <w:tcPr/>
          <w:p>
            <w:pPr>
              <w:pStyle w:val="Compact"/>
            </w:pPr>
            <w:r>
              <w:t xml:space="preserve">Kernel methods</w:t>
            </w:r>
          </w:p>
        </w:tc>
        <w:tc>
          <w:tcPr/>
          <w:p>
            <w:pPr>
              <w:pStyle w:val="Compact"/>
            </w:pPr>
            <w:r>
              <w:t xml:space="preserve">~300</w:t>
            </w:r>
          </w:p>
        </w:tc>
      </w:tr>
      <w:tr>
        <w:tc>
          <w:tcPr/>
          <w:p>
            <w:pPr>
              <w:pStyle w:val="Compact"/>
            </w:pPr>
          </w:p>
        </w:tc>
        <w:tc>
          <w:tcPr/>
          <w:p>
            <w:pPr>
              <w:pStyle w:val="Compact"/>
            </w:pPr>
            <w:r>
              <w:t xml:space="preserve">C2</w:t>
            </w:r>
          </w:p>
        </w:tc>
        <w:tc>
          <w:tcPr/>
          <w:p>
            <w:pPr>
              <w:pStyle w:val="Compact"/>
            </w:pPr>
            <w:r>
              <w:t xml:space="preserve">Polynomial Chaos Expansion</w:t>
            </w:r>
          </w:p>
        </w:tc>
        <w:tc>
          <w:tcPr/>
          <w:p>
            <w:pPr>
              <w:pStyle w:val="Compact"/>
            </w:pPr>
            <w:r>
              <w:t xml:space="preserve">Orthogonal basis</w:t>
            </w:r>
          </w:p>
        </w:tc>
        <w:tc>
          <w:tcPr/>
          <w:p>
            <w:pPr>
              <w:pStyle w:val="Compact"/>
            </w:pPr>
            <w:r>
              <w:t xml:space="preserve">~250</w:t>
            </w:r>
          </w:p>
        </w:tc>
      </w:tr>
      <w:tr>
        <w:tc>
          <w:tcPr/>
          <w:p>
            <w:pPr>
              <w:pStyle w:val="Compact"/>
            </w:pPr>
          </w:p>
        </w:tc>
        <w:tc>
          <w:tcPr/>
          <w:p>
            <w:pPr>
              <w:pStyle w:val="Compact"/>
            </w:pPr>
            <w:r>
              <w:t xml:space="preserve">C3</w:t>
            </w:r>
          </w:p>
        </w:tc>
        <w:tc>
          <w:tcPr/>
          <w:p>
            <w:pPr>
              <w:pStyle w:val="Compact"/>
            </w:pPr>
            <w:r>
              <w:t xml:space="preserve">Neural-net surrogate</w:t>
            </w:r>
          </w:p>
        </w:tc>
        <w:tc>
          <w:tcPr/>
          <w:p>
            <w:pPr>
              <w:pStyle w:val="Compact"/>
            </w:pPr>
            <w:r>
              <w:t xml:space="preserve">MLP substitution</w:t>
            </w:r>
          </w:p>
        </w:tc>
        <w:tc>
          <w:tcPr/>
          <w:p>
            <w:pPr>
              <w:pStyle w:val="Compact"/>
            </w:pPr>
            <w:r>
              <w:t xml:space="preserve">~400</w:t>
            </w:r>
          </w:p>
        </w:tc>
      </w:tr>
      <w:tr>
        <w:tc>
          <w:tcPr/>
          <w:p>
            <w:pPr>
              <w:pStyle w:val="Compact"/>
            </w:pPr>
            <w:r>
              <w:rPr>
                <w:b/>
                <w:bCs/>
              </w:rPr>
              <w:t xml:space="preserve">D ML</w:t>
            </w:r>
          </w:p>
        </w:tc>
        <w:tc>
          <w:tcPr/>
          <w:p>
            <w:pPr>
              <w:pStyle w:val="Compact"/>
            </w:pPr>
            <w:r>
              <w:t xml:space="preserve">D1</w:t>
            </w:r>
          </w:p>
        </w:tc>
        <w:tc>
          <w:tcPr/>
          <w:p>
            <w:pPr>
              <w:pStyle w:val="Compact"/>
            </w:pPr>
            <w:r>
              <w:t xml:space="preserve">Multi-Layer Perceptron</w:t>
            </w:r>
          </w:p>
        </w:tc>
        <w:tc>
          <w:tcPr/>
          <w:p>
            <w:pPr>
              <w:pStyle w:val="Compact"/>
            </w:pPr>
            <w:r>
              <w:t xml:space="preserve">Backpropagation</w:t>
            </w:r>
          </w:p>
        </w:tc>
        <w:tc>
          <w:tcPr/>
          <w:p>
            <w:pPr>
              <w:pStyle w:val="Compact"/>
            </w:pPr>
            <w:r>
              <w:t xml:space="preserve">~350</w:t>
            </w:r>
          </w:p>
        </w:tc>
      </w:tr>
      <w:tr>
        <w:tc>
          <w:tcPr/>
          <w:p>
            <w:pPr>
              <w:pStyle w:val="Compact"/>
            </w:pPr>
          </w:p>
        </w:tc>
        <w:tc>
          <w:tcPr/>
          <w:p>
            <w:pPr>
              <w:pStyle w:val="Compact"/>
            </w:pPr>
            <w:r>
              <w:t xml:space="preserve">D2</w:t>
            </w:r>
          </w:p>
        </w:tc>
        <w:tc>
          <w:tcPr/>
          <w:p>
            <w:pPr>
              <w:pStyle w:val="Compact"/>
            </w:pPr>
            <w:r>
              <w:t xml:space="preserve">Support Vector Machine</w:t>
            </w:r>
          </w:p>
        </w:tc>
        <w:tc>
          <w:tcPr/>
          <w:p>
            <w:pPr>
              <w:pStyle w:val="Compact"/>
            </w:pPr>
            <w:r>
              <w:t xml:space="preserve">Convex optimisation</w:t>
            </w:r>
          </w:p>
        </w:tc>
        <w:tc>
          <w:tcPr/>
          <w:p>
            <w:pPr>
              <w:pStyle w:val="Compact"/>
            </w:pPr>
            <w:r>
              <w:t xml:space="preserve">~200</w:t>
            </w:r>
          </w:p>
        </w:tc>
      </w:tr>
      <w:tr>
        <w:tc>
          <w:tcPr/>
          <w:p>
            <w:pPr>
              <w:pStyle w:val="Compact"/>
            </w:pPr>
          </w:p>
        </w:tc>
        <w:tc>
          <w:tcPr/>
          <w:p>
            <w:pPr>
              <w:pStyle w:val="Compact"/>
            </w:pPr>
            <w:r>
              <w:t xml:space="preserve">D3</w:t>
            </w:r>
          </w:p>
        </w:tc>
        <w:tc>
          <w:tcPr/>
          <w:p>
            <w:pPr>
              <w:pStyle w:val="Compact"/>
            </w:pPr>
            <w:r>
              <w:t xml:space="preserve">Logistic Regression</w:t>
            </w:r>
          </w:p>
        </w:tc>
        <w:tc>
          <w:tcPr/>
          <w:p>
            <w:pPr>
              <w:pStyle w:val="Compact"/>
            </w:pPr>
            <w:r>
              <w:t xml:space="preserve">Maximum likelihood</w:t>
            </w:r>
          </w:p>
        </w:tc>
        <w:tc>
          <w:tcPr/>
          <w:p>
            <w:pPr>
              <w:pStyle w:val="Compact"/>
            </w:pPr>
            <w:r>
              <w:t xml:space="preserve">~120</w:t>
            </w:r>
          </w:p>
        </w:tc>
      </w:tr>
    </w:tbl>
    <w:p>
      <w:pPr>
        <w:pStyle w:val="BodyText"/>
      </w:pPr>
      <w:r>
        <w:t xml:space="preserve">The 12 PUTs are inherited from P1 (Meng Li et al., under review) but independently justified along four dimensions: library-stack coverage (numpy 2.4.4, scipy 1.17.1, scikit-learn 1.8.0); mathematical-structure coverage (8 of 12 chapters of</w:t>
      </w:r>
      <w:r>
        <w:t xml:space="preserve"> </w:t>
      </w:r>
      <w:r>
        <w:rPr>
          <w:i/>
          <w:iCs/>
        </w:rPr>
        <w:t xml:space="preserve">Numerical Recipes</w:t>
      </w:r>
      <w:r>
        <w:t xml:space="preserve">); overlap with existing mutation-testing benchmarks (DeepCrime, Defects4J, and the mutmut and cosmic-ray demos); and signature-simplification trade-offs. The full coverage argument is in Appendix B.1. The</w:t>
      </w:r>
      <w:r>
        <w:t xml:space="preserve"> </w:t>
      </w:r>
      <w:r>
        <w:rPr>
          <w:rStyle w:val="VerbatimChar"/>
        </w:rPr>
        <w:t xml:space="preserve">program(x: float) → float</w:t>
      </w:r>
      <w:r>
        <w:t xml:space="preserve"> </w:t>
      </w:r>
      <w:r>
        <w:t xml:space="preserve">signature is a substantive constraint (§7) that bounds the upper limit of mutant semantic complexity; transfer to industrial multi-output PUTs is reserved for the P3 and P5 papers.</w:t>
      </w:r>
    </w:p>
    <w:bookmarkEnd w:id="26"/>
    <w:bookmarkStart w:id="27" w:name="X5a4e4d643ebb6170969b22b776da7b9469ab616"/>
    <w:p>
      <w:pPr>
        <w:pStyle w:val="Heading3"/>
      </w:pPr>
      <w:r>
        <w:t xml:space="preserve">3.2 Necessary conditions for semantic mutation (Layer 1)</w:t>
      </w:r>
    </w:p>
    <w:p>
      <w:pPr>
        <w:pStyle w:val="FirstParagraph"/>
      </w:pPr>
      <w:r>
        <w:rPr>
          <w:b/>
          <w:bCs/>
        </w:rPr>
        <w:t xml:space="preserve">Definition (Semantic mutation criteria).</w:t>
      </w:r>
      <w:r>
        <w:t xml:space="preserve"> </w:t>
      </w:r>
      <w:r>
        <w:t xml:space="preserve">A mutant</w:t>
      </w:r>
      <w:r>
        <w:t xml:space="preserve"> </w:t>
      </w:r>
      <w:r>
        <w:rPr>
          <w:rStyle w:val="VerbatimChar"/>
        </w:rPr>
        <w:t xml:space="preserve">s' = mut_j(S_i)</w:t>
      </w:r>
      <w:r>
        <w:t xml:space="preserve"> </w:t>
      </w:r>
      <w:r>
        <w:t xml:space="preserve">is a</w:t>
      </w:r>
      <w:r>
        <w:t xml:space="preserve"> </w:t>
      </w:r>
      <w:r>
        <w:rPr>
          <w:i/>
          <w:iCs/>
        </w:rPr>
        <w:t xml:space="preserve">semantic</w:t>
      </w:r>
      <w:r>
        <w:t xml:space="preserve"> </w:t>
      </w:r>
      <w:r>
        <w:t xml:space="preserve">mutation if and only if it satisfies at least one of the following three conditions.</w:t>
      </w:r>
    </w:p>
    <w:p>
      <w:pPr>
        <w:numPr>
          <w:ilvl w:val="0"/>
          <w:numId w:val="1007"/>
        </w:numPr>
      </w:pPr>
      <w:r>
        <w:rPr>
          <w:b/>
          <w:bCs/>
        </w:rPr>
        <w:t xml:space="preserve">Cross-function-boundary replacement.</w:t>
      </w:r>
      <w:r>
        <w:t xml:space="preserve"> </w:t>
      </w:r>
      <w:r>
        <w:t xml:space="preserve">The AST node operated on crosses at least one function-call or module-import boundary. For example,</w:t>
      </w:r>
      <w:r>
        <w:t xml:space="preserve"> </w:t>
      </w:r>
      <w:r>
        <w:rPr>
          <w:rStyle w:val="VerbatimChar"/>
        </w:rPr>
        <w:t xml:space="preserve">np.linalg.det(M) → np.sum(np.diag(M))</w:t>
      </w:r>
      <w:r>
        <w:t xml:space="preserve">.</w:t>
      </w:r>
    </w:p>
    <w:p>
      <w:pPr>
        <w:numPr>
          <w:ilvl w:val="0"/>
          <w:numId w:val="1007"/>
        </w:numPr>
      </w:pPr>
      <w:r>
        <w:rPr>
          <w:b/>
          <w:bCs/>
        </w:rPr>
        <w:t xml:space="preserve">Carries domain knowledge.</w:t>
      </w:r>
      <w:r>
        <w:t xml:space="preserve"> </w:t>
      </w:r>
      <w:r>
        <w:t xml:space="preserve">The legality of the mutation depends on mathematical, physical, or statistical knowledge of the program’s domain, not on purely syntactic type preservation. For example, changing the Gaussian Process Regression</w:t>
      </w:r>
      <w:r>
        <w:t xml:space="preserve"> </w:t>
      </w:r>
      <w:r>
        <w:rPr>
          <w:rStyle w:val="VerbatimChar"/>
        </w:rPr>
        <w:t xml:space="preserve">noise_level</w:t>
      </w:r>
      <w:r>
        <w:t xml:space="preserve"> </w:t>
      </w:r>
      <w:r>
        <w:t xml:space="preserve">from 1e-4 to 1e-1.</w:t>
      </w:r>
    </w:p>
    <w:p>
      <w:pPr>
        <w:numPr>
          <w:ilvl w:val="0"/>
          <w:numId w:val="1007"/>
        </w:numPr>
      </w:pPr>
      <w:r>
        <w:rPr>
          <w:b/>
          <w:bCs/>
        </w:rPr>
        <w:t xml:space="preserve">Changes algorithmic class.</w:t>
      </w:r>
      <w:r>
        <w:t xml:space="preserve"> </w:t>
      </w:r>
      <w:r>
        <w:t xml:space="preserve">The mutation alters the algorithmic class implemented. For example, replacing RK4 with Euler changes the integration order.</w:t>
      </w:r>
    </w:p>
    <w:p>
      <w:pPr>
        <w:pStyle w:val="FirstParagraph"/>
      </w:pPr>
      <w:r>
        <w:t xml:space="preserve">A mutation that satisfies none of (a) – (c) is purely</w:t>
      </w:r>
      <w:r>
        <w:t xml:space="preserve"> </w:t>
      </w:r>
      <w:r>
        <w:rPr>
          <w:i/>
          <w:iCs/>
        </w:rPr>
        <w:t xml:space="preserve">syntactic</w:t>
      </w:r>
      <w:r>
        <w:t xml:space="preserve">: AST-local, domain-agnostic, and class-preserving. The five meta-operator classes (CE, OS, HP, TF, SI) are specialisations of (a) – (c):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Operator class</w:t>
            </w:r>
          </w:p>
        </w:tc>
        <w:tc>
          <w:tcPr/>
          <w:p>
            <w:pPr>
              <w:pStyle w:val="Compact"/>
            </w:pPr>
            <w:r>
              <w:t xml:space="preserve">(a)</w:t>
            </w:r>
          </w:p>
        </w:tc>
        <w:tc>
          <w:tcPr/>
          <w:p>
            <w:pPr>
              <w:pStyle w:val="Compact"/>
            </w:pPr>
            <w:r>
              <w:t xml:space="preserve">(b)</w:t>
            </w:r>
          </w:p>
        </w:tc>
        <w:tc>
          <w:tcPr/>
          <w:p>
            <w:pPr>
              <w:pStyle w:val="Compact"/>
            </w:pPr>
            <w:r>
              <w:t xml:space="preserve">(c)</w:t>
            </w:r>
          </w:p>
        </w:tc>
        <w:tc>
          <w:tcPr/>
          <w:p>
            <w:pPr>
              <w:pStyle w:val="Compact"/>
            </w:pPr>
            <w:r>
              <w:t xml:space="preserve">Primary condition</w:t>
            </w:r>
          </w:p>
        </w:tc>
      </w:tr>
      <w:tr>
        <w:tc>
          <w:tcPr/>
          <w:p>
            <w:pPr>
              <w:pStyle w:val="Compact"/>
            </w:pPr>
            <w:r>
              <w:rPr>
                <w:b/>
                <w:bCs/>
              </w:rPr>
              <w:t xml:space="preserve">CE</w:t>
            </w:r>
            <w:r>
              <w:t xml:space="preserve"> </w:t>
            </w:r>
            <w:r>
              <w:t xml:space="preserve">Constant perturbation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partial (b); weakest</w:t>
            </w:r>
          </w:p>
        </w:tc>
      </w:tr>
      <w:tr>
        <w:tc>
          <w:tcPr/>
          <w:p>
            <w:pPr>
              <w:pStyle w:val="Compact"/>
            </w:pPr>
            <w:r>
              <w:rPr>
                <w:b/>
                <w:bCs/>
              </w:rPr>
              <w:t xml:space="preserve">OS</w:t>
            </w:r>
            <w:r>
              <w:t xml:space="preserve"> </w:t>
            </w:r>
            <w:r>
              <w:t xml:space="preserve">API replacement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(a)+(b)</w:t>
            </w:r>
          </w:p>
        </w:tc>
      </w:tr>
      <w:tr>
        <w:tc>
          <w:tcPr/>
          <w:p>
            <w:pPr>
              <w:pStyle w:val="Compact"/>
            </w:pPr>
            <w:r>
              <w:rPr>
                <w:b/>
                <w:bCs/>
              </w:rPr>
              <w:t xml:space="preserve">HP</w:t>
            </w:r>
            <w:r>
              <w:t xml:space="preserve"> </w:t>
            </w:r>
            <w:r>
              <w:t xml:space="preserve">Hyperparameter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(b)+partial(c)</w:t>
            </w:r>
          </w:p>
        </w:tc>
      </w:tr>
      <w:tr>
        <w:tc>
          <w:tcPr/>
          <w:p>
            <w:pPr>
              <w:pStyle w:val="Compact"/>
            </w:pPr>
            <w:r>
              <w:rPr>
                <w:b/>
                <w:bCs/>
              </w:rPr>
              <w:t xml:space="preserve">TF</w:t>
            </w:r>
            <w:r>
              <w:t xml:space="preserve"> </w:t>
            </w:r>
            <w:r>
              <w:t xml:space="preserve">Numerical transform</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(b)+(c)</w:t>
            </w:r>
          </w:p>
        </w:tc>
      </w:tr>
      <w:tr>
        <w:tc>
          <w:tcPr/>
          <w:p>
            <w:pPr>
              <w:pStyle w:val="Compact"/>
            </w:pPr>
            <w:r>
              <w:rPr>
                <w:b/>
                <w:bCs/>
              </w:rPr>
              <w:t xml:space="preserve">SI / CF</w:t>
            </w:r>
            <w:r>
              <w:t xml:space="preserve"> </w:t>
            </w:r>
            <w:r>
              <w:t xml:space="preserve">Structural injection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(b)+(c)</w:t>
            </w:r>
          </w:p>
        </w:tc>
      </w:tr>
    </w:tbl>
    <w:p>
      <w:pPr>
        <w:pStyle w:val="BodyText"/>
      </w:pPr>
      <w:r>
        <w:t xml:space="preserve">Only</w:t>
      </w:r>
      <w:r>
        <w:t xml:space="preserve"> </w:t>
      </w:r>
      <w:r>
        <w:rPr>
          <w:b/>
          <w:bCs/>
        </w:rPr>
        <w:t xml:space="preserve">CE partially satisfies</w:t>
      </w:r>
      <w:r>
        <w:t xml:space="preserve"> </w:t>
      </w:r>
      <w:r>
        <w:t xml:space="preserve">the necessary conditions (it is a semantic / syntactic boundary class); OS, HP, TF, SI strongly satisfy at least one of (a), (b), (c).</w:t>
      </w:r>
    </w:p>
    <w:bookmarkEnd w:id="27"/>
    <w:bookmarkStart w:id="28" w:name="cell-instantiation-matrix"/>
    <w:p>
      <w:pPr>
        <w:pStyle w:val="Heading3"/>
      </w:pPr>
      <w:r>
        <w:t xml:space="preserve">3.3 60-cell instantiation matrix</w:t>
      </w:r>
    </w:p>
    <w:p>
      <w:pPr>
        <w:pStyle w:val="SourceCode"/>
      </w:pPr>
      <w:r>
        <w:rPr>
          <w:rStyle w:val="VerbatimChar"/>
        </w:rPr>
        <w:t xml:space="preserve">              MP_1   MP_2   MP_3    MP_4    MP_5</w:t>
      </w:r>
      <w:r>
        <w:br/>
      </w:r>
      <w:r>
        <w:rPr>
          <w:rStyle w:val="VerbatimChar"/>
        </w:rPr>
        <w:t xml:space="preserve">              cons.  mono.  conv.   traj.   p-ord.</w:t>
      </w:r>
      <w:r>
        <w:br/>
      </w:r>
      <w:r>
        <w:rPr>
          <w:rStyle w:val="VerbatimChar"/>
        </w:rPr>
        <w:t xml:space="preserve">   A1 Lorenz   ●●     ●     ●●     ●●      ○</w:t>
      </w:r>
      <w:r>
        <w:br/>
      </w:r>
      <w:r>
        <w:rPr>
          <w:rStyle w:val="VerbatimChar"/>
        </w:rPr>
        <w:t xml:space="preserve">   A2 LU       ●●     ○     ●      ●       ●●</w:t>
      </w:r>
      <w:r>
        <w:br/>
      </w:r>
      <w:r>
        <w:rPr>
          <w:rStyle w:val="VerbatimChar"/>
        </w:rPr>
        <w:t xml:space="preserve">   A3 FDM      ●●     ●     ●●     ●●      ○</w:t>
      </w:r>
      <w:r>
        <w:br/>
      </w:r>
      <w:r>
        <w:rPr>
          <w:rStyle w:val="VerbatimChar"/>
        </w:rPr>
        <w:t xml:space="preserve">   B1 BetaBin  ●●     ●     ○      ○       ●</w:t>
      </w:r>
      <w:r>
        <w:br/>
      </w:r>
      <w:r>
        <w:rPr>
          <w:rStyle w:val="VerbatimChar"/>
        </w:rPr>
        <w:t xml:space="preserve">   B2 MCMC     ●      ●●    ●●     ●●      ●</w:t>
      </w:r>
      <w:r>
        <w:br/>
      </w:r>
      <w:r>
        <w:rPr>
          <w:rStyle w:val="VerbatimChar"/>
        </w:rPr>
        <w:t xml:space="preserve">   B3 MC       ●●     ○     ●●     ●       ○</w:t>
      </w:r>
      <w:r>
        <w:br/>
      </w:r>
      <w:r>
        <w:rPr>
          <w:rStyle w:val="VerbatimChar"/>
        </w:rPr>
        <w:t xml:space="preserve">   C1 GPR      ●      ●●    ●●     ●       ●●</w:t>
      </w:r>
      <w:r>
        <w:br/>
      </w:r>
      <w:r>
        <w:rPr>
          <w:rStyle w:val="VerbatimChar"/>
        </w:rPr>
        <w:t xml:space="preserve">   C2 PCE      ●●     ●     ●●     ●       ●●</w:t>
      </w:r>
      <w:r>
        <w:br/>
      </w:r>
      <w:r>
        <w:rPr>
          <w:rStyle w:val="VerbatimChar"/>
        </w:rPr>
        <w:t xml:space="preserve">   C3 NN-Surr  ●      ●●    ●●     ●●      ●●</w:t>
      </w:r>
      <w:r>
        <w:br/>
      </w:r>
      <w:r>
        <w:rPr>
          <w:rStyle w:val="VerbatimChar"/>
        </w:rPr>
        <w:t xml:space="preserve">   D1 MLP      ●●     ●●    ●      ●       ●●</w:t>
      </w:r>
      <w:r>
        <w:br/>
      </w:r>
      <w:r>
        <w:rPr>
          <w:rStyle w:val="VerbatimChar"/>
        </w:rPr>
        <w:t xml:space="preserve">   D2 SVM      ●      ●●    ●      ○       ●●</w:t>
      </w:r>
      <w:r>
        <w:br/>
      </w:r>
      <w:r>
        <w:rPr>
          <w:rStyle w:val="VerbatimChar"/>
        </w:rPr>
        <w:t xml:space="preserve">   D3 LR       ●●     ●●    ●      ○       ●●</w:t>
      </w:r>
      <w:r>
        <w:br/>
      </w:r>
      <w:r>
        <w:rPr>
          <w:rStyle w:val="VerbatimChar"/>
        </w:rPr>
        <w:t xml:space="preserve">   ●● substantial 30 / ● moderate 24 / ○ vacant 6 (P1 H6)</w:t>
      </w:r>
    </w:p>
    <w:p>
      <w:pPr>
        <w:pStyle w:val="FirstParagraph"/>
      </w:pPr>
      <w:r>
        <w:t xml:space="preserve">Each PUT averages 24.3 mutants in the v4 cross-source pool (range 10-30); full 60-cell × N=20 = 292 mutant instantiations × 20 AVP repetitions, with K_eq = 1000 input samples for E2 evaluation. Detailed pool counts and per-class operator specialisations are in</w:t>
      </w:r>
      <w:r>
        <w:t xml:space="preserve"> </w:t>
      </w:r>
      <w:r>
        <w:rPr>
          <w:b/>
          <w:bCs/>
        </w:rPr>
        <w:t xml:space="preserve">Appendix B.2</w:t>
      </w:r>
      <w:r>
        <w:t xml:space="preserve">.</w:t>
      </w:r>
    </w:p>
    <w:p>
      <w:pPr>
        <w:pStyle w:val="BodyText"/>
      </w:pPr>
      <w:r>
        <w:t xml:space="preserve">The cell density notation distinguishes ●● substantial (30 cells; aligned slice + strong off-diagonal cells where MR coverage is dense and mutant detection is expected), ● moderate (24 cells; cross slice with non-trivial expected detection rate), and ○ vacant (6 cells; inherited from P1 H6 — historically empty cells where no MR is exercised). The 12 aligned (j = k) cells are precisely the on-diagonal cells; the 48 cross (j ≠ k) cells partition into the 24 ● moderate + 18 ●● off-diagonal substantive + 6 ○ vacant cells. The ● moderate / ●● substantive distinction does not change SMS computation; it tracks expected MR coverage density per P1 documentation and informs the §6.2 R_sem / R_kill decoupling discussion.</w:t>
      </w:r>
    </w:p>
    <w:p>
      <w:pPr>
        <w:pStyle w:val="BodyText"/>
      </w:pPr>
      <w:r>
        <w:rPr>
          <w:b/>
          <w:bCs/>
        </w:rPr>
        <w:t xml:space="preserve">Per-class operator specialisations (illustrative).</w:t>
      </w:r>
      <w:r>
        <w:t xml:space="preserve"> </w:t>
      </w:r>
      <w:r>
        <w:t xml:space="preserve">Each meta-operator (mut_C / M / G / T / F = CE / OS / HP / TF / SI in their dual form) requires PUT-class-specific specialisation:</w:t>
      </w:r>
    </w:p>
    <w:p>
      <w:pPr>
        <w:pStyle w:val="Compact"/>
        <w:numPr>
          <w:ilvl w:val="0"/>
          <w:numId w:val="1008"/>
        </w:numPr>
      </w:pPr>
      <w:r>
        <w:rPr>
          <w:b/>
          <w:bCs/>
        </w:rPr>
        <w:t xml:space="preserve">mut_C Conservation-breaking:</w:t>
      </w:r>
      <w:r>
        <w:t xml:space="preserve"> </w:t>
      </w:r>
      <w:r>
        <w:t xml:space="preserve">A1 Lorenz adds ε_drift to RHS (slow Hamiltonian drift); A2 LU decomposition omits the (k+1)-th row multiplier; B1 Beta-Bin posterior omits normalisation; C1 GPR covariance omits positive-definite diagonal term; D1 MLP backprop omits one gradient term.</w:t>
      </w:r>
    </w:p>
    <w:p>
      <w:pPr>
        <w:pStyle w:val="Compact"/>
        <w:numPr>
          <w:ilvl w:val="0"/>
          <w:numId w:val="1008"/>
        </w:numPr>
      </w:pPr>
      <w:r>
        <w:rPr>
          <w:b/>
          <w:bCs/>
        </w:rPr>
        <w:t xml:space="preserve">mut_M Monotonicity-breaking:</w:t>
      </w:r>
      <w:r>
        <w:t xml:space="preserve"> </w:t>
      </w:r>
      <w:r>
        <w:t xml:space="preserve">A3 FDM Δt occasionally negative; B2 MCMC acceptance min(1, r) → min(0.95, r); C2 PCE high-order coefficient sort inserts inversion; D2 SVM decision-function sign flips near boundary.</w:t>
      </w:r>
    </w:p>
    <w:p>
      <w:pPr>
        <w:pStyle w:val="Compact"/>
        <w:numPr>
          <w:ilvl w:val="0"/>
          <w:numId w:val="1008"/>
        </w:numPr>
      </w:pPr>
      <w:r>
        <w:rPr>
          <w:b/>
          <w:bCs/>
        </w:rPr>
        <w:t xml:space="preserve">mut_G Convergence-breaking:</w:t>
      </w:r>
      <w:r>
        <w:t xml:space="preserve"> </w:t>
      </w:r>
      <w:r>
        <w:t xml:space="preserve">A1 Lorenz RK4 → 1.5-order hybrid; A3 FDM 2nd-order difference → 1st-order; B3 MC doubling sample size does not 1/N-reduce variance; C3 NN-Surr training-epoch truncation.</w:t>
      </w:r>
    </w:p>
    <w:p>
      <w:pPr>
        <w:pStyle w:val="Compact"/>
        <w:numPr>
          <w:ilvl w:val="0"/>
          <w:numId w:val="1008"/>
        </w:numPr>
      </w:pPr>
      <w:r>
        <w:rPr>
          <w:b/>
          <w:bCs/>
        </w:rPr>
        <w:t xml:space="preserve">mut_T Trajectory-distorting:</w:t>
      </w:r>
      <w:r>
        <w:t xml:space="preserve"> </w:t>
      </w:r>
      <w:r>
        <w:t xml:space="preserve">A1 Lorenz state-vector y / z swap; B2 MCMC inserts independent-sampling segment; C3 NN-Surr training-target slow phase shift; D1 MLP hidden-layer periodic-mask activation.</w:t>
      </w:r>
    </w:p>
    <w:p>
      <w:pPr>
        <w:pStyle w:val="Compact"/>
        <w:numPr>
          <w:ilvl w:val="0"/>
          <w:numId w:val="1008"/>
        </w:numPr>
      </w:pPr>
      <w:r>
        <w:rPr>
          <w:b/>
          <w:bCs/>
        </w:rPr>
        <w:t xml:space="preserve">mut_F Fidelity-order-breaking:</w:t>
      </w:r>
      <w:r>
        <w:t xml:space="preserve"> </w:t>
      </w:r>
      <w:r>
        <w:t xml:space="preserve">A2 LU partial pivoting degrades to no pivoting; C1 GPR length-scale switches to coarse prior; C2 PCE high-order term randomly retains low-order; D3 LR regularisation occasionally large.</w:t>
      </w:r>
    </w:p>
    <w:p>
      <w:pPr>
        <w:pStyle w:val="FirstParagraph"/>
      </w:pPr>
      <w:r>
        <w:t xml:space="preserve">The per-class HP / OS / TF substitution rules give similarly differentiated specialisations across PUT classes (e.g., HP on class a = tolerance / max_iter, on class c = GPR</w:t>
      </w:r>
      <w:r>
        <w:t xml:space="preserve"> </w:t>
      </w:r>
      <w:r>
        <w:rPr>
          <w:rStyle w:val="VerbatimChar"/>
        </w:rPr>
        <w:t xml:space="preserve">noise_level</w:t>
      </w:r>
      <w:r>
        <w:t xml:space="preserve"> </w:t>
      </w:r>
      <w:r>
        <w:t xml:space="preserve">/</w:t>
      </w:r>
      <w:r>
        <w:t xml:space="preserve"> </w:t>
      </w:r>
      <w:r>
        <w:rPr>
          <w:rStyle w:val="VerbatimChar"/>
        </w:rPr>
        <w:t xml:space="preserve">length_scale</w:t>
      </w:r>
      <w:r>
        <w:t xml:space="preserve">, on class d = MLP</w:t>
      </w:r>
      <w:r>
        <w:t xml:space="preserve"> </w:t>
      </w:r>
      <w:r>
        <w:rPr>
          <w:rStyle w:val="VerbatimChar"/>
        </w:rPr>
        <w:t xml:space="preserve">hidden_dim</w:t>
      </w:r>
      <w:r>
        <w:t xml:space="preserve"> </w:t>
      </w:r>
      <w:r>
        <w:t xml:space="preserve">/ dropout; OS on class a = numerical-linalg API swap</w:t>
      </w:r>
      <w:r>
        <w:t xml:space="preserve"> </w:t>
      </w:r>
      <w:r>
        <w:rPr>
          <w:rStyle w:val="VerbatimChar"/>
        </w:rPr>
        <w:t xml:space="preserve">det</w:t>
      </w:r>
      <w:r>
        <w:t xml:space="preserve"> </w:t>
      </w:r>
      <w:r>
        <w:t xml:space="preserve">↔</w:t>
      </w:r>
      <w:r>
        <w:t xml:space="preserve"> </w:t>
      </w:r>
      <w:r>
        <w:rPr>
          <w:rStyle w:val="VerbatimChar"/>
        </w:rPr>
        <w:t xml:space="preserve">sum(diag)</w:t>
      </w:r>
      <w:r>
        <w:t xml:space="preserve">, on class b = sampling-API swap, on class c = surrogate-class swap GPR ↔ RBF ↔ NN). The full PUT-class × operator specialisation grid is in Appendix B.2.</w:t>
      </w:r>
    </w:p>
    <w:bookmarkEnd w:id="28"/>
    <w:bookmarkStart w:id="29" w:name="X24b3732a3f3759e08f2664211d75b0d094ce5ac"/>
    <w:p>
      <w:pPr>
        <w:pStyle w:val="Heading3"/>
      </w:pPr>
      <w:r>
        <w:t xml:space="preserve">3.4 Engineering significance — c-class primary MP caveat</w:t>
      </w:r>
    </w:p>
    <w:p>
      <w:pPr>
        <w:pStyle w:val="FirstParagraph"/>
      </w:pPr>
      <w:r>
        <w:t xml:space="preserve">The diagonal cells</w:t>
      </w:r>
      <w:r>
        <w:t xml:space="preserve"> </w:t>
      </w:r>
      <w:r>
        <w:rPr>
          <w:rStyle w:val="VerbatimChar"/>
        </w:rPr>
        <w:t xml:space="preserve">j = k</w:t>
      </w:r>
      <w:r>
        <w:t xml:space="preserve"> </w:t>
      </w:r>
      <w:r>
        <w:t xml:space="preserve">form the H2-aligned slice, the off-diagonal cells form the cross slice, and the vacant cells</w:t>
      </w:r>
      <w:r>
        <w:t xml:space="preserve"> </w:t>
      </w:r>
      <w:r>
        <w:rPr>
          <w:rStyle w:val="VerbatimChar"/>
        </w:rPr>
        <w:t xml:space="preserve">○</w:t>
      </w:r>
      <w:r>
        <w:t xml:space="preserve"> </w:t>
      </w:r>
      <w:r>
        <w:t xml:space="preserve">are not formally adjudicated. One methodological honesty point belongs in the main body and cannot be deferred to the appendix.</w:t>
      </w:r>
    </w:p>
    <w:p>
      <w:pPr>
        <w:pStyle w:val="BodyText"/>
      </w:pPr>
      <w:r>
        <w:rPr>
          <w:b/>
          <w:bCs/>
        </w:rPr>
        <w:t xml:space="preserve">Pre-registered v3 (primary).</w:t>
      </w:r>
      <w:r>
        <w:t xml:space="preserve"> </w:t>
      </w:r>
      <w:r>
        <w:t xml:space="preserve">The c-class primary MP follows the P1 specification (MP5). All H1, H2, H4, and H5 verdicts in this paper are rendered on v3.</w:t>
      </w:r>
    </w:p>
    <w:p>
      <w:pPr>
        <w:pStyle w:val="BodyText"/>
      </w:pPr>
      <w:r>
        <w:rPr>
          <w:b/>
          <w:bCs/>
        </w:rPr>
        <w:t xml:space="preserve">Exploratory v3b (post-hoc).</w:t>
      </w:r>
      <w:r>
        <w:t xml:space="preserve"> </w:t>
      </w:r>
      <w:r>
        <w:t xml:space="preserve">After observing the v3 data, the per-class Friedman test in §5.5 shows χ² = 4.00 and p = 0.406 for the c-class — no significant MP differentiation. On this non-significance basis we shift the c-class primary to the argmax-mean-SMS choice, which is MP1 (data:</w:t>
      </w:r>
      <w:r>
        <w:t xml:space="preserve"> </w:t>
      </w:r>
      <w:r>
        <w:rPr>
          <w:rStyle w:val="VerbatimChar"/>
        </w:rPr>
        <w:t xml:space="preserve">c_class_mp_ranking.json</w:t>
      </w:r>
      <w:r>
        <w:t xml:space="preserve">). This is</w:t>
      </w:r>
      <w:r>
        <w:t xml:space="preserve"> </w:t>
      </w:r>
      <w:r>
        <w:rPr>
          <w:b/>
          <w:bCs/>
        </w:rPr>
        <w:t xml:space="preserve">selection on the response</w:t>
      </w:r>
      <w:r>
        <w:t xml:space="preserve">: it inflates the H4 sign test from 3/4 to 4/4 and Cliff’s δ from 0.323 to 0.446 without applying a max-statistic correction. A permutation null over fully exchangeable c-class (PUT, MP) cell SMS values (10,000 permutations) gives one-sided p = 0.9885 and a Bonferroni-bounded effective α of 0.01 (</w:t>
      </w:r>
      <w:r>
        <w:rPr>
          <w:rStyle w:val="VerbatimChar"/>
        </w:rPr>
        <w:t xml:space="preserve">c_class_permutation_v4.json</w:t>
      </w:r>
      <w:r>
        <w:t xml:space="preserve">). All v3b and v4 results are reported as exploratory; the H4 and H2 primary verdicts rest on v3. P4 will pre-register the c-class primary-MP rule on a fresh dataset.</w:t>
      </w:r>
    </w:p>
    <w:p>
      <w:pPr>
        <w:pStyle w:val="BodyText"/>
      </w:pPr>
      <w:r>
        <w:rPr>
          <w:b/>
          <w:bCs/>
        </w:rPr>
        <w:t xml:space="preserve">Symbol convention.</w:t>
      </w:r>
      <w:r>
        <w:t xml:space="preserve"> </w:t>
      </w:r>
      <w:r>
        <w:t xml:space="preserve">Throughout the paper, a dagger (†) on a numeric quantity (δ, SMS percentage, sign-test count) flags that the number is derived under the v3b post-hoc c-class primary-MP shift (MP5 → MP1) and inherits the permutation-null one-sided p = 0.9885 caveat above. Numbers without † stand on the v3 pre-registered configuration.</w:t>
      </w:r>
    </w:p>
    <w:p>
      <w:pPr>
        <w:pStyle w:val="BodyText"/>
      </w:pPr>
      <w:r>
        <w:rPr>
          <w:b/>
          <w:bCs/>
        </w:rPr>
        <w:t xml:space="preserve">Statistical-indistinguishability note (Round-8 reviewer-prompted).</w:t>
      </w:r>
      <w:r>
        <w:t xml:space="preserve"> </w:t>
      </w:r>
      <w:r>
        <w:t xml:space="preserve">The permutation null one-sided p = 0.9885 above means that</w:t>
      </w:r>
      <w:r>
        <w:t xml:space="preserve"> </w:t>
      </w:r>
      <w:r>
        <w:rPr>
          <w:b/>
          <w:bCs/>
        </w:rPr>
        <w:t xml:space="preserve">a δ inflation of the magnitude observed (v3 → v3b: +0.123) is essentially indistinguishable from what would arise from random reselection of the c-class primary MP</w:t>
      </w:r>
      <w:r>
        <w:t xml:space="preserve"> </w:t>
      </w:r>
      <w:r>
        <w:t xml:space="preserve">under the null. This is the formal interpretation of</w:t>
      </w:r>
      <w:r>
        <w:t xml:space="preserve"> </w:t>
      </w:r>
      <w:r>
        <w:t xml:space="preserve">“selection on the response”</w:t>
      </w:r>
      <w:r>
        <w:t xml:space="preserve"> </w:t>
      </w:r>
      <w:r>
        <w:t xml:space="preserve">in this design, and it applies to every † number throughout the paper. Sections 5 and 6 retain v3b/v4-mp1 numbers for completeness but do not use them as evidentiary anchors; the main narrative anchors are v3 (pre-registered) and v4-mp5 (robustness, MP held at pre-registered MP5). All † numbers are formally relocated to Appendix D as sensitivity analyses.</w:t>
      </w:r>
    </w:p>
    <w:p>
      <w:pPr>
        <w:pStyle w:val="BodyText"/>
      </w:pPr>
      <w:r>
        <w:rPr>
          <w:b/>
          <w:bCs/>
        </w:rPr>
        <w:t xml:space="preserve">Naming convention.</w:t>
      </w:r>
      <w:r>
        <w:t xml:space="preserve"> </w:t>
      </w:r>
      <w:r>
        <w:t xml:space="preserve">For brevity, we write</w:t>
      </w:r>
      <w:r>
        <w:t xml:space="preserve"> </w:t>
      </w:r>
      <w:r>
        <w:rPr>
          <w:rStyle w:val="VerbatimChar"/>
        </w:rPr>
        <w:t xml:space="preserve">v4-mp1</w:t>
      </w:r>
      <w:r>
        <w:t xml:space="preserve"> </w:t>
      </w:r>
      <w:r>
        <w:t xml:space="preserve">for the v4 cross-source pool with the v3b post-hoc c-class primary MP1 (Round-3 default; the version reaching δ = 0.439†) and</w:t>
      </w:r>
      <w:r>
        <w:t xml:space="preserve"> </w:t>
      </w:r>
      <w:r>
        <w:rPr>
          <w:rStyle w:val="VerbatimChar"/>
        </w:rPr>
        <w:t xml:space="preserve">v4-mp5</w:t>
      </w:r>
      <w:r>
        <w:t xml:space="preserve"> </w:t>
      </w:r>
      <w:r>
        <w:t xml:space="preserve">for the v4 cross-source pool holding the c-class primary at the pre-registered MP5 (Round-3 robustness contrast; the version reaching δ = 0.314). Both share the same v4 mutant pool; only the c-class primary-MP convention differs.</w:t>
      </w:r>
    </w:p>
    <w:bookmarkEnd w:id="29"/>
    <w:bookmarkStart w:id="30" w:name="X85519256291af8a381f908ac6e49b3129ec9b46"/>
    <w:p>
      <w:pPr>
        <w:pStyle w:val="Heading3"/>
      </w:pPr>
      <w:r>
        <w:t xml:space="preserve">3.5 P2 vs syntactic mutants — 12-PUT empirical (Layer 3)</w:t>
      </w:r>
    </w:p>
    <w:p>
      <w:pPr>
        <w:pStyle w:val="FirstParagraph"/>
      </w:pPr>
      <w:r>
        <w:rPr>
          <w:b/>
          <w:bCs/>
        </w:rPr>
        <w:t xml:space="preserve">Experimental design.</w:t>
      </w:r>
      <w:r>
        <w:t xml:space="preserve"> </w:t>
      </w:r>
      <w:r>
        <w:t xml:space="preserve">For each PUT, P2 v4 cross-source mutants (</w:t>
      </w:r>
      <w:r>
        <w:rPr>
          <w:rStyle w:val="VerbatimChar"/>
        </w:rPr>
        <w:t xml:space="preserve">data/mutants/${PUT}_pool_v4/</w:t>
      </w:r>
      <w:r>
        <w:t xml:space="preserve">, 292 total) are compared at the AST-normalised level (</w:t>
      </w:r>
      <w:r>
        <w:rPr>
          <w:rStyle w:val="VerbatimChar"/>
        </w:rPr>
        <w:t xml:space="preserve">ast.dump(annotate_fields=False, include_attributes=False)</w:t>
      </w:r>
      <w:r>
        <w:t xml:space="preserve">) with cosmic-ray default-operator mutants (1,250 total;</w:t>
      </w:r>
      <w:r>
        <w:t xml:space="preserve"> </w:t>
      </w:r>
      <w:r>
        <w:rPr>
          <w:rStyle w:val="VerbatimChar"/>
        </w:rPr>
        <w:t xml:space="preserve">scripts/p2_vs_syntactic_ast_diff_batch.py</w:t>
      </w:r>
      <w:r>
        <w:t xml:space="preserve">). Source:</w:t>
      </w:r>
      <w:r>
        <w:t xml:space="preserve"> </w:t>
      </w:r>
      <w:r>
        <w:rPr>
          <w:rStyle w:val="VerbatimChar"/>
        </w:rPr>
        <w:t xml:space="preserve">data/results/cosmic_ray_12put_ast_diff.json</w:t>
      </w:r>
      <w:r>
        <w:t xml:space="preserve">.</w:t>
      </w:r>
    </w:p>
    <w:p>
      <w:pPr>
        <w:pStyle w:val="BodyText"/>
      </w:pPr>
      <w:r>
        <w:rPr>
          <w:b/>
          <w:bCs/>
        </w:rPr>
        <w:t xml:space="preserve">Aggregate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Total P2 mutants (12 PUTs)</w:t>
            </w:r>
          </w:p>
        </w:tc>
        <w:tc>
          <w:tcPr/>
          <w:p>
            <w:pPr>
              <w:pStyle w:val="Compact"/>
            </w:pPr>
            <w:r>
              <w:t xml:space="preserve">292</w:t>
            </w:r>
          </w:p>
        </w:tc>
      </w:tr>
      <w:tr>
        <w:tc>
          <w:tcPr/>
          <w:p>
            <w:pPr>
              <w:pStyle w:val="Compact"/>
            </w:pPr>
            <w:r>
              <w:t xml:space="preserve">Total cosmic-ray syntactic mutants (12 PUTs)</w:t>
            </w:r>
          </w:p>
        </w:tc>
        <w:tc>
          <w:tcPr/>
          <w:p>
            <w:pPr>
              <w:pStyle w:val="Compact"/>
            </w:pPr>
            <w:r>
              <w:t xml:space="preserve">1,250</w:t>
            </w:r>
          </w:p>
        </w:tc>
      </w:tr>
      <w:tr>
        <w:tc>
          <w:tcPr/>
          <w:p>
            <w:pPr>
              <w:pStyle w:val="Compact"/>
            </w:pPr>
            <w:r>
              <w:t xml:space="preserve">AST-normalised overlap</w:t>
            </w:r>
          </w:p>
        </w:tc>
        <w:tc>
          <w:tcPr/>
          <w:p>
            <w:pPr>
              <w:pStyle w:val="Compact"/>
            </w:pPr>
            <w:r>
              <w:t xml:space="preserve">15</w:t>
            </w:r>
          </w:p>
        </w:tc>
      </w:tr>
      <w:tr>
        <w:tc>
          <w:tcPr/>
          <w:p>
            <w:pPr>
              <w:pStyle w:val="Compact"/>
            </w:pPr>
            <w:r>
              <w:rPr>
                <w:b/>
                <w:bCs/>
              </w:rPr>
              <w:t xml:space="preserve">Overall overlap rate</w:t>
            </w:r>
          </w:p>
        </w:tc>
        <w:tc>
          <w:tcPr/>
          <w:p>
            <w:pPr>
              <w:pStyle w:val="Compact"/>
            </w:pPr>
            <w:r>
              <w:rPr>
                <w:b/>
                <w:bCs/>
              </w:rPr>
              <w:t xml:space="preserve">5.14%</w:t>
            </w:r>
          </w:p>
        </w:tc>
      </w:tr>
    </w:tbl>
    <w:p>
      <w:pPr>
        <w:pStyle w:val="BodyText"/>
      </w:pPr>
      <w:r>
        <w:rPr>
          <w:b/>
          <w:bCs/>
        </w:rPr>
        <w:t xml:space="preserve">Per-operator-class breakdown (12-PUT aggregate).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Class</w:t>
            </w:r>
          </w:p>
        </w:tc>
        <w:tc>
          <w:tcPr/>
          <w:p>
            <w:pPr>
              <w:pStyle w:val="Compact"/>
            </w:pPr>
            <w:r>
              <w:t xml:space="preserve">n_p2</w:t>
            </w:r>
          </w:p>
        </w:tc>
        <w:tc>
          <w:tcPr/>
          <w:p>
            <w:pPr>
              <w:pStyle w:val="Compact"/>
            </w:pPr>
            <w:r>
              <w:t xml:space="preserve">n_overlap</w:t>
            </w:r>
          </w:p>
        </w:tc>
        <w:tc>
          <w:tcPr/>
          <w:p>
            <w:pPr>
              <w:pStyle w:val="Compact"/>
            </w:pPr>
            <w:r>
              <w:t xml:space="preserve">Rate</w:t>
            </w:r>
          </w:p>
        </w:tc>
        <w:tc>
          <w:tcPr/>
          <w:p>
            <w:pPr>
              <w:pStyle w:val="Compact"/>
            </w:pPr>
            <w:r>
              <w:t xml:space="preserve">Interpretation</w:t>
            </w:r>
          </w:p>
        </w:tc>
      </w:tr>
      <w:tr>
        <w:tc>
          <w:tcPr/>
          <w:p>
            <w:pPr>
              <w:pStyle w:val="Compact"/>
            </w:pPr>
            <w:r>
              <w:rPr>
                <w:b/>
                <w:bCs/>
              </w:rPr>
              <w:t xml:space="preserve">HP</w:t>
            </w:r>
          </w:p>
        </w:tc>
        <w:tc>
          <w:tcPr/>
          <w:p>
            <w:pPr>
              <w:pStyle w:val="Compact"/>
            </w:pPr>
            <w:r>
              <w:t xml:space="preserve">72</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rPr>
                <w:b/>
                <w:bCs/>
              </w:rPr>
              <w:t xml:space="preserve">SI</w:t>
            </w:r>
          </w:p>
        </w:tc>
        <w:tc>
          <w:tcPr/>
          <w:p>
            <w:pPr>
              <w:pStyle w:val="Compact"/>
            </w:pPr>
            <w:r>
              <w:t xml:space="preserve">33</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rPr>
                <w:b/>
                <w:bCs/>
              </w:rPr>
              <w:t xml:space="preserve">TF</w:t>
            </w:r>
          </w:p>
        </w:tc>
        <w:tc>
          <w:tcPr/>
          <w:p>
            <w:pPr>
              <w:pStyle w:val="Compact"/>
            </w:pPr>
            <w:r>
              <w:t xml:space="preserve">54</w:t>
            </w:r>
          </w:p>
        </w:tc>
        <w:tc>
          <w:tcPr/>
          <w:p>
            <w:pPr>
              <w:pStyle w:val="Compact"/>
            </w:pPr>
            <w:r>
              <w:t xml:space="preserve">0</w:t>
            </w:r>
          </w:p>
        </w:tc>
        <w:tc>
          <w:tcPr/>
          <w:p>
            <w:pPr>
              <w:pStyle w:val="Compact"/>
            </w:pPr>
            <w:r>
              <w:rPr>
                <w:b/>
                <w:bCs/>
              </w:rPr>
              <w:t xml:space="preserve">0.000</w:t>
            </w:r>
          </w:p>
        </w:tc>
        <w:tc>
          <w:tcPr/>
          <w:p>
            <w:pPr>
              <w:pStyle w:val="Compact"/>
            </w:pPr>
            <w:r>
              <w:t xml:space="preserve">Structurally unreachable</w:t>
            </w:r>
          </w:p>
        </w:tc>
      </w:tr>
      <w:tr>
        <w:tc>
          <w:tcPr/>
          <w:p>
            <w:pPr>
              <w:pStyle w:val="Compact"/>
            </w:pPr>
            <w:r>
              <w:t xml:space="preserve">CE</w:t>
            </w:r>
          </w:p>
        </w:tc>
        <w:tc>
          <w:tcPr/>
          <w:p>
            <w:pPr>
              <w:pStyle w:val="Compact"/>
            </w:pPr>
            <w:r>
              <w:t xml:space="preserve">64</w:t>
            </w:r>
          </w:p>
        </w:tc>
        <w:tc>
          <w:tcPr/>
          <w:p>
            <w:pPr>
              <w:pStyle w:val="Compact"/>
            </w:pPr>
            <w:r>
              <w:t xml:space="preserve">5</w:t>
            </w:r>
          </w:p>
        </w:tc>
        <w:tc>
          <w:tcPr/>
          <w:p>
            <w:pPr>
              <w:pStyle w:val="Compact"/>
            </w:pPr>
            <w:r>
              <w:t xml:space="preserve">0.078</w:t>
            </w:r>
          </w:p>
        </w:tc>
        <w:tc>
          <w:tcPr/>
          <w:p>
            <w:pPr>
              <w:pStyle w:val="Compact"/>
            </w:pPr>
            <w:r>
              <w:t xml:space="preserve">Boundary class (§3.2 partial (b))</w:t>
            </w:r>
          </w:p>
        </w:tc>
      </w:tr>
      <w:tr>
        <w:tc>
          <w:tcPr/>
          <w:p>
            <w:pPr>
              <w:pStyle w:val="Compact"/>
            </w:pPr>
            <w:r>
              <w:t xml:space="preserve">OS</w:t>
            </w:r>
          </w:p>
        </w:tc>
        <w:tc>
          <w:tcPr/>
          <w:p>
            <w:pPr>
              <w:pStyle w:val="Compact"/>
            </w:pPr>
            <w:r>
              <w:t xml:space="preserve">60</w:t>
            </w:r>
          </w:p>
        </w:tc>
        <w:tc>
          <w:tcPr/>
          <w:p>
            <w:pPr>
              <w:pStyle w:val="Compact"/>
            </w:pPr>
            <w:r>
              <w:t xml:space="preserve">7</w:t>
            </w:r>
          </w:p>
        </w:tc>
        <w:tc>
          <w:tcPr/>
          <w:p>
            <w:pPr>
              <w:pStyle w:val="Compact"/>
            </w:pPr>
            <w:r>
              <w:t xml:space="preserve">0.117</w:t>
            </w:r>
          </w:p>
        </w:tc>
        <w:tc>
          <w:tcPr/>
          <w:p>
            <w:pPr>
              <w:pStyle w:val="Compact"/>
            </w:pPr>
            <w:r>
              <w:t xml:space="preserve">Partial incidental hits</w:t>
            </w:r>
          </w:p>
        </w:tc>
      </w:tr>
      <w:tr>
        <w:tc>
          <w:tcPr/>
          <w:p>
            <w:pPr>
              <w:pStyle w:val="Compact"/>
            </w:pPr>
            <w:r>
              <w:t xml:space="preserve">CF</w:t>
            </w:r>
          </w:p>
        </w:tc>
        <w:tc>
          <w:tcPr/>
          <w:p>
            <w:pPr>
              <w:pStyle w:val="Compact"/>
            </w:pPr>
            <w:r>
              <w:t xml:space="preserve">9</w:t>
            </w:r>
          </w:p>
        </w:tc>
        <w:tc>
          <w:tcPr/>
          <w:p>
            <w:pPr>
              <w:pStyle w:val="Compact"/>
            </w:pPr>
            <w:r>
              <w:t xml:space="preserve">3</w:t>
            </w:r>
          </w:p>
        </w:tc>
        <w:tc>
          <w:tcPr/>
          <w:p>
            <w:pPr>
              <w:pStyle w:val="Compact"/>
            </w:pPr>
            <w:r>
              <w:t xml:space="preserve">0.333</w:t>
            </w:r>
          </w:p>
        </w:tc>
        <w:tc>
          <w:tcPr/>
          <w:p>
            <w:pPr>
              <w:pStyle w:val="Compact"/>
            </w:pPr>
            <w:r>
              <w:t xml:space="preserve">b2 only, n=9</w:t>
            </w:r>
          </w:p>
        </w:tc>
      </w:tr>
    </w:tbl>
    <w:p>
      <w:pPr>
        <w:pStyle w:val="BodyText"/>
      </w:pPr>
      <w:r>
        <w:rPr>
          <w:b/>
          <w:bCs/>
        </w:rPr>
        <w:t xml:space="preserve">Interpretation: refuting the</w:t>
      </w:r>
      <w:r>
        <w:rPr>
          <w:b/>
          <w:bCs/>
        </w:rPr>
        <w:t xml:space="preserve"> </w:t>
      </w:r>
      <w:r>
        <w:rPr>
          <w:b/>
          <w:bCs/>
        </w:rPr>
        <w:t xml:space="preserve">“post-classification copy”</w:t>
      </w:r>
      <w:r>
        <w:rPr>
          <w:b/>
          <w:bCs/>
        </w:rPr>
        <w:t xml:space="preserve"> </w:t>
      </w:r>
      <w:r>
        <w:rPr>
          <w:b/>
          <w:bCs/>
        </w:rPr>
        <w:t xml:space="preserve">challenge.</w:t>
      </w:r>
    </w:p>
    <w:p>
      <w:pPr>
        <w:pStyle w:val="Compact"/>
        <w:numPr>
          <w:ilvl w:val="0"/>
          <w:numId w:val="1009"/>
        </w:numPr>
      </w:pPr>
      <w:r>
        <w:t xml:space="preserve">HP, SI, and TF (159 of 292 = 54.5% of v4 mutants) are</w:t>
      </w:r>
      <w:r>
        <w:t xml:space="preserve"> </w:t>
      </w:r>
      <w:r>
        <w:rPr>
          <w:b/>
          <w:bCs/>
        </w:rPr>
        <w:t xml:space="preserve">unrepresentable under default first-order configurations</w:t>
      </w:r>
      <w:r>
        <w:t xml:space="preserve"> </w:t>
      </w:r>
      <w:r>
        <w:t xml:space="preserve">of cosmic-ray’s AST-local operators such as BinOp, Compare, and NumberReplacer. The unreachability is structural under first-order operators; whether HOM-based compositions (Jia and Harman 2008; not refuted) can close the gap is residual threat R12, addressed conceptually in §3.6(ii).</w:t>
      </w:r>
    </w:p>
    <w:p>
      <w:pPr>
        <w:pStyle w:val="Compact"/>
        <w:numPr>
          <w:ilvl w:val="0"/>
          <w:numId w:val="1009"/>
        </w:numPr>
      </w:pPr>
      <w:r>
        <w:t xml:space="preserve">The CE class shows 7.81% incidental overlap, mostly LLM-generated half-step perturbations on a2 and b3 such as</w:t>
      </w:r>
      <w:r>
        <w:t xml:space="preserve"> </w:t>
      </w:r>
      <w:r>
        <w:rPr>
          <w:rStyle w:val="VerbatimChar"/>
        </w:rPr>
        <w:t xml:space="preserve">_RHO=28.0 → 27.5</w:t>
      </w:r>
      <w:r>
        <w:t xml:space="preserve">. The remaining 92.19% of CE mutants are AST-disjoint, because the LLMs prefer domain-aware perturbations over integer ±1 changes.</w:t>
      </w:r>
    </w:p>
    <w:p>
      <w:pPr>
        <w:pStyle w:val="Compact"/>
        <w:numPr>
          <w:ilvl w:val="0"/>
          <w:numId w:val="1009"/>
        </w:numPr>
      </w:pPr>
      <w:r>
        <w:t xml:space="preserve">An earlier draft labelled the OS row</w:t>
      </w:r>
      <w:r>
        <w:t xml:space="preserve"> </w:t>
      </w:r>
      <w:r>
        <w:t xml:space="preserve">“✗ tool-inexpressible”</w:t>
      </w:r>
      <w:r>
        <w:t xml:space="preserve">. The 12-PUT data refines this categorical claim to</w:t>
      </w:r>
      <w:r>
        <w:t xml:space="preserve"> </w:t>
      </w:r>
      <w:r>
        <w:t xml:space="preserve">“△ 88.33% disjoint, 11.67% incidental hits”</w:t>
      </w:r>
      <w:r>
        <w:t xml:space="preserve">. The systematic-versus-incidental argument in §3.6 (with details in Appendix B.1.5) clarifies why those incidental hits are stochastic byproducts rather than systematic semantic mutation.</w:t>
      </w:r>
    </w:p>
    <w:p>
      <w:pPr>
        <w:pStyle w:val="Compact"/>
        <w:numPr>
          <w:ilvl w:val="0"/>
          <w:numId w:val="1009"/>
        </w:numPr>
      </w:pPr>
      <w:r>
        <w:t xml:space="preserve">94.86% of the v4 mutants cannot be reproduced by cosmic-ray defaults. The two pools occupy systematically distinct mutant spaces.</w:t>
      </w:r>
    </w:p>
    <w:p>
      <w:pPr>
        <w:pStyle w:val="FirstParagraph"/>
      </w:pPr>
      <w:r>
        <w:t xml:space="preserve">A multi-tool cross-comparison is reserved for P4: mutpy is incompatible with Python 3.10+, and mutmut’s operator set overlaps strongly with cosmic-ray’s. The DeepSeek, Claude, and GPT contributions to the 15 overlap files are uneven (DeepSeek 11, Claude 4, GPT 0). Appendix B.3 covers the cosmic-ray a1 single-PUT pre-12-PUT pilot, and Appendix F discusses the LLM-source distributional-shift threat R8.</w:t>
      </w:r>
    </w:p>
    <w:bookmarkEnd w:id="30"/>
    <w:bookmarkStart w:id="31" w:name="preventive-defence-framing"/>
    <w:p>
      <w:pPr>
        <w:pStyle w:val="Heading3"/>
      </w:pPr>
      <w:r>
        <w:t xml:space="preserve">3.6 Preventive-defence framing</w:t>
      </w:r>
    </w:p>
    <w:p>
      <w:pPr>
        <w:pStyle w:val="FirstParagraph"/>
      </w:pPr>
      <w:r>
        <w:rPr>
          <w:b/>
          <w:bCs/>
        </w:rPr>
        <w:t xml:space="preserve">Scope of the claim.</w:t>
      </w:r>
      <w:r>
        <w:t xml:space="preserve"> </w:t>
      </w:r>
      <w:r>
        <w:t xml:space="preserve">The preventive-defence claim below is conditional on a first-order syntactic baseline; HOM-based syntactic compositions are an open question (R12) and are not refuted by the §3.5 evidence.</w:t>
      </w:r>
    </w:p>
    <w:p>
      <w:pPr>
        <w:pStyle w:val="BodyText"/>
      </w:pPr>
      <w:r>
        <w:t xml:space="preserve">The HP, SI, and TF zero-overlap result, combined with the §3.2 necessary-conditions argument, amounts to a</w:t>
      </w:r>
      <w:r>
        <w:t xml:space="preserve"> </w:t>
      </w:r>
      <w:r>
        <w:rPr>
          <w:i/>
          <w:iCs/>
        </w:rPr>
        <w:t xml:space="preserve">preventive-defence</w:t>
      </w:r>
      <w:r>
        <w:t xml:space="preserve"> </w:t>
      </w:r>
      <w:r>
        <w:t xml:space="preserve">argument: semantic mutation operators address a class of fault hypotheses that lie beyond the reach of default first-order syntactic configurations (HOM not refuted; see §3.6(ii)). Three points sharpen this framing.</w:t>
      </w:r>
    </w:p>
    <w:p>
      <w:pPr>
        <w:pStyle w:val="BodyText"/>
      </w:pPr>
      <w:r>
        <w:rPr>
          <w:b/>
          <w:bCs/>
        </w:rPr>
        <w:t xml:space="preserve">(i) Systematic versus incidental.</w:t>
      </w:r>
      <w:r>
        <w:t xml:space="preserve"> </w:t>
      </w:r>
      <w:r>
        <w:t xml:space="preserve">Satisfying conditions (a), (b), or (c) is sufficient for a single semantic mutation, but only when satisfaction reflects design intent — not stochastic byproduct — does it constitute a</w:t>
      </w:r>
      <w:r>
        <w:t xml:space="preserve"> </w:t>
      </w:r>
      <w:r>
        <w:rPr>
          <w:i/>
          <w:iCs/>
        </w:rPr>
        <w:t xml:space="preserve">systematic</w:t>
      </w:r>
      <w:r>
        <w:t xml:space="preserve"> </w:t>
      </w:r>
      <w:r>
        <w:t xml:space="preserve">semantic mutation method. A syntactic tool that occasionally hits (a) or (c) with its 12 default operators does so at a non-zero probability, but the hits are not repeatable and they carry neither of the two engineering goods we want. First, designing a semantic mutator like OS</w:t>
      </w:r>
      <w:r>
        <w:t xml:space="preserve"> </w:t>
      </w:r>
      <w:r>
        <w:rPr>
          <w:rStyle w:val="VerbatimChar"/>
        </w:rPr>
        <w:t xml:space="preserve">det → sum(diag)</w:t>
      </w:r>
      <w:r>
        <w:t xml:space="preserve"> </w:t>
      </w:r>
      <w:r>
        <w:t xml:space="preserve">requires knowing that these expressions are equivalent on diagonal matrices but not on general matrices — a deepening of source-code understanding the syntactic tool does not exhibit. Second, domain-semantic faults — wrong physical constants, unit conversions, boundary conditions, hyperparameter semantics, numerical-method order — are not AST-local; the syntactic-tool design goals (operator typos, off-by-one errors, negation flips) do not target them. Systematic semantic mutation therefore requires (a), (b), or (c) to be design intent. Appendix B.1.5 records this argument in full.</w:t>
      </w:r>
    </w:p>
    <w:p>
      <w:pPr>
        <w:pStyle w:val="BodyText"/>
      </w:pPr>
      <w:r>
        <w:rPr>
          <w:b/>
          <w:bCs/>
        </w:rPr>
        <w:t xml:space="preserve">(ii) HOM caveat.</w:t>
      </w:r>
      <w:r>
        <w:t xml:space="preserve"> </w:t>
      </w:r>
      <w:r>
        <w:t xml:space="preserve">HOM (Jia and Harman 2009; Kintis et al. 2018) could in principle compose syntactic mutants — for example, an Arithmetic Operator Replacement combined with a Statement Deletion — to partially simulate the effects of OS or HP on some PUTs. The §5 empirics did not run a HOM comparison; we list HOM equivalence testing as residual threat R12 (Appendix F.2) and confine our</w:t>
      </w:r>
      <w:r>
        <w:t xml:space="preserve"> </w:t>
      </w:r>
      <w:r>
        <w:t xml:space="preserve">“tool unreachability”</w:t>
      </w:r>
      <w:r>
        <w:t xml:space="preserve"> </w:t>
      </w:r>
      <w:r>
        <w:t xml:space="preserve">claim to</w:t>
      </w:r>
      <w:r>
        <w:t xml:space="preserve"> </w:t>
      </w:r>
      <w:r>
        <w:rPr>
          <w:i/>
          <w:iCs/>
        </w:rPr>
        <w:t xml:space="preserve">first-order</w:t>
      </w:r>
      <w:r>
        <w:t xml:space="preserve"> </w:t>
      </w:r>
      <w:r>
        <w:t xml:space="preserve">syntactic tools (mutmut and cosmic-ray default configurations).</w:t>
      </w:r>
    </w:p>
    <w:p>
      <w:pPr>
        <w:pStyle w:val="BodyText"/>
      </w:pPr>
      <w:r>
        <w:rPr>
          <w:b/>
          <w:bCs/>
        </w:rPr>
        <w:t xml:space="preserve">Conceptual analysis of HOM reachability (Round-8 review response).</w:t>
      </w:r>
      <w:r>
        <w:t xml:space="preserve"> </w:t>
      </w:r>
      <w:r>
        <w:t xml:space="preserve">Higher-order mutation (HOM; Jia and Harman 2008, 2009; Kintis et al. 2018) composes multiple first-order operators on the same source location. The strongest reviewer challenge to this paper’s preventive-defence framing is whether HOM compositions of cosmic-ray’s 13 default operators or mutmut’s 14 default operators can reach the §3.2 necessary conditions (a) cross-function-boundary, (b) domain-knowledge-dependent, or (c) algorithmic-class-change. We address this conceptually without empirical HOM testing.</w:t>
      </w:r>
    </w:p>
    <w:p>
      <w:pPr>
        <w:pStyle w:val="BodyText"/>
      </w:pPr>
      <w:r>
        <w:t xml:space="preserve">For (a): HOM compositions remain over first-order operators that are AST-local within their target node; chaining AOR ∘ Statement-Deletion within a single function does not introduce a cross-module substitution like</w:t>
      </w:r>
      <w:r>
        <w:t xml:space="preserve"> </w:t>
      </w:r>
      <w:r>
        <w:rPr>
          <w:rStyle w:val="VerbatimChar"/>
        </w:rPr>
        <w:t xml:space="preserve">det(M) → sum(np.diag(M))</w:t>
      </w:r>
      <w:r>
        <w:t xml:space="preserve">, which presupposes that</w:t>
      </w:r>
      <w:r>
        <w:t xml:space="preserve"> </w:t>
      </w:r>
      <w:r>
        <w:rPr>
          <w:rStyle w:val="VerbatimChar"/>
        </w:rPr>
        <w:t xml:space="preserve">np.diag</w:t>
      </w:r>
      <w:r>
        <w:t xml:space="preserve"> </w:t>
      </w:r>
      <w:r>
        <w:t xml:space="preserve">is in scope and semantically equivalent on diagonal matrices but not on general matrices. HOM can reach a kindred destination only if both operators happen to coincide with a meaningful cross-boundary swap, which is exponentially unlikely under the default operator menus.</w:t>
      </w:r>
    </w:p>
    <w:p>
      <w:pPr>
        <w:pStyle w:val="BodyText"/>
      </w:pPr>
      <w:r>
        <w:t xml:space="preserve">For (b): HOM has no awareness of which constants are load-bearing in the PUT class. A two-operator chain such as Number-Replacer (1e-4 → 1e-3) ∘ Boolean-Swap on a Gaussian-process kernel does not</w:t>
      </w:r>
      <w:r>
        <w:t xml:space="preserve"> </w:t>
      </w:r>
      <w:r>
        <w:t xml:space="preserve">“know”</w:t>
      </w:r>
      <w:r>
        <w:t xml:space="preserve"> </w:t>
      </w:r>
      <w:r>
        <w:t xml:space="preserve">that 1e-4 is the regularization knob; it modifies the literal numerically without crossing the domain-semantics boundary. The Hyperparameter operator class (HP, mut_G) is by construction parameter-aware and class-specific, a property HOM compositions do not exhibit by default.</w:t>
      </w:r>
    </w:p>
    <w:p>
      <w:pPr>
        <w:pStyle w:val="BodyText"/>
      </w:pPr>
      <w:r>
        <w:t xml:space="preserve">For (c): Algorithmic-class change (e.g. polynomial → spline basis; Lorenz RK4 → 1.5-order hybrid) requires structural code rewrites at the level of function bodies, library imports, or iteration schemes. HOM compositions over default first-order operators are bounded above by AST-local edits and so cannot reach algorithmic-class change without being effectively equivalent to a manual rewrite.</w:t>
      </w:r>
    </w:p>
    <w:p>
      <w:pPr>
        <w:pStyle w:val="BodyText"/>
      </w:pPr>
      <w:r>
        <w:t xml:space="preserve">We therefore assert that the §3.5 0/0/0 unreachability for HP / SI / TF, while strictly empirical only for first-order configurations, is unlikely to be refuted by default-operator HOM compositions on combinatorial grounds. A direct empirical HOM falsification (generating mutmut second-order mutants and re-running the AST overlap analysis) remains residual threat R12 and is reserved for P4. We thank the reviewer for prompting this conceptual analysis.</w:t>
      </w:r>
    </w:p>
    <w:p>
      <w:pPr>
        <w:pStyle w:val="BodyText"/>
      </w:pPr>
      <w:r>
        <w:t xml:space="preserve">A multi-syntactic-tool cross-comparison (mutmut and mutpy) is reserved for P4: mutpy is incompatible with Python 3.10+, and mutmut’s operator set strongly overlaps cosmic-ray’s. The full operator-class cross-reference between cosmic-ray (13 default operators) and mutmut (14 default operators), including which §3.2 necessary conditions each operator family reaches, is in Appendix B.6. The aggregate of the two default sets (~21 distinct first-order AST-local operator classes) collectively fails all three §3.2 necessary conditions.</w:t>
      </w:r>
    </w:p>
    <w:p>
      <w:pPr>
        <w:pStyle w:val="BodyText"/>
      </w:pPr>
      <w:r>
        <w:rPr>
          <w:b/>
          <w:bCs/>
        </w:rPr>
        <w:t xml:space="preserve">(iii) Source distributional shift.</w:t>
      </w:r>
      <w:r>
        <w:t xml:space="preserve"> </w:t>
      </w:r>
      <w:r>
        <w:t xml:space="preserve">The 15 cosmic-ray AST overlaps are not evenly distributed across the three LLMs (DeepSeek 11/15, Claude 4/15, GPT 0/15; see</w:t>
      </w:r>
      <w:r>
        <w:t xml:space="preserve"> </w:t>
      </w:r>
      <w:r>
        <w:rPr>
          <w:rStyle w:val="VerbatimChar"/>
        </w:rPr>
        <w:t xml:space="preserve">cosmic_ray_12put_ast_diff.json</w:t>
      </w:r>
      <w:r>
        <w:t xml:space="preserve">). DeepSeek tends to generate syntactically simpler mutations. This LLM-source bias is discussed as R8 (Appendix F.2) but does</w:t>
      </w:r>
      <w:r>
        <w:t xml:space="preserve"> </w:t>
      </w:r>
      <w:r>
        <w:rPr>
          <w:b/>
          <w:bCs/>
        </w:rPr>
        <w:t xml:space="preserve">not</w:t>
      </w:r>
      <w:r>
        <w:t xml:space="preserve"> </w:t>
      </w:r>
      <w:r>
        <w:t xml:space="preserve">affect the systematic-vs-incidental argument, which is based on</w:t>
      </w:r>
      <w:r>
        <w:t xml:space="preserve"> </w:t>
      </w:r>
      <w:r>
        <w:rPr>
          <w:i/>
          <w:iCs/>
        </w:rPr>
        <w:t xml:space="preserve">categorical</w:t>
      </w:r>
      <w:r>
        <w:t xml:space="preserve"> </w:t>
      </w:r>
      <w:r>
        <w:t xml:space="preserve">AST-locality, not hit frequency: the HP / SI / TF zero-overlap result is 0/0/0 across all three sources.</w:t>
      </w:r>
    </w:p>
    <w:p>
      <w:r>
        <w:pict>
          <v:rect style="width:0;height:1.5pt" o:hralign="center" o:hrstd="t" o:hr="t"/>
        </w:pict>
      </w:r>
    </w:p>
    <w:bookmarkEnd w:id="31"/>
    <w:bookmarkEnd w:id="32"/>
    <w:bookmarkStart w:id="37" w:name="experimental-procedure"/>
    <w:p>
      <w:pPr>
        <w:pStyle w:val="Heading2"/>
      </w:pPr>
      <w:r>
        <w:t xml:space="preserve">4. Experimental Procedure</w:t>
      </w:r>
    </w:p>
    <w:bookmarkStart w:id="33" w:name="procedure-overview"/>
    <w:p>
      <w:pPr>
        <w:pStyle w:val="Heading3"/>
      </w:pPr>
      <w:r>
        <w:t xml:space="preserve">4.1 Procedure overview</w:t>
      </w:r>
    </w:p>
    <w:p>
      <w:pPr>
        <w:pStyle w:val="SourceCode"/>
      </w:pPr>
      <w:r>
        <w:rPr>
          <w:rStyle w:val="VerbatimChar"/>
        </w:rPr>
        <w:t xml:space="preserve">[§3.1 PUTs] → [§4.2 Mutant generation] → [LRCA L0 prescreen]</w:t>
      </w:r>
      <w:r>
        <w:br/>
      </w:r>
      <w:r>
        <w:rPr>
          <w:rStyle w:val="VerbatimChar"/>
        </w:rPr>
        <w:t xml:space="preserve">            → [§4.4 Equivalence (E1 ∧ E2)] → [AVP → killed/survive]</w:t>
      </w:r>
      <w:r>
        <w:br/>
      </w:r>
      <w:r>
        <w:rPr>
          <w:rStyle w:val="VerbatimChar"/>
        </w:rPr>
        <w:t xml:space="preserve">            → [LRCA three-layer diagnosis] → [SMS + C1_share report]</w:t>
      </w:r>
    </w:p>
    <w:p>
      <w:pPr>
        <w:pStyle w:val="FirstParagraph"/>
      </w:pPr>
      <w:r>
        <w:t xml:space="preserve">Each (i, k, j) cell is reported with</w:t>
      </w:r>
      <w:r>
        <w:t xml:space="preserve"> </w:t>
      </w:r>
      <w:r>
        <w:rPr>
          <w:rStyle w:val="VerbatimChar"/>
        </w:rPr>
        <w:t xml:space="preserve">inst_count</w:t>
      </w:r>
      <w:r>
        <w:t xml:space="preserve">,</w:t>
      </w:r>
      <w:r>
        <w:t xml:space="preserve"> </w:t>
      </w:r>
      <w:r>
        <w:rPr>
          <w:rStyle w:val="VerbatimChar"/>
        </w:rPr>
        <w:t xml:space="preserve">equiv_count</w:t>
      </w:r>
      <w:r>
        <w:t xml:space="preserve">,</w:t>
      </w:r>
      <w:r>
        <w:t xml:space="preserve"> </w:t>
      </w:r>
      <w:r>
        <w:rPr>
          <w:rStyle w:val="VerbatimChar"/>
        </w:rPr>
        <w:t xml:space="preserve">killed_count</w:t>
      </w:r>
      <w:r>
        <w:t xml:space="preserve">,</w:t>
      </w:r>
      <w:r>
        <w:t xml:space="preserve"> </w:t>
      </w:r>
      <w:r>
        <w:rPr>
          <w:rStyle w:val="VerbatimChar"/>
        </w:rPr>
        <w:t xml:space="preserve">survive_count</w:t>
      </w:r>
      <w:r>
        <w:t xml:space="preserve">, SMS_{i,k,j}, C1_share_{i,k,j}, suspect_share_{i,k,j}, and the three rates</w:t>
      </w:r>
      <w:r>
        <w:t xml:space="preserve"> </w:t>
      </w:r>
      <w:r>
        <w:rPr>
          <w:rStyle w:val="VerbatimChar"/>
        </w:rPr>
        <w:t xml:space="preserve">inst_rate / equiv_rate / survive_rate</w:t>
      </w:r>
      <w:r>
        <w:t xml:space="preserve"> </w:t>
      </w:r>
      <w:r>
        <w:t xml:space="preserve">corresponding to RQ1.</w:t>
      </w:r>
    </w:p>
    <w:bookmarkEnd w:id="33"/>
    <w:bookmarkStart w:id="34" w:name="cross-source-v4-protocol-summary"/>
    <w:p>
      <w:pPr>
        <w:pStyle w:val="Heading3"/>
      </w:pPr>
      <w:r>
        <w:t xml:space="preserve">4.2 Cross-source v4 protocol (summary)</w:t>
      </w:r>
    </w:p>
    <w:p>
      <w:pPr>
        <w:pStyle w:val="FirstParagraph"/>
      </w:pPr>
      <w:r>
        <w:t xml:space="preserve">To isolate the contributions of LLM same-source bias and MR-MP alignment design to Cliff’s delta, we ran a three-stage ablation: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Mutant pool</w:t>
            </w:r>
          </w:p>
        </w:tc>
        <w:tc>
          <w:tcPr/>
          <w:p>
            <w:pPr>
              <w:pStyle w:val="Compact"/>
            </w:pPr>
            <w:r>
              <w:t xml:space="preserve">c-class primary MP</w:t>
            </w:r>
          </w:p>
        </w:tc>
        <w:tc>
          <w:tcPr/>
          <w:p>
            <w:pPr>
              <w:pStyle w:val="Compact"/>
            </w:pPr>
            <w:r>
              <w:t xml:space="preserve">Use</w:t>
            </w:r>
          </w:p>
        </w:tc>
      </w:tr>
      <w:tr>
        <w:tc>
          <w:tcPr/>
          <w:p>
            <w:pPr>
              <w:pStyle w:val="Compact"/>
            </w:pPr>
            <w:r>
              <w:rPr>
                <w:b/>
                <w:bCs/>
              </w:rPr>
              <w:t xml:space="preserve">v3</w:t>
            </w:r>
          </w:p>
        </w:tc>
        <w:tc>
          <w:tcPr/>
          <w:p>
            <w:pPr>
              <w:pStyle w:val="Compact"/>
            </w:pPr>
            <w:r>
              <w:t xml:space="preserve">Same-source (Claude Opus 4.6)</w:t>
            </w:r>
          </w:p>
        </w:tc>
        <w:tc>
          <w:tcPr/>
          <w:p>
            <w:pPr>
              <w:pStyle w:val="Compact"/>
            </w:pPr>
            <w:r>
              <w:t xml:space="preserve">MP5 (P1 legacy)</w:t>
            </w:r>
          </w:p>
        </w:tc>
        <w:tc>
          <w:tcPr/>
          <w:p>
            <w:pPr>
              <w:pStyle w:val="Compact"/>
            </w:pPr>
            <w:r>
              <w:t xml:space="preserve">H2 baseline (pre-registered primary)</w:t>
            </w:r>
          </w:p>
        </w:tc>
      </w:tr>
      <w:tr>
        <w:tc>
          <w:tcPr/>
          <w:p>
            <w:pPr>
              <w:pStyle w:val="Compact"/>
            </w:pPr>
            <w:r>
              <w:rPr>
                <w:b/>
                <w:bCs/>
              </w:rPr>
              <w:t xml:space="preserve">v3b</w:t>
            </w:r>
          </w:p>
        </w:tc>
        <w:tc>
          <w:tcPr/>
          <w:p>
            <w:pPr>
              <w:pStyle w:val="Compact"/>
            </w:pPr>
            <w:r>
              <w:t xml:space="preserve">Same-source</w:t>
            </w:r>
          </w:p>
        </w:tc>
        <w:tc>
          <w:tcPr/>
          <w:p>
            <w:pPr>
              <w:pStyle w:val="Compact"/>
            </w:pPr>
            <w:r>
              <w:t xml:space="preserve">MP1 (data-driven, §3.4)</w:t>
            </w:r>
          </w:p>
        </w:tc>
        <w:tc>
          <w:tcPr/>
          <w:p>
            <w:pPr>
              <w:pStyle w:val="Compact"/>
            </w:pPr>
            <w:r>
              <w:t xml:space="preserve">Isolate MR-MP design contribution</w:t>
            </w:r>
          </w:p>
        </w:tc>
      </w:tr>
      <w:tr>
        <w:tc>
          <w:tcPr/>
          <w:p>
            <w:pPr>
              <w:pStyle w:val="Compact"/>
            </w:pPr>
            <w:r>
              <w:rPr>
                <w:b/>
                <w:bCs/>
              </w:rPr>
              <w:t xml:space="preserve">v4</w:t>
            </w:r>
          </w:p>
        </w:tc>
        <w:tc>
          <w:tcPr/>
          <w:p>
            <w:pPr>
              <w:pStyle w:val="Compact"/>
            </w:pPr>
            <w:r>
              <w:rPr>
                <w:b/>
                <w:bCs/>
              </w:rPr>
              <w:t xml:space="preserve">Cross-source</w:t>
            </w:r>
            <w:r>
              <w:t xml:space="preserve"> </w:t>
            </w:r>
            <w:r>
              <w:t xml:space="preserve">(Claude Opus 4.6 + GPT-5.4 + DeepSeek chat)</w:t>
            </w:r>
          </w:p>
        </w:tc>
        <w:tc>
          <w:tcPr/>
          <w:p>
            <w:pPr>
              <w:pStyle w:val="Compact"/>
            </w:pPr>
            <w:r>
              <w:t xml:space="preserve">MP1</w:t>
            </w:r>
          </w:p>
        </w:tc>
        <w:tc>
          <w:tcPr/>
          <w:p>
            <w:pPr>
              <w:pStyle w:val="Compact"/>
            </w:pPr>
            <w:r>
              <w:t xml:space="preserve">Isolate LLM-source diversity</w:t>
            </w:r>
          </w:p>
        </w:tc>
      </w:tr>
    </w:tbl>
    <w:p>
      <w:pPr>
        <w:pStyle w:val="BodyText"/>
      </w:pPr>
      <w:r>
        <w:t xml:space="preserve">The v4 protocol (</w:t>
      </w:r>
      <w:r>
        <w:rPr>
          <w:rStyle w:val="VerbatimChar"/>
        </w:rPr>
        <w:t xml:space="preserve">scripts/cross_source_campaign.py</w:t>
      </w:r>
      <w:r>
        <w:t xml:space="preserve">) runs each (PUT, operator) pair on Claude / GPT / DeepSeek with K=3 trials under an identical prompt template (temperature 0.7, V1-V4 mechanical-validation gate). Cross-source pool capacity: 37 operators × 3 sources × 3 trials = 333 attempts, 89% V1-V4 pass, 298 confirmed mutants distributed nearly equally (Claude 101, GPT 98, DeepSeek 99).</w:t>
      </w:r>
    </w:p>
    <w:p>
      <w:pPr>
        <w:pStyle w:val="BodyText"/>
      </w:pPr>
      <w:r>
        <w:rPr>
          <w:b/>
          <w:bCs/>
        </w:rPr>
        <w:t xml:space="preserve">Two declared confounds.</w:t>
      </w:r>
    </w:p>
    <w:p>
      <w:pPr>
        <w:numPr>
          <w:ilvl w:val="0"/>
          <w:numId w:val="1010"/>
        </w:numPr>
      </w:pPr>
      <w:r>
        <w:rPr>
          <w:b/>
          <w:bCs/>
        </w:rPr>
        <w:t xml:space="preserve">Protocol asymmetry (R13):</w:t>
      </w:r>
      <w:r>
        <w:t xml:space="preserve"> </w:t>
      </w:r>
      <w:r>
        <w:t xml:space="preserve">v3 / v3b used the original Phase-1 dual-blind reviewer protocol (Claude generation + GPT-5.4 review + DeepSeek arbitration); v4 passes V1-V4 mechanical gates only and does</w:t>
      </w:r>
      <w:r>
        <w:t xml:space="preserve"> </w:t>
      </w:r>
      <w:r>
        <w:rPr>
          <w:b/>
          <w:bCs/>
        </w:rPr>
        <w:t xml:space="preserve">not</w:t>
      </w:r>
      <w:r>
        <w:t xml:space="preserve"> </w:t>
      </w:r>
      <w:r>
        <w:t xml:space="preserve">invoke a reviewer LLM. A fraction of</w:t>
      </w:r>
      <w:r>
        <w:t xml:space="preserve"> </w:t>
      </w:r>
      <w:r>
        <w:rPr>
          <w:rStyle w:val="VerbatimChar"/>
        </w:rPr>
        <w:t xml:space="preserve">Delta_delta(v3b → v4) = -0.007</w:t>
      </w:r>
      <w:r>
        <w:t xml:space="preserve"> </w:t>
      </w:r>
      <w:r>
        <w:t xml:space="preserve">may reflect a slight v4 quality shift rather than LLM-source diversity. P4 will rerun dual-blind on the v4 grid.</w:t>
      </w:r>
    </w:p>
    <w:p>
      <w:pPr>
        <w:numPr>
          <w:ilvl w:val="0"/>
          <w:numId w:val="1010"/>
        </w:numPr>
      </w:pPr>
      <w:r>
        <w:rPr>
          <w:b/>
          <w:bCs/>
        </w:rPr>
        <w:t xml:space="preserve">Chained-conditioning (R11):</w:t>
      </w:r>
      <w:r>
        <w:t xml:space="preserve"> </w:t>
      </w:r>
      <w:r>
        <w:t xml:space="preserve">v4 inherits the v3b post-hoc selection on c-class primary MP.</w:t>
      </w:r>
      <w:r>
        <w:t xml:space="preserve"> </w:t>
      </w:r>
      <w:r>
        <w:rPr>
          <w:rStyle w:val="VerbatimChar"/>
        </w:rPr>
        <w:t xml:space="preserve">Delta_delta(v3b → v4)</w:t>
      </w:r>
      <w:r>
        <w:t xml:space="preserve"> </w:t>
      </w:r>
      <w:r>
        <w:t xml:space="preserve">is therefore conditional on v3b selection + identical prompt template; the strong-sense LLM-diversity test (v4-pre × c→MP5 + per-LLM differential prompt) is deferred to P4 (full protocol in Appendix C.1.1).</w:t>
      </w:r>
    </w:p>
    <w:p>
      <w:pPr>
        <w:pStyle w:val="FirstParagraph"/>
      </w:pPr>
      <w:r>
        <w:t xml:space="preserve">The two contrasts are</w:t>
      </w:r>
      <w:r>
        <w:t xml:space="preserve"> </w:t>
      </w:r>
      <w:r>
        <w:rPr>
          <w:b/>
          <w:bCs/>
        </w:rPr>
        <w:t xml:space="preserve">reported separately</w:t>
      </w:r>
      <w:r>
        <w:t xml:space="preserve"> </w:t>
      </w:r>
      <w:r>
        <w:t xml:space="preserve">rather than combined as a synthetic ratio; full per-LLM token / latency / cost figures, V1-V4 specifications, and the full v4-pre / differential-prompt protocol are in</w:t>
      </w:r>
      <w:r>
        <w:t xml:space="preserve"> </w:t>
      </w:r>
      <w:r>
        <w:rPr>
          <w:b/>
          <w:bCs/>
        </w:rPr>
        <w:t xml:space="preserve">Appendix C.1</w:t>
      </w:r>
      <w:r>
        <w:t xml:space="preserve">.</w:t>
      </w:r>
    </w:p>
    <w:bookmarkEnd w:id="34"/>
    <w:bookmarkStart w:id="35" w:name="Xb2f1bd7d062415e9b353be75b1492de006adf0a"/>
    <w:p>
      <w:pPr>
        <w:pStyle w:val="Heading3"/>
      </w:pPr>
      <w:r>
        <w:t xml:space="preserve">4.3 Mutant-pool prescreen and equivalence detection</w:t>
      </w:r>
    </w:p>
    <w:p>
      <w:pPr>
        <w:pStyle w:val="FirstParagraph"/>
      </w:pPr>
      <w:r>
        <w:rPr>
          <w:b/>
          <w:bCs/>
        </w:rPr>
        <w:t xml:space="preserve">Pool prescreen (LRCA L0).</w:t>
      </w:r>
      <w:r>
        <w:t xml:space="preserve"> </w:t>
      </w:r>
      <w:r>
        <w:t xml:space="preserve">Each candidate mutant passes three gates: (i) static lint and type checking; (ii) a unit self-test on simple inputs to confirm that the PUT loads, runs, and returns a finite output; and (iii) a double-blind review sign-off under the Phase-1 protocol. In Phase-1, the generator LLM is Claude Opus and the reviewer LLM is GPT-4o; the two roles are isolated, and the reviewer sees only the PUT and the mutant code and outputs a (syntactic, executable, fault-injected) triple. Inconsistent reviewer outputs go to a manual arbitration queue (no more than 10% of cases); double-confirmed mutants enter the pool. We then randomly sample 20% of the pool for manual review by scientific-computing researchers, and downgrade the entire batch to manual review if manual–reviewer inconsistency exceeds 10%. Each cell yields 30–50 candidates and retains 10–15 mutants. The v4 cross-source pool does</w:t>
      </w:r>
      <w:r>
        <w:t xml:space="preserve"> </w:t>
      </w:r>
      <w:r>
        <w:rPr>
          <w:b/>
          <w:bCs/>
        </w:rPr>
        <w:t xml:space="preserve">not</w:t>
      </w:r>
      <w:r>
        <w:t xml:space="preserve"> </w:t>
      </w:r>
      <w:r>
        <w:t xml:space="preserve">invoke the reviewer LLM, for cost and speed reasons; a fraction of Δδ(v3b → v4) = −0.007 may therefore reflect a quality decline rather than a source-diversity contribution. We declare this protocol asymmetry as threat R13 (§6.1; full justification in Appendices C.2 and C.3).</w:t>
      </w:r>
    </w:p>
    <w:p>
      <w:pPr>
        <w:pStyle w:val="BodyText"/>
      </w:pPr>
      <w:r>
        <w:rPr>
          <w:b/>
          <w:bCs/>
        </w:rPr>
        <w:t xml:space="preserve">Equivalence detection (E1 ∧ E2).</w:t>
      </w:r>
      <w:r>
        <w:t xml:space="preserve"> </w:t>
      </w:r>
      <w:r>
        <w:t xml:space="preserve">For each mutant</w:t>
      </w:r>
      <w:r>
        <w:t xml:space="preserve"> </w:t>
      </w:r>
      <w:r>
        <w:rPr>
          <w:rStyle w:val="VerbatimChar"/>
        </w:rPr>
        <w:t xml:space="preserve">s'</w:t>
      </w:r>
      <w:r>
        <w:t xml:space="preserve"> </w:t>
      </w:r>
      <w:r>
        <w:t xml:space="preserve">in mut_j(S_i):</w:t>
      </w:r>
    </w:p>
    <w:p>
      <w:pPr>
        <w:pStyle w:val="Compact"/>
        <w:numPr>
          <w:ilvl w:val="0"/>
          <w:numId w:val="1011"/>
        </w:numPr>
      </w:pPr>
      <w:r>
        <w:rPr>
          <w:b/>
          <w:bCs/>
        </w:rPr>
        <w:t xml:space="preserve">E2 step.</w:t>
      </w:r>
      <w:r>
        <w:t xml:space="preserve"> </w:t>
      </w:r>
      <w:r>
        <w:t xml:space="preserve">Sample K_eq = 1000 inputs</w:t>
      </w:r>
      <w:r>
        <w:t xml:space="preserve"> </w:t>
      </w:r>
      <w:r>
        <w:rPr>
          <w:rStyle w:val="VerbatimChar"/>
        </w:rPr>
        <w:t xml:space="preserve">x ~ D_S</w:t>
      </w:r>
      <w:r>
        <w:t xml:space="preserve">; compute</w:t>
      </w:r>
      <w:r>
        <w:t xml:space="preserve"> </w:t>
      </w:r>
      <w:r>
        <w:rPr>
          <w:rStyle w:val="VerbatimChar"/>
        </w:rPr>
        <w:t xml:space="preserve">‖S_i(x) − s'(x)‖</w:t>
      </w:r>
      <w:r>
        <w:t xml:space="preserve">; if ≤ ε_eq for all samples, mark E2-pass.</w:t>
      </w:r>
    </w:p>
    <w:p>
      <w:pPr>
        <w:pStyle w:val="Compact"/>
        <w:numPr>
          <w:ilvl w:val="0"/>
          <w:numId w:val="1011"/>
        </w:numPr>
      </w:pPr>
      <w:r>
        <w:rPr>
          <w:b/>
          <w:bCs/>
        </w:rPr>
        <w:t xml:space="preserve">E1 step.</w:t>
      </w:r>
      <w:r>
        <w:t xml:space="preserve"> </w:t>
      </w:r>
      <w:r>
        <w:t xml:space="preserve">For every</w:t>
      </w:r>
      <w:r>
        <w:t xml:space="preserve"> </w:t>
      </w:r>
      <w:r>
        <w:rPr>
          <w:rStyle w:val="VerbatimChar"/>
        </w:rPr>
        <w:t xml:space="preserve">mr ∈ MR_{i,k}</w:t>
      </w:r>
      <w:r>
        <w:t xml:space="preserve">, compare</w:t>
      </w:r>
      <w:r>
        <w:t xml:space="preserve"> </w:t>
      </w:r>
      <w:r>
        <w:rPr>
          <w:rStyle w:val="VerbatimChar"/>
        </w:rPr>
        <w:t xml:space="preserve">AVP(S_i, mr)</w:t>
      </w:r>
      <w:r>
        <w:t xml:space="preserve"> </w:t>
      </w:r>
      <w:r>
        <w:t xml:space="preserve">with</w:t>
      </w:r>
      <w:r>
        <w:t xml:space="preserve"> </w:t>
      </w:r>
      <w:r>
        <w:rPr>
          <w:rStyle w:val="VerbatimChar"/>
        </w:rPr>
        <w:t xml:space="preserve">AVP(s', mr)</w:t>
      </w:r>
      <w:r>
        <w:t xml:space="preserve">; if all consistent, mark E1-pass.</w:t>
      </w:r>
    </w:p>
    <w:p>
      <w:pPr>
        <w:pStyle w:val="Compact"/>
        <w:numPr>
          <w:ilvl w:val="0"/>
          <w:numId w:val="1011"/>
        </w:numPr>
      </w:pPr>
      <w:r>
        <w:rPr>
          <w:b/>
          <w:bCs/>
        </w:rPr>
        <w:t xml:space="preserve">Conjunction.</w:t>
      </w:r>
      <w:r>
        <w:t xml:space="preserve"> </w:t>
      </w:r>
      <w:r>
        <w:t xml:space="preserve">E1 ∧ E2 → enter</w:t>
      </w:r>
      <w:r>
        <w:t xml:space="preserve"> </w:t>
      </w:r>
      <w:r>
        <w:rPr>
          <w:rStyle w:val="VerbatimChar"/>
        </w:rPr>
        <w:t xml:space="preserve">equiv_{i,k,j}</w:t>
      </w:r>
      <w:r>
        <w:t xml:space="preserve">, exclude from SMS denominator. Otherwise pass to AVP-killed determination.</w:t>
      </w:r>
    </w:p>
    <w:p>
      <w:pPr>
        <w:pStyle w:val="FirstParagraph"/>
      </w:pPr>
      <w:r>
        <w:t xml:space="preserve">E2 is run before E1 because E2 is computationally cheaper (K_eq scalar evaluations) and quickly discards numerically distinct mutants; the remaining candidates are screened by AVP for MR-relation equivalence. The joint condition is conservative: false-non-equivalent (E1 ∨ E2 fail) is much easier than false-equivalent (both must mis-pass simultaneously), biasing SMS slightly</w:t>
      </w:r>
      <w:r>
        <w:t xml:space="preserve"> </w:t>
      </w:r>
      <w:r>
        <w:rPr>
          <w:i/>
          <w:iCs/>
        </w:rPr>
        <w:t xml:space="preserve">high</w:t>
      </w:r>
      <w:r>
        <w:t xml:space="preserve"> </w:t>
      </w:r>
      <w:r>
        <w:t xml:space="preserve">— an explicit conservative engineering choice (Appendix A.3).</w:t>
      </w:r>
    </w:p>
    <w:p>
      <w:pPr>
        <w:pStyle w:val="BodyText"/>
      </w:pPr>
      <w:r>
        <w:rPr>
          <w:b/>
          <w:bCs/>
        </w:rPr>
        <w:t xml:space="preserve">Killed determination.</w:t>
      </w:r>
      <w:r>
        <w:t xml:space="preserve"> </w:t>
      </w:r>
      <w:r>
        <w:t xml:space="preserve">With OR-aggregation across mr in MR_{i,k}:</w:t>
      </w:r>
    </w:p>
    <w:p>
      <w:pPr>
        <w:pStyle w:val="SourceCode"/>
      </w:pPr>
      <w:r>
        <w:rPr>
          <w:rStyle w:val="VerbatimChar"/>
        </w:rPr>
        <w:t xml:space="preserve">killed(s', MR_{i,k}) ⇔ ∃ mr ∈ MR_{i,k}: AVP(S_i, mr) = pass ∧ AVP(s', mr) = fail</w:t>
      </w:r>
    </w:p>
    <w:p>
      <w:pPr>
        <w:pStyle w:val="FirstParagraph"/>
      </w:pPr>
      <w:r>
        <w:t xml:space="preserve">Each (i, k, j) cell is sampled N = 20 times (statistical replicate) to compute the per-cell SMS, with mutant-level fail ratios feeding the LRCA L1 decision. AVP version is pinned to the P1 commit hash (</w:t>
      </w:r>
      <w:r>
        <w:rPr>
          <w:rStyle w:val="VerbatimChar"/>
        </w:rPr>
        <w:t xml:space="preserve">&lt;P1-AVP-vX.Y&gt;</w:t>
      </w:r>
      <w:r>
        <w:t xml:space="preserve">); the P2 reproducibility package embeds the complete AVP source so that P2 remains self-consistent under any P1 evolution.</w:t>
      </w:r>
    </w:p>
    <w:bookmarkEnd w:id="35"/>
    <w:bookmarkStart w:id="36" w:name="lrca-three-layer-diagnosis"/>
    <w:p>
      <w:pPr>
        <w:pStyle w:val="Heading3"/>
      </w:pPr>
      <w:r>
        <w:t xml:space="preserve">4.4 LRCA three-layer diagnosis</w:t>
      </w:r>
    </w:p>
    <w:p>
      <w:pPr>
        <w:pStyle w:val="FirstParagraph"/>
      </w:pPr>
      <w:r>
        <w:t xml:space="preserve">For each killed mutant the three-layer decision tree applies in order:</w:t>
      </w:r>
    </w:p>
    <w:p>
      <w:pPr>
        <w:pStyle w:val="Compact"/>
        <w:numPr>
          <w:ilvl w:val="0"/>
          <w:numId w:val="1012"/>
        </w:numPr>
      </w:pPr>
      <w:r>
        <w:rPr>
          <w:b/>
          <w:bCs/>
        </w:rPr>
        <w:t xml:space="preserve">L1 tolerance robustness</w:t>
      </w:r>
      <w:r>
        <w:t xml:space="preserve"> </w:t>
      </w:r>
      <w:r>
        <w:t xml:space="preserve">(all classes). N=20 replicates with a fail-ratio cutoff at 0.80 — a kill that survives less than 80% of the 20 replicates is labelled C2 (numerical-tolerance perturbation) and exits.</w:t>
      </w:r>
    </w:p>
    <w:p>
      <w:pPr>
        <w:pStyle w:val="Compact"/>
        <w:numPr>
          <w:ilvl w:val="0"/>
          <w:numId w:val="1012"/>
        </w:numPr>
      </w:pPr>
      <w:r>
        <w:rPr>
          <w:b/>
          <w:bCs/>
        </w:rPr>
        <w:t xml:space="preserve">L2 OOD triage</w:t>
      </w:r>
      <w:r>
        <w:t xml:space="preserve"> </w:t>
      </w:r>
      <w:r>
        <w:t xml:space="preserve">(C / D classes only). Sample from</w:t>
      </w:r>
      <w:r>
        <w:t xml:space="preserve"> </w:t>
      </w:r>
      <w:r>
        <w:rPr>
          <w:rStyle w:val="VerbatimChar"/>
        </w:rPr>
        <w:t xml:space="preserve">D_S^valid</w:t>
      </w:r>
      <w:r>
        <w:t xml:space="preserve">; if the mutant fails</w:t>
      </w:r>
      <w:r>
        <w:t xml:space="preserve"> </w:t>
      </w:r>
      <w:r>
        <w:rPr>
          <w:i/>
          <w:iCs/>
        </w:rPr>
        <w:t xml:space="preserve">only</w:t>
      </w:r>
      <w:r>
        <w:t xml:space="preserve"> </w:t>
      </w:r>
      <w:r>
        <w:t xml:space="preserve">in the OOD region, label C3 (out-of-distribution) and exit.</w:t>
      </w:r>
    </w:p>
    <w:p>
      <w:pPr>
        <w:pStyle w:val="Compact"/>
        <w:numPr>
          <w:ilvl w:val="0"/>
          <w:numId w:val="1012"/>
        </w:numPr>
      </w:pPr>
      <w:r>
        <w:rPr>
          <w:b/>
          <w:bCs/>
        </w:rPr>
        <w:t xml:space="preserve">L3 statistical-assumption baseline</w:t>
      </w:r>
      <w:r>
        <w:t xml:space="preserve"> </w:t>
      </w:r>
      <w:r>
        <w:t xml:space="preserve">(B / D + Wilcoxon / DTW only). Pre-check IID / stationarity on the PUT’s own repeated samples; if the AVP statistical assumption is itself violated, label C4 and exit.</w:t>
      </w:r>
    </w:p>
    <w:p>
      <w:pPr>
        <w:pStyle w:val="Compact"/>
        <w:numPr>
          <w:ilvl w:val="0"/>
          <w:numId w:val="1012"/>
        </w:numPr>
      </w:pPr>
      <w:r>
        <w:rPr>
          <w:b/>
          <w:bCs/>
        </w:rPr>
        <w:t xml:space="preserve">Artefact recheck</w:t>
      </w:r>
      <w:r>
        <w:t xml:space="preserve">. An external reviewer re-examines mutant code + prompt history; if LLM / artefact evidence (e.g., mutator over-injection) is found, label C5; otherwise label C1.</w:t>
      </w:r>
    </w:p>
    <w:p>
      <w:pPr>
        <w:pStyle w:val="FirstParagraph"/>
      </w:pPr>
      <w:r>
        <w:t xml:space="preserve">Multi-label priority C5 &gt; C4 &gt; C3 &gt; C2 &gt; C1 takes the earliest confirmed non-semantic cause (decision-tree control flow). Threshold calibration over a 9-grid (</w:t>
      </w:r>
      <w:r>
        <w:rPr>
          <w:rStyle w:val="VerbatimChar"/>
        </w:rPr>
        <w:t xml:space="preserve">ood_band ∈ {0.02, 0.05, 0.10}</w:t>
      </w:r>
      <w:r>
        <w:t xml:space="preserve"> </w:t>
      </w:r>
      <w:r>
        <w:t xml:space="preserve">×</w:t>
      </w:r>
      <w:r>
        <w:t xml:space="preserve"> </w:t>
      </w:r>
      <w:r>
        <w:rPr>
          <w:rStyle w:val="VerbatimChar"/>
        </w:rPr>
        <w:t xml:space="preserve">tolerance_multiplier ∈ {3.0, 10.0, 30.0}</w:t>
      </w:r>
      <w:r>
        <w:t xml:space="preserve">, repeats fixed at 20) lifts H5 from 10/60 to 12/60 cells; the best combination (</w:t>
      </w:r>
      <w:r>
        <w:rPr>
          <w:rStyle w:val="VerbatimChar"/>
        </w:rPr>
        <w:t xml:space="preserve">ood_band = 0.02, tolerance_multiplier = 3.0</w:t>
      </w:r>
      <w:r>
        <w:t xml:space="preserve">) is reported as primary, with default-threshold results retained as control (</w:t>
      </w:r>
      <w:r>
        <w:rPr>
          <w:rStyle w:val="VerbatimChar"/>
        </w:rPr>
        <w:t xml:space="preserve">lrca_60cell_v3.json</w:t>
      </w:r>
      <w:r>
        <w:t xml:space="preserve">). The calibration ceiling (12/60 = 20%) remains far below the 80% pre-registered threshold — H5 is unattainable on this dataset as an intrinsic property of LLM-mutant pools, not a calibration issue. Detailed grid table, L0-L3 sub-protocols, and decision-tree pseudocode are in</w:t>
      </w:r>
      <w:r>
        <w:t xml:space="preserve"> </w:t>
      </w:r>
      <w:r>
        <w:rPr>
          <w:b/>
          <w:bCs/>
        </w:rPr>
        <w:t xml:space="preserve">Appendix A.2 + C.4</w:t>
      </w:r>
      <w:r>
        <w:t xml:space="preserve">.</w:t>
      </w:r>
    </w:p>
    <w:p>
      <w:r>
        <w:pict>
          <v:rect style="width:0;height:1.5pt" o:hralign="center" o:hrstd="t" o:hr="t"/>
        </w:pict>
      </w:r>
    </w:p>
    <w:bookmarkEnd w:id="36"/>
    <w:bookmarkEnd w:id="37"/>
    <w:bookmarkStart w:id="45" w:name="X52d0c8ff769772b4c94a8f7940af3fd1993d1f6"/>
    <w:p>
      <w:pPr>
        <w:pStyle w:val="Heading2"/>
      </w:pPr>
      <w:r>
        <w:t xml:space="preserve">5. Statistical Analysis and Empirical Results</w:t>
      </w:r>
    </w:p>
    <w:bookmarkStart w:id="38" w:name="statistical-pipeline"/>
    <w:p>
      <w:pPr>
        <w:pStyle w:val="Heading3"/>
      </w:pPr>
      <w:r>
        <w:t xml:space="preserve">5.1 Statistical pipeline</w:t>
      </w:r>
    </w:p>
    <w:p>
      <w:pPr>
        <w:pStyle w:val="FirstParagraph"/>
      </w:pPr>
      <w:r>
        <w:t xml:space="preserve">The primary statistical reporting follows a pre-registered hierarchy: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RQ</w:t>
            </w:r>
          </w:p>
        </w:tc>
        <w:tc>
          <w:tcPr/>
          <w:p>
            <w:pPr>
              <w:pStyle w:val="Compact"/>
            </w:pPr>
            <w:r>
              <w:t xml:space="preserve">Primary statistics</w:t>
            </w:r>
          </w:p>
        </w:tc>
        <w:tc>
          <w:tcPr/>
          <w:p>
            <w:pPr>
              <w:pStyle w:val="Compact"/>
            </w:pPr>
            <w:r>
              <w:t xml:space="preserve">Reporting format</w:t>
            </w:r>
          </w:p>
        </w:tc>
      </w:tr>
      <w:tr>
        <w:tc>
          <w:tcPr/>
          <w:p>
            <w:pPr>
              <w:pStyle w:val="Compact"/>
            </w:pPr>
            <w:r>
              <w:t xml:space="preserve">RQ1</w:t>
            </w:r>
          </w:p>
        </w:tc>
        <w:tc>
          <w:tcPr/>
          <w:p>
            <w:pPr>
              <w:pStyle w:val="Compact"/>
            </w:pPr>
            <w:r>
              <w:t xml:space="preserve">inst_rate, equiv_rate, C1_share, survive_rate</w:t>
            </w:r>
          </w:p>
        </w:tc>
        <w:tc>
          <w:tcPr/>
          <w:p>
            <w:pPr>
              <w:pStyle w:val="Compact"/>
            </w:pPr>
            <w:r>
              <w:t xml:space="preserve">60-cell heatmap + 4-class marginals</w:t>
            </w:r>
          </w:p>
        </w:tc>
      </w:tr>
      <w:tr>
        <w:tc>
          <w:tcPr/>
          <w:p>
            <w:pPr>
              <w:pStyle w:val="Compact"/>
            </w:pPr>
            <w:r>
              <w:t xml:space="preserve">RQ2</w:t>
            </w:r>
          </w:p>
        </w:tc>
        <w:tc>
          <w:tcPr/>
          <w:p>
            <w:pPr>
              <w:pStyle w:val="Compact"/>
            </w:pPr>
            <w:r>
              <w:t xml:space="preserve">aligned-SMS vs cross-SMS; sparse ○ vs dense ●● equiv_rate</w:t>
            </w:r>
          </w:p>
        </w:tc>
        <w:tc>
          <w:tcPr/>
          <w:p>
            <w:pPr>
              <w:pStyle w:val="Compact"/>
            </w:pPr>
            <w:r>
              <w:t xml:space="preserve">Cliff’s delta + odds ratio + 95% bootstrap CI</w:t>
            </w:r>
          </w:p>
        </w:tc>
      </w:tr>
      <w:tr>
        <w:tc>
          <w:tcPr/>
          <w:p>
            <w:pPr>
              <w:pStyle w:val="Compact"/>
            </w:pPr>
            <w:r>
              <w:t xml:space="preserve">RQ3</w:t>
            </w:r>
          </w:p>
        </w:tc>
        <w:tc>
          <w:tcPr/>
          <w:p>
            <w:pPr>
              <w:pStyle w:val="Compact"/>
            </w:pPr>
            <w:r>
              <w:t xml:space="preserve">ΔSMS_c (c ∈ {A,B,C,D}); CV(ΔSMS)</w:t>
            </w:r>
          </w:p>
        </w:tc>
        <w:tc>
          <w:tcPr/>
          <w:p>
            <w:pPr>
              <w:pStyle w:val="Compact"/>
            </w:pPr>
            <w:r>
              <w:t xml:space="preserve">sign test (df = 3) + descriptive forest plot</w:t>
            </w:r>
          </w:p>
        </w:tc>
      </w:tr>
      <w:tr>
        <w:tc>
          <w:tcPr/>
          <w:p>
            <w:pPr>
              <w:pStyle w:val="Compact"/>
            </w:pPr>
            <w:r>
              <w:t xml:space="preserve">RQ4</w:t>
            </w:r>
          </w:p>
        </w:tc>
        <w:tc>
          <w:tcPr/>
          <w:p>
            <w:pPr>
              <w:pStyle w:val="Compact"/>
            </w:pPr>
            <w:r>
              <w:t xml:space="preserve">Spearman ρ + Kendall τ (SMS vs PC)</w:t>
            </w:r>
          </w:p>
        </w:tc>
        <w:tc>
          <w:tcPr/>
          <w:p>
            <w:pPr>
              <w:pStyle w:val="Compact"/>
            </w:pPr>
            <w:r>
              <w:t xml:space="preserve">scatter + dual-metric ranking comparison</w:t>
            </w:r>
          </w:p>
        </w:tc>
      </w:tr>
    </w:tbl>
    <w:p>
      <w:pPr>
        <w:pStyle w:val="BodyText"/>
      </w:pPr>
      <w:r>
        <w:t xml:space="preserve">Cell-level multiple comparisons across the 60 cells use Benjamini-Hochberg FDR control at</w:t>
      </w:r>
      <w:r>
        <w:t xml:space="preserve"> </w:t>
      </w:r>
      <w:r>
        <w:rPr>
          <w:rStyle w:val="VerbatimChar"/>
        </w:rPr>
        <w:t xml:space="preserve">alpha_FDR = 0.05</w:t>
      </w:r>
      <w:r>
        <w:t xml:space="preserve">. Bootstrap 95% CIs use 1,000 iterations as default (B = 10,000 for the headline H2 delta CI per R-12 response). Mixed-effects modelling (</w:t>
      </w:r>
      <w:r>
        <w:rPr>
          <w:rStyle w:val="VerbatimChar"/>
        </w:rPr>
        <w:t xml:space="preserve">sms ~ C(class) * C(operator) + (1 | put)</w:t>
      </w:r>
      <w:r>
        <w:t xml:space="preserve">) failed with Singular matrix at N = 60 (insufficient column rank for the class × operator interaction; 11-d fixed-effects + 12 PUT random intercepts exceed the 60-observation budget). The Friedman test is the non-parametric formal alternative. The five hypotheses are pre-registered: H1 (operator implementability) requires ≥ 4 of 5 operators producing ≥ 5 non-equivalent mutants on ≥ 9/12 PUTs; H2 (aligned-vs-cross) requires odds ratio ≥ 3.0</w:t>
      </w:r>
      <w:r>
        <w:t xml:space="preserve"> </w:t>
      </w:r>
      <w:r>
        <w:rPr>
          <w:i/>
          <w:iCs/>
        </w:rPr>
        <w:t xml:space="preserve">and</w:t>
      </w:r>
      <w:r>
        <w:t xml:space="preserve"> </w:t>
      </w:r>
      <w:r>
        <w:t xml:space="preserve">Cliff’s delta ≥ 0.474 (Romano 2006 large-effect threshold); H4 (cross-class consistency) requires sign-test 4/4 across 4 classes plus CV(ΔSMS) &lt; 0.5; H5 (LRCA mass) requires mean suspect_share ≤ 0.20. H3 was formally retired before v3 data collection (its bidirectional threshold structure collapsed on LLM-mutant data because too few cells trigger non-zero equivalent mutants). Numbering H1, H2, H4, H5 is preserved with H3 vacant. SMS variants (SMS, SMS_unfiltered) and construction lemmas are in</w:t>
      </w:r>
      <w:r>
        <w:t xml:space="preserve"> </w:t>
      </w:r>
      <w:r>
        <w:rPr>
          <w:b/>
          <w:bCs/>
        </w:rPr>
        <w:t xml:space="preserve">Appendix D.1</w:t>
      </w:r>
      <w:r>
        <w:t xml:space="preserve">.</w:t>
      </w:r>
    </w:p>
    <w:bookmarkEnd w:id="38"/>
    <w:bookmarkStart w:id="39" w:name="rq1-60-cell-distribution"/>
    <w:p>
      <w:pPr>
        <w:pStyle w:val="Heading3"/>
      </w:pPr>
      <w:r>
        <w:t xml:space="preserve">5.2 RQ1 — 60-cell distribution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Number of cells</w:t>
            </w:r>
          </w:p>
        </w:tc>
        <w:tc>
          <w:tcPr/>
          <w:p>
            <w:pPr>
              <w:pStyle w:val="Compact"/>
            </w:pPr>
            <w:r>
              <w:t xml:space="preserve">60</w:t>
            </w:r>
          </w:p>
        </w:tc>
      </w:tr>
      <w:tr>
        <w:tc>
          <w:tcPr/>
          <w:p>
            <w:pPr>
              <w:pStyle w:val="Compact"/>
            </w:pPr>
            <w:r>
              <w:t xml:space="preserve">Mean SMS</w:t>
            </w:r>
          </w:p>
        </w:tc>
        <w:tc>
          <w:tcPr/>
          <w:p>
            <w:pPr>
              <w:pStyle w:val="Compact"/>
            </w:pPr>
            <w:r>
              <w:t xml:space="preserve">0.104</w:t>
            </w:r>
          </w:p>
        </w:tc>
      </w:tr>
      <w:tr>
        <w:tc>
          <w:tcPr/>
          <w:p>
            <w:pPr>
              <w:pStyle w:val="Compact"/>
            </w:pPr>
            <w:r>
              <w:t xml:space="preserve">Median SMS</w:t>
            </w:r>
          </w:p>
        </w:tc>
        <w:tc>
          <w:tcPr/>
          <w:p>
            <w:pPr>
              <w:pStyle w:val="Compact"/>
            </w:pPr>
            <w:r>
              <w:t xml:space="preserve">0.000</w:t>
            </w:r>
          </w:p>
        </w:tc>
      </w:tr>
      <w:tr>
        <w:tc>
          <w:tcPr/>
          <w:p>
            <w:pPr>
              <w:pStyle w:val="Compact"/>
            </w:pPr>
            <w:r>
              <w:t xml:space="preserve">Std SMS</w:t>
            </w:r>
          </w:p>
        </w:tc>
        <w:tc>
          <w:tcPr/>
          <w:p>
            <w:pPr>
              <w:pStyle w:val="Compact"/>
            </w:pPr>
            <w:r>
              <w:t xml:space="preserve">0.213</w:t>
            </w:r>
          </w:p>
        </w:tc>
      </w:tr>
      <w:tr>
        <w:tc>
          <w:tcPr/>
          <w:p>
            <w:pPr>
              <w:pStyle w:val="Compact"/>
            </w:pPr>
            <w:r>
              <w:t xml:space="preserve">Cells with SMS = 0</w:t>
            </w:r>
          </w:p>
        </w:tc>
        <w:tc>
          <w:tcPr/>
          <w:p>
            <w:pPr>
              <w:pStyle w:val="Compact"/>
            </w:pPr>
            <w:r>
              <w:t xml:space="preserve">45 / 60</w:t>
            </w:r>
          </w:p>
        </w:tc>
      </w:tr>
      <w:tr>
        <w:tc>
          <w:tcPr/>
          <w:p>
            <w:pPr>
              <w:pStyle w:val="Compact"/>
            </w:pPr>
            <w:r>
              <w:t xml:space="preserve">Mean mutants / cell (v4)</w:t>
            </w:r>
          </w:p>
        </w:tc>
        <w:tc>
          <w:tcPr/>
          <w:p>
            <w:pPr>
              <w:pStyle w:val="Compact"/>
            </w:pPr>
            <w:r>
              <w:t xml:space="preserve">24.3 (range 10-30)</w:t>
            </w:r>
          </w:p>
        </w:tc>
      </w:tr>
    </w:tbl>
    <w:p>
      <w:pPr>
        <w:pStyle w:val="BodyText"/>
      </w:pPr>
      <w:r>
        <w:t xml:space="preserve">The</w:t>
      </w:r>
      <w:r>
        <w:t xml:space="preserve"> </w:t>
      </w:r>
      <w:r>
        <w:rPr>
          <w:b/>
          <w:bCs/>
        </w:rPr>
        <w:t xml:space="preserve">zero-mass dominance</w:t>
      </w:r>
      <w:r>
        <w:t xml:space="preserve"> </w:t>
      </w:r>
      <w:r>
        <w:t xml:space="preserve">(45/60 = 75%) is concentrated in the cross-MP slice: ~88% (42/48) of cross cells are zero, ~25% (3/12) of aligned cells are zero. Cliff’s delta is well-defined under this distribution but its inference is effectively dominated by</w:t>
      </w:r>
      <w:r>
        <w:t xml:space="preserve"> </w:t>
      </w:r>
      <w:r>
        <w:rPr>
          <w:rStyle w:val="VerbatimChar"/>
        </w:rPr>
        <w:t xml:space="preserve">n_aligned = 12 + n_cross_nonzero ≈ 6 = 18</w:t>
      </w:r>
      <w:r>
        <w:t xml:space="preserve">, not the surface n=60. Median odds ratio is formally infinite (median(cross) = 0); we report</w:t>
      </w:r>
      <w:r>
        <w:t xml:space="preserve"> </w:t>
      </w:r>
      <w:r>
        <w:t xml:space="preserve">“aligned median &gt; 0 = cross median”</w:t>
      </w:r>
      <w:r>
        <w:t xml:space="preserve"> </w:t>
      </w:r>
      <w:r>
        <w:t xml:space="preserve">as auxiliary qualitative evidence.</w:t>
      </w:r>
    </w:p>
    <w:p>
      <w:pPr>
        <w:pStyle w:val="BodyText"/>
      </w:pPr>
      <w:r>
        <w:rPr>
          <w:b/>
          <w:bCs/>
        </w:rPr>
        <w:t xml:space="preserve">Effective-n note.</w:t>
      </w:r>
      <w:r>
        <w:t xml:space="preserve"> </w:t>
      </w:r>
      <w:r>
        <w:t xml:space="preserve">The surface n_aligned = 12 and n_cross = 48 mask an effective-n constraint at n_eff ≈ 18, which explains the wide 95% bootstrap CI [0.127, 0.740] (upper/lower ratio ≈ 5.83, consistent with known liberal tendency of percentile bootstrap at small n_eff). The implications for power and the H2 verdict direction are quantified jointly with the stipulated-alternative analysis in §5.4. PUT-class diversification at n ≥ 30 (P4) is a testable route to relaxing the effective-n constraint. Power and effect-size disambiguation are treated jointly with the stipulated-alternative analysis in §5.4 (avoiding repetition).</w:t>
      </w:r>
    </w:p>
    <w:p>
      <w:pPr>
        <w:pStyle w:val="BodyText"/>
      </w:pPr>
      <w:r>
        <w:rPr>
          <w:b/>
          <w:bCs/>
        </w:rPr>
        <w:t xml:space="preserve">Consistency with LLM-mutant literature.</w:t>
      </w:r>
      <w:r>
        <w:t xml:space="preserve"> </w:t>
      </w:r>
      <w:r>
        <w:t xml:space="preserve">Tip et al. (2024) LLMorpheus reports high cross-MP failure proportions on JavaScript scientific-computing PUTs (specific numbers not listed in cited literature); zero-mass dominance appears to be a shared characteristic of LLM-mutant + existing MR-MP alignment designs, not a quirk of this paper’s PUT selection.</w:t>
      </w:r>
    </w:p>
    <w:bookmarkEnd w:id="39"/>
    <w:bookmarkStart w:id="40" w:name="rq2-aligned-vs-cross-cliffs-delta"/>
    <w:p>
      <w:pPr>
        <w:pStyle w:val="Heading3"/>
      </w:pPr>
      <w:r>
        <w:t xml:space="preserve">5.3 RQ2 — Aligned vs cross (Cliff’s delta)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Slice</w:t>
            </w:r>
          </w:p>
        </w:tc>
        <w:tc>
          <w:tcPr/>
          <w:p>
            <w:pPr>
              <w:pStyle w:val="Compact"/>
            </w:pPr>
            <w:r>
              <w:t xml:space="preserve">n</w:t>
            </w:r>
          </w:p>
        </w:tc>
        <w:tc>
          <w:tcPr/>
          <w:p>
            <w:pPr>
              <w:pStyle w:val="Compact"/>
            </w:pPr>
            <w:r>
              <w:t xml:space="preserve">Mean SMS</w:t>
            </w:r>
          </w:p>
        </w:tc>
        <w:tc>
          <w:tcPr/>
          <w:p>
            <w:pPr>
              <w:pStyle w:val="Compact"/>
            </w:pPr>
            <w:r>
              <w:t xml:space="preserve">Median SMS</w:t>
            </w:r>
          </w:p>
        </w:tc>
      </w:tr>
      <w:tr>
        <w:tc>
          <w:tcPr/>
          <w:p>
            <w:pPr>
              <w:pStyle w:val="Compact"/>
            </w:pPr>
            <w:r>
              <w:t xml:space="preserve">aligned (j = k, v4 + v3b primary)</w:t>
            </w:r>
          </w:p>
        </w:tc>
        <w:tc>
          <w:tcPr/>
          <w:p>
            <w:pPr>
              <w:pStyle w:val="Compact"/>
            </w:pPr>
            <w:r>
              <w:t xml:space="preserve">12</w:t>
            </w:r>
          </w:p>
        </w:tc>
        <w:tc>
          <w:tcPr/>
          <w:p>
            <w:pPr>
              <w:pStyle w:val="Compact"/>
            </w:pPr>
            <w:r>
              <w:t xml:space="preserve">0.275</w:t>
            </w:r>
          </w:p>
        </w:tc>
        <w:tc>
          <w:tcPr/>
          <w:p>
            <w:pPr>
              <w:pStyle w:val="Compact"/>
            </w:pPr>
            <w:r>
              <w:t xml:space="preserve">0.267</w:t>
            </w:r>
          </w:p>
        </w:tc>
      </w:tr>
      <w:tr>
        <w:tc>
          <w:tcPr/>
          <w:p>
            <w:pPr>
              <w:pStyle w:val="Compact"/>
            </w:pPr>
            <w:r>
              <w:t xml:space="preserve">cross (j ≠ k)</w:t>
            </w:r>
          </w:p>
        </w:tc>
        <w:tc>
          <w:tcPr/>
          <w:p>
            <w:pPr>
              <w:pStyle w:val="Compact"/>
            </w:pPr>
            <w:r>
              <w:t xml:space="preserve">48</w:t>
            </w:r>
          </w:p>
        </w:tc>
        <w:tc>
          <w:tcPr/>
          <w:p>
            <w:pPr>
              <w:pStyle w:val="Compact"/>
            </w:pPr>
            <w:r>
              <w:t xml:space="preserve">0.061</w:t>
            </w:r>
          </w:p>
        </w:tc>
        <w:tc>
          <w:tcPr/>
          <w:p>
            <w:pPr>
              <w:pStyle w:val="Compact"/>
            </w:pPr>
            <w:r>
              <w:t xml:space="preserve">0.000</w:t>
            </w:r>
          </w:p>
        </w:tc>
      </w:tr>
    </w:tbl>
    <w:p>
      <w:pPr>
        <w:pStyle w:val="BodyText"/>
      </w:pPr>
      <w:r>
        <w:t xml:space="preserve">Four delta point-estimates (three planned ablation stages plus one robustness contrast):</w:t>
      </w:r>
    </w:p>
    <w:p>
      <w:pPr>
        <w:pStyle w:val="Compact"/>
        <w:numPr>
          <w:ilvl w:val="0"/>
          <w:numId w:val="1013"/>
        </w:numPr>
      </w:pPr>
      <w:r>
        <w:rPr>
          <w:b/>
          <w:bCs/>
        </w:rPr>
        <w:t xml:space="preserve">v3 (primary, pre-registered):</w:t>
      </w:r>
      <w:r>
        <w:t xml:space="preserve"> </w:t>
      </w:r>
      <w:r>
        <w:t xml:space="preserve">delta =</w:t>
      </w:r>
      <w:r>
        <w:t xml:space="preserve"> </w:t>
      </w:r>
      <w:r>
        <w:rPr>
          <w:b/>
          <w:bCs/>
        </w:rPr>
        <w:t xml:space="preserve">0.323</w:t>
      </w:r>
      <w:r>
        <w:t xml:space="preserve">, 95% CI [0.017, 0.622]</w:t>
      </w:r>
    </w:p>
    <w:p>
      <w:pPr>
        <w:pStyle w:val="Compact"/>
        <w:numPr>
          <w:ilvl w:val="0"/>
          <w:numId w:val="1013"/>
        </w:numPr>
      </w:pPr>
      <w:r>
        <w:t xml:space="preserve">v3b (exploratory, c→MP1 post-hoc): delta = 0.446†, CI [0.154, 0.743]</w:t>
      </w:r>
    </w:p>
    <w:p>
      <w:pPr>
        <w:pStyle w:val="Compact"/>
        <w:numPr>
          <w:ilvl w:val="0"/>
          <w:numId w:val="1013"/>
        </w:numPr>
      </w:pPr>
      <w:r>
        <w:t xml:space="preserve">v4 (exploratory, cross-source under fixed prompt, c→MP1): delta = 0.439†, 95% CI [0.127, 0.740] (B = 10,000)</w:t>
      </w:r>
    </w:p>
    <w:p>
      <w:pPr>
        <w:pStyle w:val="Compact"/>
        <w:numPr>
          <w:ilvl w:val="0"/>
          <w:numId w:val="1013"/>
        </w:numPr>
      </w:pPr>
      <w:r>
        <w:rPr>
          <w:b/>
          <w:bCs/>
        </w:rPr>
        <w:t xml:space="preserve">v4 robustness (cross-source, c-class held at v3 MP5):</w:t>
      </w:r>
      <w:r>
        <w:t xml:space="preserve"> </w:t>
      </w:r>
      <w:r>
        <w:t xml:space="preserve">delta =</w:t>
      </w:r>
      <w:r>
        <w:t xml:space="preserve"> </w:t>
      </w:r>
      <w:r>
        <w:rPr>
          <w:b/>
          <w:bCs/>
        </w:rPr>
        <w:t xml:space="preserve">0.314</w:t>
      </w:r>
      <w:r>
        <w:t xml:space="preserve">, 95% CI [0.014, 0.622]. This row strips R11 chained conditioning by reverting c-class primary to the pre-registered v3 choice while keeping the cross-source pool. The contrast</w:t>
      </w:r>
      <w:r>
        <w:t xml:space="preserve"> </w:t>
      </w:r>
      <w:r>
        <w:rPr>
          <w:rStyle w:val="VerbatimChar"/>
        </w:rPr>
        <w:t xml:space="preserve">δ_v4_mp5 − δ_v3 = −0.009</w:t>
      </w:r>
      <w:r>
        <w:t xml:space="preserve"> </w:t>
      </w:r>
      <w:r>
        <w:t xml:space="preserve">isolates the LLM-source-diversity axis from MR-design re-selection.</w:t>
      </w:r>
    </w:p>
    <w:p>
      <w:pPr>
        <w:pStyle w:val="FirstParagraph"/>
      </w:pPr>
      <w:r>
        <w:rPr>
          <w:b/>
          <w:bCs/>
        </w:rPr>
        <w:t xml:space="preserve">H2 verdict: not met under the pre-registered point-estimate criterion.</w:t>
      </w:r>
      <w:r>
        <w:t xml:space="preserve"> </w:t>
      </w:r>
      <w:r>
        <w:t xml:space="preserve">None of the three delta values crosses the Romano (2006) large-effect threshold 0.474. The two contrasts are reported separately: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Contrast</w:t>
            </w:r>
          </w:p>
        </w:tc>
        <w:tc>
          <w:tcPr/>
          <w:p>
            <w:pPr>
              <w:pStyle w:val="Compact"/>
            </w:pPr>
            <w:r>
              <w:t xml:space="preserve">Delta-delta</w:t>
            </w:r>
          </w:p>
        </w:tc>
        <w:tc>
          <w:tcPr/>
          <w:p>
            <w:pPr>
              <w:pStyle w:val="Compact"/>
            </w:pPr>
            <w:r>
              <w:t xml:space="preserve">CI</w:t>
            </w:r>
          </w:p>
        </w:tc>
        <w:tc>
          <w:tcPr/>
          <w:p>
            <w:pPr>
              <w:pStyle w:val="Compact"/>
            </w:pPr>
            <w:r>
              <w:t xml:space="preserve">Interpretation</w:t>
            </w:r>
          </w:p>
        </w:tc>
      </w:tr>
      <w:tr>
        <w:tc>
          <w:tcPr/>
          <w:p>
            <w:pPr>
              <w:pStyle w:val="Compact"/>
            </w:pPr>
            <w:r>
              <w:t xml:space="preserve">v3 → v3b (c-class primary MP shift, same-source)</w:t>
            </w:r>
          </w:p>
        </w:tc>
        <w:tc>
          <w:tcPr/>
          <w:p>
            <w:pPr>
              <w:pStyle w:val="Compact"/>
            </w:pPr>
            <w:r>
              <w:t xml:space="preserve">+0.123</w:t>
            </w:r>
          </w:p>
        </w:tc>
        <w:tc>
          <w:tcPr/>
          <w:p>
            <w:pPr>
              <w:pStyle w:val="Compact"/>
            </w:pPr>
            <w:r>
              <w:t xml:space="preserve">(data-driven; not applicable, see §3.4)</w:t>
            </w:r>
          </w:p>
        </w:tc>
        <w:tc>
          <w:tcPr/>
          <w:p>
            <w:pPr>
              <w:pStyle w:val="Compact"/>
            </w:pPr>
            <w:r>
              <w:t xml:space="preserve">Single-class post-hoc; reflects primary-MP sensitivity, not generic MR-design contribution</w:t>
            </w:r>
          </w:p>
        </w:tc>
      </w:tr>
      <w:tr>
        <w:tc>
          <w:tcPr/>
          <w:p>
            <w:pPr>
              <w:pStyle w:val="Compact"/>
            </w:pPr>
            <w:r>
              <w:t xml:space="preserve">v3b → v4 (cross-source, c→MP1, fixed prompt)</w:t>
            </w:r>
          </w:p>
        </w:tc>
        <w:tc>
          <w:tcPr/>
          <w:p>
            <w:pPr>
              <w:pStyle w:val="Compact"/>
            </w:pPr>
            <w:r>
              <w:t xml:space="preserve">−0.007</w:t>
            </w:r>
          </w:p>
        </w:tc>
        <w:tc>
          <w:tcPr/>
          <w:p>
            <w:pPr>
              <w:pStyle w:val="Compact"/>
            </w:pPr>
            <w:r>
              <w:t xml:space="preserve">covers zero</w:t>
            </w:r>
          </w:p>
        </w:tc>
        <w:tc>
          <w:tcPr/>
          <w:p>
            <w:pPr>
              <w:pStyle w:val="Compact"/>
            </w:pPr>
            <w:r>
              <w:t xml:space="preserve">Three LLMs near-identical under prompt-fixed (49.1% stipulated power)</w:t>
            </w:r>
          </w:p>
        </w:tc>
      </w:tr>
      <w:tr>
        <w:tc>
          <w:tcPr/>
          <w:p>
            <w:pPr>
              <w:pStyle w:val="Compact"/>
            </w:pPr>
            <w:r>
              <w:rPr>
                <w:b/>
                <w:bCs/>
              </w:rPr>
              <w:t xml:space="preserve">v3 → v4 (under MP5, cross-source only)</w:t>
            </w:r>
          </w:p>
        </w:tc>
        <w:tc>
          <w:tcPr/>
          <w:p>
            <w:pPr>
              <w:pStyle w:val="Compact"/>
            </w:pPr>
            <w:r>
              <w:rPr>
                <w:b/>
                <w:bCs/>
              </w:rPr>
              <w:t xml:space="preserve">−0.009</w:t>
            </w:r>
          </w:p>
        </w:tc>
        <w:tc>
          <w:tcPr/>
          <w:p>
            <w:pPr>
              <w:pStyle w:val="Compact"/>
            </w:pPr>
            <w:r>
              <w:rPr>
                <w:b/>
                <w:bCs/>
              </w:rPr>
              <w:t xml:space="preserve">covers zero</w:t>
            </w:r>
          </w:p>
        </w:tc>
        <w:tc>
          <w:tcPr/>
          <w:p>
            <w:pPr>
              <w:pStyle w:val="Compact"/>
            </w:pPr>
            <w:r>
              <w:t xml:space="preserve">Robustness against R11. Source-axis change under MP5 reproduces the v3b → v4 micro-shift, supporting the source-diversity null reading across two independent MP conditions.</w:t>
            </w:r>
          </w:p>
        </w:tc>
      </w:tr>
    </w:tbl>
    <w:p>
      <w:pPr>
        <w:pStyle w:val="BodyText"/>
      </w:pPr>
      <w:r>
        <w:t xml:space="preserve">The</w:t>
      </w:r>
      <w:r>
        <w:t xml:space="preserve"> </w:t>
      </w:r>
      <w:r>
        <w:t xml:space="preserve">“v3 → v4 (under MP5)”</w:t>
      </w:r>
      <w:r>
        <w:t xml:space="preserve"> </w:t>
      </w:r>
      <w:r>
        <w:t xml:space="preserve">robustness contrast was added in response to a methodological-asymmetry concern: the −0.007 v3b → v4 contrast inherits R11 chained conditioning (cross-source pool + post-hoc MP1) and so cannot identify which factor is null. Under MP5, c-class is held at the pre-registered choice, so the only difference between this row and v3 (δ = 0.323) is the LLM-source axis. The reproduced ≤ 0.01 shift across two MP conditions supports finding (iii).</w:t>
      </w:r>
    </w:p>
    <w:p>
      <w:pPr>
        <w:pStyle w:val="BodyText"/>
      </w:pPr>
      <w:r>
        <w:t xml:space="preserve">This is consistent with Tip et al. (2024) LLMorpheus’s medium-effect range on JavaScript LLM mutants - a contextual literature observation (estimand caveat: their delta compares</w:t>
      </w:r>
      <w:r>
        <w:t xml:space="preserve"> </w:t>
      </w:r>
      <w:r>
        <w:t xml:space="preserve">“LLM vs traditional mutants on fault detection”</w:t>
      </w:r>
      <w:r>
        <w:t xml:space="preserve">, ours compares</w:t>
      </w:r>
      <w:r>
        <w:t xml:space="preserve"> </w:t>
      </w:r>
      <w:r>
        <w:t xml:space="preserve">“aligned vs cross MP slice within one pool”</w:t>
      </w:r>
      <w:r>
        <w:t xml:space="preserve">; the numerical similarity is not substantive support).</w:t>
      </w:r>
    </w:p>
    <w:bookmarkEnd w:id="40"/>
    <w:bookmarkStart w:id="41" w:name="rq2-stipulated-alternative-power"/>
    <w:p>
      <w:pPr>
        <w:pStyle w:val="Heading3"/>
      </w:pPr>
      <w:r>
        <w:t xml:space="preserve">5.4 RQ2 — Stipulated-alternative power</w:t>
      </w:r>
    </w:p>
    <w:p>
      <w:pPr>
        <w:pStyle w:val="FirstParagraph"/>
      </w:pPr>
      <w:r>
        <w:t xml:space="preserve">The §5.2 effective-n constraint motivates an explicit power analysis. A plug-in bootstrap (5,000 replications, seed = 42) samples with replacement from the observed (n = 12, n = 48) v4 SMS distributions. The plug-in power table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Threshold</w:t>
            </w:r>
          </w:p>
        </w:tc>
        <w:tc>
          <w:tcPr/>
          <w:p>
            <w:pPr>
              <w:pStyle w:val="Compact"/>
            </w:pPr>
            <w:r>
              <w:t xml:space="preserve">Interpretation</w:t>
            </w:r>
          </w:p>
        </w:tc>
        <w:tc>
          <w:tcPr/>
          <w:p>
            <w:pPr>
              <w:pStyle w:val="Compact"/>
            </w:pPr>
            <w:r>
              <w:t xml:space="preserve">Power at (12, 48)</w:t>
            </w:r>
          </w:p>
        </w:tc>
      </w:tr>
      <w:tr>
        <w:tc>
          <w:tcPr/>
          <w:p>
            <w:pPr>
              <w:pStyle w:val="Compact"/>
            </w:pPr>
            <w:r>
              <w:t xml:space="preserve">δ &gt; 0.000</w:t>
            </w:r>
          </w:p>
        </w:tc>
        <w:tc>
          <w:tcPr/>
          <w:p>
            <w:pPr>
              <w:pStyle w:val="Compact"/>
            </w:pPr>
            <w:r>
              <w:t xml:space="preserve">Any effect</w:t>
            </w:r>
          </w:p>
        </w:tc>
        <w:tc>
          <w:tcPr/>
          <w:p>
            <w:pPr>
              <w:pStyle w:val="Compact"/>
            </w:pPr>
            <w:r>
              <w:rPr>
                <w:b/>
                <w:bCs/>
              </w:rPr>
              <w:t xml:space="preserve">0.997</w:t>
            </w:r>
          </w:p>
        </w:tc>
      </w:tr>
      <w:tr>
        <w:tc>
          <w:tcPr/>
          <w:p>
            <w:pPr>
              <w:pStyle w:val="Compact"/>
            </w:pPr>
            <w:r>
              <w:t xml:space="preserve">δ &gt; 0.147</w:t>
            </w:r>
          </w:p>
        </w:tc>
        <w:tc>
          <w:tcPr/>
          <w:p>
            <w:pPr>
              <w:pStyle w:val="Compact"/>
            </w:pPr>
            <w:r>
              <w:t xml:space="preserve">Small</w:t>
            </w:r>
          </w:p>
        </w:tc>
        <w:tc>
          <w:tcPr/>
          <w:p>
            <w:pPr>
              <w:pStyle w:val="Compact"/>
            </w:pPr>
            <w:r>
              <w:t xml:space="preserve">0.966</w:t>
            </w:r>
          </w:p>
        </w:tc>
      </w:tr>
      <w:tr>
        <w:tc>
          <w:tcPr/>
          <w:p>
            <w:pPr>
              <w:pStyle w:val="Compact"/>
            </w:pPr>
            <w:r>
              <w:t xml:space="preserve">δ &gt; 0.330</w:t>
            </w:r>
          </w:p>
        </w:tc>
        <w:tc>
          <w:tcPr/>
          <w:p>
            <w:pPr>
              <w:pStyle w:val="Compact"/>
            </w:pPr>
            <w:r>
              <w:t xml:space="preserve">Medium</w:t>
            </w:r>
          </w:p>
        </w:tc>
        <w:tc>
          <w:tcPr/>
          <w:p>
            <w:pPr>
              <w:pStyle w:val="Compact"/>
            </w:pPr>
            <w:r>
              <w:t xml:space="preserve">0.759</w:t>
            </w:r>
          </w:p>
        </w:tc>
      </w:tr>
      <w:tr>
        <w:tc>
          <w:tcPr/>
          <w:p>
            <w:pPr>
              <w:pStyle w:val="Compact"/>
            </w:pPr>
            <w:r>
              <w:rPr>
                <w:b/>
                <w:bCs/>
              </w:rPr>
              <w:t xml:space="preserve">δ &gt; 0.474</w:t>
            </w:r>
          </w:p>
        </w:tc>
        <w:tc>
          <w:tcPr/>
          <w:p>
            <w:pPr>
              <w:pStyle w:val="Compact"/>
            </w:pPr>
            <w:r>
              <w:rPr>
                <w:b/>
                <w:bCs/>
              </w:rPr>
              <w:t xml:space="preserve">Large (H2)</w:t>
            </w:r>
          </w:p>
        </w:tc>
        <w:tc>
          <w:tcPr/>
          <w:p>
            <w:pPr>
              <w:pStyle w:val="Compact"/>
            </w:pPr>
            <w:r>
              <w:rPr>
                <w:b/>
                <w:bCs/>
              </w:rPr>
              <w:t xml:space="preserve">0.423</w:t>
            </w:r>
          </w:p>
        </w:tc>
      </w:tr>
    </w:tbl>
    <w:p>
      <w:pPr>
        <w:pStyle w:val="BodyText"/>
      </w:pPr>
      <w:r>
        <w:t xml:space="preserve">The plug-in result answers the question</w:t>
      </w:r>
      <w:r>
        <w:t xml:space="preserve"> </w:t>
      </w:r>
      <w:r>
        <w:t xml:space="preserve">“given the</w:t>
      </w:r>
      <w:r>
        <w:t xml:space="preserve"> </w:t>
      </w:r>
      <w:r>
        <w:rPr>
          <w:i/>
          <w:iCs/>
        </w:rPr>
        <w:t xml:space="preserve">observed</w:t>
      </w:r>
      <w:r>
        <w:t xml:space="preserve"> </w:t>
      </w:r>
      <w:r>
        <w:t xml:space="preserve">distribution, how often do we exceed the threshold?”</w:t>
      </w:r>
      <w:r>
        <w:t xml:space="preserve"> </w:t>
      </w:r>
      <w:r>
        <w:t xml:space="preserve">A stipulated-alternative simulation answers a more pointed question:</w:t>
      </w:r>
      <w:r>
        <w:t xml:space="preserve"> </w:t>
      </w:r>
      <w:r>
        <w:t xml:space="preserve">“if the</w:t>
      </w:r>
      <w:r>
        <w:t xml:space="preserve"> </w:t>
      </w:r>
      <w:r>
        <w:rPr>
          <w:i/>
          <w:iCs/>
        </w:rPr>
        <w:t xml:space="preserve">truth</w:t>
      </w:r>
      <w:r>
        <w:t xml:space="preserve"> </w:t>
      </w:r>
      <w:r>
        <w:t xml:space="preserve">equals the H2 boundary 0.474, how often does the (12, 48) design return δ̂ ≥ 0.474?”</w:t>
      </w:r>
      <w:r>
        <w:t xml:space="preserve"> </w:t>
      </w:r>
      <w:r>
        <w:t xml:space="preserve">SMS distributions have heavy ties at zero (45 of 60 cells), so a raw shift is discontinuous: any ε &gt; 0 jumps δ from 0.314 to 0.74. We therefore use a mixture, drawing the aligned sample with probability w from (observed_aligned + 0.001) and with probability 1 − w from observed_aligned, calibrating w = 0.094 to realise E[δ] = 0.4746.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Stipulated truth</w:t>
            </w:r>
          </w:p>
        </w:tc>
        <w:tc>
          <w:tcPr/>
          <w:p>
            <w:pPr>
              <w:pStyle w:val="Compact"/>
            </w:pPr>
            <w:r>
              <w:t xml:space="preserve">Criterion</w:t>
            </w:r>
          </w:p>
        </w:tc>
        <w:tc>
          <w:tcPr/>
          <w:p>
            <w:pPr>
              <w:pStyle w:val="Compact"/>
            </w:pPr>
            <w:r>
              <w:t xml:space="preserve">Power</w:t>
            </w:r>
          </w:p>
        </w:tc>
      </w:tr>
      <w:tr>
        <w:tc>
          <w:tcPr/>
          <w:p>
            <w:pPr>
              <w:pStyle w:val="Compact"/>
            </w:pPr>
            <w:r>
              <w:t xml:space="preserve">0.474</w:t>
            </w:r>
          </w:p>
        </w:tc>
        <w:tc>
          <w:tcPr/>
          <w:p>
            <w:pPr>
              <w:pStyle w:val="Compact"/>
            </w:pPr>
            <w:r>
              <w:t xml:space="preserve">δ̂ ≥ 0.474 (point estimate)</w:t>
            </w:r>
          </w:p>
        </w:tc>
        <w:tc>
          <w:tcPr/>
          <w:p>
            <w:pPr>
              <w:pStyle w:val="Compact"/>
            </w:pPr>
            <w:r>
              <w:rPr>
                <w:b/>
                <w:bCs/>
              </w:rPr>
              <w:t xml:space="preserve">0.491</w:t>
            </w:r>
          </w:p>
        </w:tc>
      </w:tr>
      <w:tr>
        <w:tc>
          <w:tcPr/>
          <w:p>
            <w:pPr>
              <w:pStyle w:val="Compact"/>
            </w:pPr>
            <w:r>
              <w:t xml:space="preserve">0.474</w:t>
            </w:r>
          </w:p>
        </w:tc>
        <w:tc>
          <w:tcPr/>
          <w:p>
            <w:pPr>
              <w:pStyle w:val="Compact"/>
            </w:pPr>
            <w:r>
              <w:t xml:space="preserve">Lower 95% CI bound &gt; 0 (any effect)</w:t>
            </w:r>
          </w:p>
        </w:tc>
        <w:tc>
          <w:tcPr/>
          <w:p>
            <w:pPr>
              <w:pStyle w:val="Compact"/>
            </w:pPr>
            <w:r>
              <w:t xml:space="preserve">0.868</w:t>
            </w:r>
          </w:p>
        </w:tc>
      </w:tr>
    </w:tbl>
    <w:p>
      <w:pPr>
        <w:pStyle w:val="BodyText"/>
      </w:pPr>
      <w:r>
        <w:t xml:space="preserve">Even when the truth equals the H2 boundary, this design returns</w:t>
      </w:r>
      <w:r>
        <w:t xml:space="preserve"> </w:t>
      </w:r>
      <w:r>
        <w:t xml:space="preserve">“not met”</w:t>
      </w:r>
      <w:r>
        <w:t xml:space="preserve"> </w:t>
      </w:r>
      <w:r>
        <w:t xml:space="preserve">verdicts in roughly half of replications. This supports the framing in §5.3: the H2 verdict is a factual statement about the point estimate failing to clear the threshold, not a claim that the effect is necessarily smaller than 0.474. Increasing the sample size narrows the confidence interval but cannot lift the point estimate. The plug-in sample-size sweep (n_aligned ∈ {6, 12, …, 60}; n_cross = 4 × n_aligned; power for δ &gt; 0 reaches 0.974 at n_aligned = 6 and 0.996 at 12, then plateaus) is in Appendix D.3.</w:t>
      </w:r>
    </w:p>
    <w:p>
      <w:pPr>
        <w:pStyle w:val="BodyText"/>
      </w:pPr>
      <w:r>
        <w:rPr>
          <w:b/>
          <w:bCs/>
        </w:rPr>
        <w:t xml:space="preserve">Symmetric reading of the same power.</w:t>
      </w:r>
      <w:r>
        <w:t xml:space="preserve"> </w:t>
      </w:r>
      <w:r>
        <w:t xml:space="preserve">The 49.1% stipulated power is also the relevant power for the v3b → v4 contrast (Δδ = −0.007, CI covers zero): if the true source-diversity effect on δ were as large as 0.474, this design would correctly reject the null in roughly half of replications. The −0.007 null-shift is therefore consistent with a wide range of true source-diversity effects, and we explicitly do not read it as evidence that source diversity is inert. The strong-sense test is deferred to P4.</w:t>
      </w:r>
    </w:p>
    <w:p>
      <w:pPr>
        <w:pStyle w:val="BodyText"/>
      </w:pPr>
      <w:r>
        <w:rPr>
          <w:b/>
          <w:bCs/>
        </w:rPr>
        <w:t xml:space="preserve">Note on monotone-transformation invariance.</w:t>
      </w:r>
      <w:r>
        <w:t xml:space="preserve"> </w:t>
      </w:r>
      <w:r>
        <w:t xml:space="preserve">Cliff’s δ is rank-based — a function of U / (n₁·n₂) — so applying a logit transform to SMS gives δ_logit ≡ δ_raw by construction (</w:t>
      </w:r>
      <w:r>
        <w:rPr>
          <w:rStyle w:val="VerbatimChar"/>
        </w:rPr>
        <w:t xml:space="preserve">rq2_cliffs_delta_logit_v4.json</w:t>
      </w:r>
      <w:r>
        <w:t xml:space="preserve"> </w:t>
      </w:r>
      <w:r>
        <w:t xml:space="preserve">records δ_logit = 0.439 = δ_raw, difference 0.000). This is consistent with the rank-invariance theorem and does</w:t>
      </w:r>
      <w:r>
        <w:t xml:space="preserve"> </w:t>
      </w:r>
      <w:r>
        <w:rPr>
          <w:b/>
          <w:bCs/>
        </w:rPr>
        <w:t xml:space="preserve">not</w:t>
      </w:r>
      <w:r>
        <w:t xml:space="preserve"> </w:t>
      </w:r>
      <w:r>
        <w:t xml:space="preserve">constitute additional robustness evidence. The genuine robustness threats to the H2 verdict come from the v3b post-hoc selection (§3.4) and the zero-mass dominance (§5.2), not from any metric-scale choice. See Appendix D.2 for the full sensitivity analysis.</w:t>
      </w:r>
    </w:p>
    <w:bookmarkEnd w:id="41"/>
    <w:bookmarkStart w:id="42" w:name="rq3-cross-class-consistency-and-friedman"/>
    <w:p>
      <w:pPr>
        <w:pStyle w:val="Heading3"/>
      </w:pPr>
      <w:r>
        <w:t xml:space="preserve">5.5 RQ3 — Cross-class consistency and Friedman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Mean SMS (v3)</w:t>
            </w:r>
          </w:p>
        </w:tc>
        <w:tc>
          <w:tcPr/>
          <w:p>
            <w:pPr>
              <w:pStyle w:val="Compact"/>
            </w:pPr>
            <w:r>
              <w:t xml:space="preserve">Mean SMS (v4)</w:t>
            </w:r>
          </w:p>
        </w:tc>
      </w:tr>
      <w:tr>
        <w:tc>
          <w:tcPr/>
          <w:p>
            <w:pPr>
              <w:pStyle w:val="Compact"/>
            </w:pPr>
            <w:r>
              <w:t xml:space="preserve">a (numeric)</w:t>
            </w:r>
          </w:p>
        </w:tc>
        <w:tc>
          <w:tcPr/>
          <w:p>
            <w:pPr>
              <w:pStyle w:val="Compact"/>
            </w:pPr>
            <w:r>
              <w:t xml:space="preserve">0.067</w:t>
            </w:r>
          </w:p>
        </w:tc>
        <w:tc>
          <w:tcPr/>
          <w:p>
            <w:pPr>
              <w:pStyle w:val="Compact"/>
            </w:pPr>
            <w:r>
              <w:t xml:space="preserve">0.067</w:t>
            </w:r>
          </w:p>
        </w:tc>
      </w:tr>
      <w:tr>
        <w:tc>
          <w:tcPr/>
          <w:p>
            <w:pPr>
              <w:pStyle w:val="Compact"/>
            </w:pPr>
            <w:r>
              <w:t xml:space="preserve">b (probabilistic)</w:t>
            </w:r>
          </w:p>
        </w:tc>
        <w:tc>
          <w:tcPr/>
          <w:p>
            <w:pPr>
              <w:pStyle w:val="Compact"/>
            </w:pPr>
            <w:r>
              <w:t xml:space="preserve">0.156</w:t>
            </w:r>
          </w:p>
        </w:tc>
        <w:tc>
          <w:tcPr/>
          <w:p>
            <w:pPr>
              <w:pStyle w:val="Compact"/>
            </w:pPr>
            <w:r>
              <w:t xml:space="preserve">0.148</w:t>
            </w:r>
          </w:p>
        </w:tc>
      </w:tr>
      <w:tr>
        <w:tc>
          <w:tcPr/>
          <w:p>
            <w:pPr>
              <w:pStyle w:val="Compact"/>
            </w:pPr>
            <w:r>
              <w:t xml:space="preserve">c (surrogate)</w:t>
            </w:r>
          </w:p>
        </w:tc>
        <w:tc>
          <w:tcPr/>
          <w:p>
            <w:pPr>
              <w:pStyle w:val="Compact"/>
            </w:pPr>
            <w:r>
              <w:t xml:space="preserve">0.047</w:t>
            </w:r>
          </w:p>
        </w:tc>
        <w:tc>
          <w:tcPr/>
          <w:p>
            <w:pPr>
              <w:pStyle w:val="Compact"/>
            </w:pPr>
            <w:r>
              <w:rPr>
                <w:b/>
                <w:bCs/>
              </w:rPr>
              <w:t xml:space="preserve">0.089 (+91.4%)</w:t>
            </w:r>
          </w:p>
        </w:tc>
      </w:tr>
      <w:tr>
        <w:tc>
          <w:tcPr/>
          <w:p>
            <w:pPr>
              <w:pStyle w:val="Compact"/>
            </w:pPr>
            <w:r>
              <w:t xml:space="preserve">d (ML)</w:t>
            </w:r>
          </w:p>
        </w:tc>
        <w:tc>
          <w:tcPr/>
          <w:p>
            <w:pPr>
              <w:pStyle w:val="Compact"/>
            </w:pPr>
            <w:r>
              <w:t xml:space="preserve">0.081</w:t>
            </w:r>
          </w:p>
        </w:tc>
        <w:tc>
          <w:tcPr/>
          <w:p>
            <w:pPr>
              <w:pStyle w:val="Compact"/>
            </w:pPr>
            <w:r>
              <w:t xml:space="preserve">0.112 (+38%)</w:t>
            </w:r>
          </w:p>
        </w:tc>
      </w:tr>
    </w:tbl>
    <w:p>
      <w:pPr>
        <w:pStyle w:val="BodyText"/>
      </w:pPr>
      <w:r>
        <w:t xml:space="preserve">Sign test (within-class aligned mean − cross mean, sign = +):</w:t>
      </w:r>
    </w:p>
    <w:p>
      <w:pPr>
        <w:pStyle w:val="Compact"/>
        <w:numPr>
          <w:ilvl w:val="0"/>
          <w:numId w:val="1014"/>
        </w:numPr>
      </w:pPr>
      <w:r>
        <w:rPr>
          <w:b/>
          <w:bCs/>
        </w:rPr>
        <w:t xml:space="preserve">v3 (primary, pre-registered): 3 / 4 (partial)</w:t>
      </w:r>
      <w:r>
        <w:t xml:space="preserve">.</w:t>
      </w:r>
    </w:p>
    <w:p>
      <w:pPr>
        <w:pStyle w:val="Compact"/>
        <w:numPr>
          <w:ilvl w:val="0"/>
          <w:numId w:val="1014"/>
        </w:numPr>
      </w:pPr>
      <w:r>
        <w:t xml:space="preserve">v3b (exploratory, c→MP1): 4 / 4†.</w:t>
      </w:r>
    </w:p>
    <w:p>
      <w:pPr>
        <w:pStyle w:val="Compact"/>
        <w:numPr>
          <w:ilvl w:val="0"/>
          <w:numId w:val="1014"/>
        </w:numPr>
      </w:pPr>
      <w:r>
        <w:t xml:space="preserve">v4 cross-source: 4 / 4† (under v3b condition).</w:t>
      </w:r>
    </w:p>
    <w:p>
      <w:pPr>
        <w:pStyle w:val="FirstParagraph"/>
      </w:pPr>
      <w:r>
        <w:rPr>
          <w:b/>
          <w:bCs/>
        </w:rPr>
        <w:t xml:space="preserve">H4 primary verdict: partial (3/4) under v3.</w:t>
      </w:r>
      <w:r>
        <w:t xml:space="preserve"> </w:t>
      </w:r>
      <w:r>
        <w:t xml:space="preserve">v3b / v4 4/4† are sensitivity reports inheriting the §3.4 post-hoc selection.</w:t>
      </w:r>
    </w:p>
    <w:p>
      <w:pPr>
        <w:pStyle w:val="BodyText"/>
      </w:pPr>
      <w:r>
        <w:t xml:space="preserve">The mixed-effects primary model</w:t>
      </w:r>
      <w:r>
        <w:t xml:space="preserve"> </w:t>
      </w:r>
      <w:r>
        <w:rPr>
          <w:rStyle w:val="VerbatimChar"/>
        </w:rPr>
        <w:t xml:space="preserve">sms ~ C(class) * C(operator) + (1 | put)</w:t>
      </w:r>
      <w:r>
        <w:t xml:space="preserve"> </w:t>
      </w:r>
      <w:r>
        <w:t xml:space="preserve">returned Singular matrix; the fallback</w:t>
      </w:r>
      <w:r>
        <w:t xml:space="preserve"> </w:t>
      </w:r>
      <w:r>
        <w:rPr>
          <w:rStyle w:val="VerbatimChar"/>
        </w:rPr>
        <w:t xml:space="preserve">sms ~ C(class) + C(operator) + (1 | put)</w:t>
      </w:r>
      <w:r>
        <w:t xml:space="preserve"> </w:t>
      </w:r>
      <w:r>
        <w:t xml:space="preserve">had PUT random-intercept variance hit boundary 0 (degenerate). We therefore use Friedman as the non-parametric formal alternative:</w:t>
      </w:r>
    </w:p>
    <w:p>
      <w:pPr>
        <w:pStyle w:val="Compact"/>
        <w:numPr>
          <w:ilvl w:val="0"/>
          <w:numId w:val="1015"/>
        </w:numPr>
      </w:pPr>
      <w:r>
        <w:rPr>
          <w:b/>
          <w:bCs/>
        </w:rPr>
        <w:t xml:space="preserve">PUT (n=12) × MP (k=5): chi^2 = 15.30, p = 0.0041</w:t>
      </w:r>
      <w:r>
        <w:t xml:space="preserve"> </w:t>
      </w:r>
      <w:r>
        <w:t xml:space="preserve">(significant).</w:t>
      </w:r>
    </w:p>
    <w:p>
      <w:pPr>
        <w:pStyle w:val="Compact"/>
        <w:numPr>
          <w:ilvl w:val="0"/>
          <w:numId w:val="1015"/>
        </w:numPr>
      </w:pPr>
      <w:r>
        <w:t xml:space="preserve">MP rank means: 2.92, 2.58, 2.08, 3.08, 4.33.</w:t>
      </w:r>
    </w:p>
    <w:p>
      <w:pPr>
        <w:pStyle w:val="Compact"/>
        <w:numPr>
          <w:ilvl w:val="0"/>
          <w:numId w:val="1015"/>
        </w:numPr>
      </w:pPr>
      <w:r>
        <w:t xml:space="preserve">Per-class Friedman with</w:t>
      </w:r>
      <w:r>
        <w:t xml:space="preserve"> </w:t>
      </w:r>
      <w:r>
        <w:rPr>
          <w:b/>
          <w:bCs/>
        </w:rPr>
        <w:t xml:space="preserve">Bonferroni × 4 correction</w:t>
      </w:r>
      <w:r>
        <w:t xml:space="preserve"> </w:t>
      </w:r>
      <w:r>
        <w:t xml:space="preserve">(R1 W4 round-2): a 1.000 / b</w:t>
      </w:r>
      <w:r>
        <w:t xml:space="preserve"> </w:t>
      </w:r>
      <w:r>
        <w:rPr>
          <w:b/>
          <w:bCs/>
        </w:rPr>
        <w:t xml:space="preserve">0.116</w:t>
      </w:r>
      <w:r>
        <w:t xml:space="preserve"> </w:t>
      </w:r>
      <w:r>
        <w:t xml:space="preserve">/ c 1.000 / d 1.000 — no per-class result remains significant after correction. Kendall’s W effect sizes: a 0.333 (small) / b 0.898 (large concordance, but caveat: N=3 per class makes this label nominal only) / c 0.333 / d 0.417.</w:t>
      </w:r>
    </w:p>
    <w:p>
      <w:pPr>
        <w:pStyle w:val="FirstParagraph"/>
      </w:pPr>
      <w:r>
        <w:rPr>
          <w:b/>
          <w:bCs/>
        </w:rPr>
        <w:t xml:space="preserve">Caveat.</w:t>
      </w:r>
      <w:r>
        <w:t xml:space="preserve"> </w:t>
      </w:r>
      <w:r>
        <w:t xml:space="preserve">Friedman tests</w:t>
      </w:r>
      <w:r>
        <w:t xml:space="preserve"> </w:t>
      </w:r>
      <w:r>
        <w:t xml:space="preserve">“are MP rank differences present”</w:t>
      </w:r>
      <w:r>
        <w:t xml:space="preserve"> </w:t>
      </w:r>
      <w:r>
        <w:t xml:space="preserve">(averaged over PUTs); H4 tests</w:t>
      </w:r>
      <w:r>
        <w:t xml:space="preserve"> </w:t>
      </w:r>
      <w:r>
        <w:t xml:space="preserve">“is direction consistent across 4 classes”</w:t>
      </w:r>
      <w:r>
        <w:t xml:space="preserve">. These are logically independent. H4 stands on the §5.5 sign test; per-class Friedman is descriptive only (small N=3 per class).</w:t>
      </w:r>
    </w:p>
    <w:bookmarkEnd w:id="42"/>
    <w:bookmarkStart w:id="43" w:name="rq4-sms-vs-pattern-coverage"/>
    <w:p>
      <w:pPr>
        <w:pStyle w:val="Heading3"/>
      </w:pPr>
      <w:r>
        <w:t xml:space="preserve">5.6 RQ4 — SMS vs Pattern Coverage</w:t>
      </w:r>
    </w:p>
    <w:p>
      <w:pPr>
        <w:pStyle w:val="FirstParagraph"/>
      </w:pPr>
      <w:r>
        <w:rPr>
          <w:b/>
          <w:bCs/>
        </w:rPr>
        <w:t xml:space="preserve">Status.</w:t>
      </w:r>
      <w:r>
        <w:t xml:space="preserve"> </w:t>
      </w:r>
      <w:r>
        <w:t xml:space="preserve">RQ4 is reported as a descriptive observation, not a hypothesis test, because n = 12 places the 95% Spearman CI at roughly [−0.5, +0.6], so the test cannot distinguish zero, moderate-positive, or moderate-negative correlation. The numbers below are recorded so that P4 (n ≥ 30 PUTs) can pre-register a directional hypothesis.</w:t>
      </w:r>
    </w:p>
    <w:p>
      <w:pPr>
        <w:pStyle w:val="BodyText"/>
      </w:pPr>
      <w:r>
        <w:t xml:space="preserve">Pattern Coverage (PC) per PUT = #triggered (MP_k, R_outcome) cells / 10. Range [0.500, 1.000], mean 0.733. Pairing with mean SMS over 5 MPs: Spearman rho =</w:t>
      </w:r>
      <w:r>
        <w:t xml:space="preserve"> </w:t>
      </w:r>
      <w:r>
        <w:rPr>
          <w:b/>
          <w:bCs/>
        </w:rPr>
        <w:t xml:space="preserve">0.163</w:t>
      </w:r>
      <w:r>
        <w:t xml:space="preserve"> </w:t>
      </w:r>
      <w:r>
        <w:t xml:space="preserve">(p = 0.613); Kendall tau = 0.136 (p = 0.568); n = 12.</w:t>
      </w:r>
    </w:p>
    <w:p>
      <w:pPr>
        <w:pStyle w:val="BodyText"/>
      </w:pPr>
      <w:r>
        <w:rPr>
          <w:b/>
          <w:bCs/>
        </w:rPr>
        <w:t xml:space="preserve">Statistical-power caveat first.</w:t>
      </w:r>
      <w:r>
        <w:t xml:space="preserve"> </w:t>
      </w:r>
      <w:r>
        <w:t xml:space="preserve">At n = 12, Spearman’s 95% CI is approximately [-0.5, +0.6]; the test cannot distinguish</w:t>
      </w:r>
      <w:r>
        <w:t xml:space="preserve"> </w:t>
      </w:r>
      <w:r>
        <w:t xml:space="preserve">“zero correlation”</w:t>
      </w:r>
      <w:r>
        <w:t xml:space="preserve"> </w:t>
      </w:r>
      <w:r>
        <w:t xml:space="preserve">from</w:t>
      </w:r>
      <w:r>
        <w:t xml:space="preserve"> </w:t>
      </w:r>
      <w:r>
        <w:t xml:space="preserve">“moderate positive correlation”</w:t>
      </w:r>
      <w:r>
        <w:t xml:space="preserve"> </w:t>
      </w:r>
      <w:r>
        <w:t xml:space="preserve">or</w:t>
      </w:r>
      <w:r>
        <w:t xml:space="preserve"> </w:t>
      </w:r>
      <w:r>
        <w:t xml:space="preserve">“moderate negative correlation”</w:t>
      </w:r>
      <w:r>
        <w:t xml:space="preserve">. p = 0.61 / 0.57 does</w:t>
      </w:r>
      <w:r>
        <w:t xml:space="preserve"> </w:t>
      </w:r>
      <w:r>
        <w:rPr>
          <w:b/>
          <w:bCs/>
        </w:rPr>
        <w:t xml:space="preserve">not</w:t>
      </w:r>
      <w:r>
        <w:t xml:space="preserve"> </w:t>
      </w:r>
      <w:r>
        <w:t xml:space="preserve">support the strong claim that</w:t>
      </w:r>
      <w:r>
        <w:t xml:space="preserve"> </w:t>
      </w:r>
      <w:r>
        <w:t xml:space="preserve">“SMS is independent of PC”</w:t>
      </w:r>
      <w:r>
        <w:t xml:space="preserve"> </w:t>
      </w:r>
      <w:r>
        <w:t xml:space="preserve">or the strong claim that</w:t>
      </w:r>
      <w:r>
        <w:t xml:space="preserve"> </w:t>
      </w:r>
      <w:r>
        <w:t xml:space="preserve">“SMS is strongly correlated with PC”</w:t>
      </w:r>
      <w:r>
        <w:t xml:space="preserve">. The conservative finding is</w:t>
      </w:r>
      <w:r>
        <w:t xml:space="preserve"> </w:t>
      </w:r>
      <w:r>
        <w:rPr>
          <w:i/>
          <w:iCs/>
        </w:rPr>
        <w:t xml:space="preserve">no detectable correlation at n = 12</w:t>
      </w:r>
      <w:r>
        <w:t xml:space="preserve">; orthogonality is a hypothesis for P4 (n ≥ 30 PUTs or refined PC operationalisation; full PC operationalisation in Appendix D.5).</w:t>
      </w:r>
    </w:p>
    <w:bookmarkEnd w:id="43"/>
    <w:bookmarkStart w:id="44" w:name="h5-lrca-mass"/>
    <w:p>
      <w:pPr>
        <w:pStyle w:val="Heading3"/>
      </w:pPr>
      <w:r>
        <w:t xml:space="preserve">5.7 H5 — LRCA mass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Mean C1_share (default threshold)</w:t>
            </w:r>
          </w:p>
        </w:tc>
        <w:tc>
          <w:tcPr/>
          <w:p>
            <w:pPr>
              <w:pStyle w:val="Compact"/>
            </w:pPr>
            <w:r>
              <w:t xml:space="preserve">0.164</w:t>
            </w:r>
          </w:p>
        </w:tc>
      </w:tr>
      <w:tr>
        <w:tc>
          <w:tcPr/>
          <w:p>
            <w:pPr>
              <w:pStyle w:val="Compact"/>
            </w:pPr>
            <w:r>
              <w:t xml:space="preserve">Mean C1_share (calibrated best, ood_band = 0.02)</w:t>
            </w:r>
          </w:p>
        </w:tc>
        <w:tc>
          <w:tcPr/>
          <w:p>
            <w:pPr>
              <w:pStyle w:val="Compact"/>
            </w:pPr>
            <w:r>
              <w:rPr>
                <w:b/>
                <w:bCs/>
              </w:rPr>
              <w:t xml:space="preserve">0.209</w:t>
            </w:r>
          </w:p>
        </w:tc>
      </w:tr>
      <w:tr>
        <w:tc>
          <w:tcPr/>
          <w:p>
            <w:pPr>
              <w:pStyle w:val="Compact"/>
            </w:pPr>
            <w:r>
              <w:t xml:space="preserve">Mean suspect_share (calibrated best)</w:t>
            </w:r>
          </w:p>
        </w:tc>
        <w:tc>
          <w:tcPr/>
          <w:p>
            <w:pPr>
              <w:pStyle w:val="Compact"/>
            </w:pPr>
            <w:r>
              <w:t xml:space="preserve">0.791</w:t>
            </w:r>
          </w:p>
        </w:tc>
      </w:tr>
      <w:tr>
        <w:tc>
          <w:tcPr/>
          <w:p>
            <w:pPr>
              <w:pStyle w:val="Compact"/>
            </w:pPr>
            <w:r>
              <w:t xml:space="preserve">Cells meeting H5 (calibrated best)</w:t>
            </w:r>
          </w:p>
        </w:tc>
        <w:tc>
          <w:tcPr/>
          <w:p>
            <w:pPr>
              <w:pStyle w:val="Compact"/>
            </w:pPr>
            <w:r>
              <w:rPr>
                <w:b/>
                <w:bCs/>
              </w:rPr>
              <w:t xml:space="preserve">12 / 60 = 20.0%</w:t>
            </w:r>
          </w:p>
        </w:tc>
      </w:tr>
    </w:tbl>
    <w:p>
      <w:pPr>
        <w:pStyle w:val="BodyText"/>
      </w:pPr>
      <w:r>
        <w:rPr>
          <w:b/>
          <w:bCs/>
        </w:rPr>
        <w:t xml:space="preserve">H5 was pre-registered before pool characteristics were known</w:t>
      </w:r>
      <w:r>
        <w:t xml:space="preserve">; the dense cutoff sweep below shows the verdict is intrinsic to LLM-mutant pools and not a calibration artefact, which is itself a finding worth reporting.</w:t>
      </w:r>
    </w:p>
    <w:p>
      <w:pPr>
        <w:pStyle w:val="BodyText"/>
      </w:pPr>
      <w:r>
        <w:rPr>
          <w:b/>
          <w:bCs/>
        </w:rPr>
        <w:t xml:space="preserve">H5 verdict: not met.</w:t>
      </w:r>
      <w:r>
        <w:t xml:space="preserve"> </w:t>
      </w:r>
      <w:r>
        <w:t xml:space="preserve">A dense cutoff sweep (R-14 response, Appendix D.2) shows H5 pass-ratio is flat at 20% over cutoffs ∈ [0.05, 0.40]; no cutoff pushes it past 80%. H5 is</w:t>
      </w:r>
      <w:r>
        <w:t xml:space="preserve"> </w:t>
      </w:r>
      <w:r>
        <w:rPr>
          <w:b/>
          <w:bCs/>
        </w:rPr>
        <w:t xml:space="preserve">intrinsic data property, independent of cutoff choice</w:t>
      </w:r>
      <w:r>
        <w:t xml:space="preserve">; v4’s suspect_share distribution is severely bimodal (median 1.0, with 48 cross cells near 1 and 12 aligned cells near 0; the [0.20, 0.80] interior is nearly empty).</w:t>
      </w:r>
    </w:p>
    <w:p>
      <w:r>
        <w:pict>
          <v:rect style="width:0;height:1.5pt" o:hralign="center" o:hrstd="t" o:hr="t"/>
        </w:pict>
      </w:r>
    </w:p>
    <w:bookmarkEnd w:id="44"/>
    <w:bookmarkEnd w:id="45"/>
    <w:bookmarkStart w:id="50" w:name="discussion"/>
    <w:p>
      <w:pPr>
        <w:pStyle w:val="Heading2"/>
      </w:pPr>
      <w:r>
        <w:t xml:space="preserve">6. Discussion</w:t>
      </w:r>
    </w:p>
    <w:bookmarkStart w:id="46" w:name="X2ddea246304649b365acd8a9a9d66489f8014bc"/>
    <w:p>
      <w:pPr>
        <w:pStyle w:val="Heading3"/>
      </w:pPr>
      <w:r>
        <w:t xml:space="preserve">6.1 Cross-source contributes mutant quality, not effect size</w:t>
      </w:r>
    </w:p>
    <w:p>
      <w:pPr>
        <w:pStyle w:val="FirstParagraph"/>
      </w:pPr>
      <w:r>
        <w:t xml:space="preserve">Going from v3b same-source to v4 cross-source changes Cliff’s δ by only −0.007 (95% CI covers zero); the v4-mp5 robustness contrast holding the c-class primary at the pre-registered MP5 reproduces this null shift (Δδ(v3 → v4-mp5) = −0.009, 95% CI covers zero), strengthening the source-axis null reading by replicating it under an independent MP condition that strips R11 chained conditioning. Cross-source pooling raises mean C1_share from 0.164 to 0.209 (a 27%† relative increase), class-c mean SMS by</w:t>
      </w:r>
      <w:r>
        <w:t xml:space="preserve"> </w:t>
      </w:r>
      <w:r>
        <w:rPr>
          <w:b/>
          <w:bCs/>
        </w:rPr>
        <w:t xml:space="preserve">+91.4%†</w:t>
      </w:r>
      <w:r>
        <w:t xml:space="preserve">, and class-d mean SMS by 38%†. Under an identical prompt template, three LLMs converge on near-identical distributions for the aligned-vs-cross question. This</w:t>
      </w:r>
      <w:r>
        <w:t xml:space="preserve"> </w:t>
      </w:r>
      <w:r>
        <w:rPr>
          <w:i/>
          <w:iCs/>
        </w:rPr>
        <w:t xml:space="preserve">inversely falsifies</w:t>
      </w:r>
      <w:r>
        <w:t xml:space="preserve"> </w:t>
      </w:r>
      <w:r>
        <w:t xml:space="preserve">our initial hypothesis that LLM same-source bias is the dominant factor in the H2 ceiling. The v3 → v3b shift of +0.123 attributes to MR design — specifically the c-class primary-MP shift, with the caveats in §3.4 — and the v3b → v4 micro-change attributes to source diversity under prompt-fixed conditions. We report these contrasts separately in §5.3 rather than as a synthetic ratio. The strong-sense source-diversity test, with per-LLM differential prompts (V_persona, V_cot), is deferred to P4. Appendix C.1.1 records the full protocol.</w:t>
      </w:r>
    </w:p>
    <w:p>
      <w:pPr>
        <w:pStyle w:val="BodyText"/>
      </w:pPr>
      <w:r>
        <w:t xml:space="preserve">The §3.5 evidence (5.14% AST overlap, HP/SI/TF at 0/0/0) confirms that the medium-effect ceiling is not an artefact of LLM-pool overlap with the syntactic-mutant space. 94.86% of v4 mutants are AST-disjoint from cosmic-ray defaults, and the three classes unreachable under default first-order configurations (HP, SI, TF; 159 of 292 mutants; HOM not refuted, see §3.6(ii)) lie outside that space by construction. An effect-size breakthrough therefore requires substantive MR-design refinement (a P4 task), not a larger sample.</w:t>
      </w:r>
    </w:p>
    <w:p>
      <w:pPr>
        <w:pStyle w:val="BodyText"/>
      </w:pPr>
      <w:r>
        <w:rPr>
          <w:b/>
          <w:bCs/>
        </w:rPr>
        <w:t xml:space="preserve">A numerical-coincidence note.</w:t>
      </w:r>
      <w:r>
        <w:t xml:space="preserve"> </w:t>
      </w:r>
      <w:r>
        <w:t xml:space="preserve">Petrović and Ivanković’s (2018) ~20% productive-mutant rate at Google is close to our calibrated C1_share of 0.20. Their construct is a developer survey (subjective usefulness), and LRCA’s C1 is the output of a three-layer classifier; the agreement between the two is contextual, not mechanism validation.</w:t>
      </w:r>
    </w:p>
    <w:bookmarkEnd w:id="46"/>
    <w:bookmarkStart w:id="47" w:name="decoupling-between-r_sem-and-r_kill"/>
    <w:p>
      <w:pPr>
        <w:pStyle w:val="Heading3"/>
      </w:pPr>
      <w:r>
        <w:t xml:space="preserve">6.2 Decoupling between R_sem and R_kill</w:t>
      </w:r>
    </w:p>
    <w:p>
      <w:pPr>
        <w:pStyle w:val="FirstParagraph"/>
      </w:pPr>
      <w:r>
        <w:t xml:space="preserve">The operator-level pilot in Appendix C.4.1 reveals a sharp pattern: HP, TF, and OS operators on the c-class (surrogate) and d-class (machine learning) PUTs reach R_sem ≈ 1.0 (semantic feasibility — the LLM successfully produces a syntactically valid, executable, intent-bearing mutant) but R_kill = 0 under the PUT’s primary MP (the AVP fails to detect the mutant under that MR). Concretely, six cells show R_sem ≥ 0.9 with R_kill = 0: c1_CE1 (GPR</w:t>
      </w:r>
      <w:r>
        <w:t xml:space="preserve"> </w:t>
      </w:r>
      <w:r>
        <w:rPr>
          <w:rStyle w:val="VerbatimChar"/>
        </w:rPr>
        <w:t xml:space="preserve">noise_level</w:t>
      </w:r>
      <w:r>
        <w:t xml:space="preserve"> </w:t>
      </w:r>
      <w:r>
        <w:t xml:space="preserve">1e-4 → 1e-1), c2_OS1 (polynomial → spline basis), c3_HP1 (relu → tanh), c3_TF1 (max_iter 1000 → 5), d1_HP1 (MLP α 1e-4 → 1.0), and d3_HP1 (LR C 1.0 → 1e-4). In each, the mutant</w:t>
      </w:r>
      <w:r>
        <w:t xml:space="preserve"> </w:t>
      </w:r>
      <w:r>
        <w:rPr>
          <w:i/>
          <w:iCs/>
        </w:rPr>
        <w:t xml:space="preserve">is</w:t>
      </w:r>
      <w:r>
        <w:t xml:space="preserve"> </w:t>
      </w:r>
      <w:r>
        <w:t xml:space="preserve">a valid hyperparameter-semantic injection, but the primary MP — MP5 asymptotic for the c-class and MP2 monotonicity for the d-class — is an asymptotic or statistical relation, and the parameter deviation it tolerates is wide enough to absorb the mutant.</w:t>
      </w:r>
    </w:p>
    <w:p>
      <w:pPr>
        <w:pStyle w:val="BodyText"/>
      </w:pPr>
      <w:r>
        <w:t xml:space="preserve">The cell-level evidence in §5.2 reproduces this pattern: 75% of cells are zero, concentrated in the cross slices. Under v4 cross-source, mean C1_share rises from 0.164 to 0.209 (+27%): among the few killed mutants, the cross-source pool reduces LRCA mislabelling. Source diversity therefore improves the</w:t>
      </w:r>
      <w:r>
        <w:t xml:space="preserve"> </w:t>
      </w:r>
      <w:r>
        <w:rPr>
          <w:i/>
          <w:iCs/>
        </w:rPr>
        <w:t xml:space="preserve">quality</w:t>
      </w:r>
      <w:r>
        <w:t xml:space="preserve"> </w:t>
      </w:r>
      <w:r>
        <w:t xml:space="preserve">of the kill set without expanding its</w:t>
      </w:r>
      <w:r>
        <w:t xml:space="preserve"> </w:t>
      </w:r>
      <w:r>
        <w:rPr>
          <w:i/>
          <w:iCs/>
        </w:rPr>
        <w:t xml:space="preserve">coverage</w:t>
      </w:r>
      <w:r>
        <w:t xml:space="preserve">.</w:t>
      </w:r>
      <w:r>
        <w:t xml:space="preserve"> </w:t>
      </w:r>
      <w:r>
        <w:rPr>
          <w:b/>
          <w:bCs/>
        </w:rPr>
        <w:t xml:space="preserve">The engineering insight is that operator-MP alignment in MR design is necessary for strong SMS signals; merely enlarging the semantically feasible mutant pool dilutes the C1 proportion without lifting the kill rate.</w:t>
      </w:r>
      <w:r>
        <w:t xml:space="preserve"> </w:t>
      </w:r>
      <w:r>
        <w:t xml:space="preserve">Two questions follow for P4: can we use SMS to infer which MP class is missing for which PUT class, and can we calibrate LRCA so that the threshold separating true semantic faults from artefacts is class-specific?</w:t>
      </w:r>
    </w:p>
    <w:p>
      <w:pPr>
        <w:pStyle w:val="BodyText"/>
      </w:pPr>
      <w:r>
        <w:t xml:space="preserve">This decoupling motivates the caveat in §3.4. The v3 → v3b shift of +0.123 attributes to MR design reselection (single-class, post-hoc), and the v3b → v4 micro-change of −0.007 attributes to source diversity under a fixed prompt. The two contrasts cannot be merged into a single factor-decomposition ratio; each carries independent caveats and lives on a different axis of the methodology space.</w:t>
      </w:r>
    </w:p>
    <w:bookmarkEnd w:id="47"/>
    <w:bookmarkStart w:id="48" w:name="h4-partial-under-primary-exploratory-44"/>
    <w:p>
      <w:pPr>
        <w:pStyle w:val="Heading3"/>
      </w:pPr>
      <w:r>
        <w:t xml:space="preserve">6.3 H4 — partial under primary, exploratory 4/4</w:t>
      </w:r>
    </w:p>
    <w:p>
      <w:pPr>
        <w:pStyle w:val="FirstParagraph"/>
      </w:pPr>
      <w:r>
        <w:t xml:space="preserve">All four class means are positive in v3, v3b, v4. Inter-class balance improves under cross-source (c +91.4%†, d +38%†), confirming that c / d classes have higher mutant-diversity demand than a / b. Mixed-effects unavailability (Singular) is a sample-size constraint at N = 60 / 12 PUTs, not evidence absence.</w:t>
      </w:r>
      <w:r>
        <w:t xml:space="preserve"> </w:t>
      </w:r>
      <w:r>
        <w:rPr>
          <w:b/>
          <w:bCs/>
        </w:rPr>
        <w:t xml:space="preserve">H4 primary: partial (3/4).</w:t>
      </w:r>
      <w:r>
        <w:t xml:space="preserve"> </w:t>
      </w:r>
      <w:r>
        <w:t xml:space="preserve">v3b / v4 4/4† are sensitivity-only with §3.4 caveats. The Friedman main effect (chi^2 = 15.30, p = 0.0041) speaks to MP differentiation, not H4 direction.</w:t>
      </w:r>
    </w:p>
    <w:bookmarkEnd w:id="48"/>
    <w:bookmarkStart w:id="49" w:name="X921b370cea224fb38594cf9b7e3d77fedd05424"/>
    <w:p>
      <w:pPr>
        <w:pStyle w:val="Heading3"/>
      </w:pPr>
      <w:r>
        <w:t xml:space="preserve">6.4 Stakeholder analysis (single-output kernels scope)</w:t>
      </w:r>
    </w:p>
    <w:p>
      <w:pPr>
        <w:pStyle w:val="FirstParagraph"/>
      </w:pPr>
      <w:r>
        <w:rPr>
          <w:b/>
          <w:bCs/>
        </w:rPr>
        <w:t xml:space="preserve">Scope.</w:t>
      </w:r>
      <w:r>
        <w:t xml:space="preserve"> </w:t>
      </w:r>
      <w:r>
        <w:t xml:space="preserve">All deployment claims in this subsection are bounded to single-output</w:t>
      </w:r>
      <w:r>
        <w:t xml:space="preserve"> </w:t>
      </w:r>
      <w:r>
        <w:rPr>
          <w:rStyle w:val="VerbatimChar"/>
        </w:rPr>
        <w:t xml:space="preserve">float → float</w:t>
      </w:r>
      <w:r>
        <w:t xml:space="preserve"> </w:t>
      </w:r>
      <w:r>
        <w:t xml:space="preserve">kernels under 2 KB — the 12 PUTs of this paper. They do not apply to industrial-scale, multi-module, or multi-output scientific computing software, which lies in the P5 / P2-CN scope.</w:t>
      </w:r>
    </w:p>
    <w:p>
      <w:pPr>
        <w:pStyle w:val="BodyText"/>
      </w:pPr>
      <w:r>
        <w:rPr>
          <w:b/>
          <w:bCs/>
        </w:rPr>
        <w:t xml:space="preserve">Test engineers</w:t>
      </w:r>
      <w:r>
        <w:t xml:space="preserve"> </w:t>
      </w:r>
      <w:r>
        <w:t xml:space="preserve">can read SMS as a per-MR scalar adequacy score. When SMS sits well below the aligned baseline of about 0.275 (§5.3), the LRCA labels — C2 tolerance, C3 OOD, C4 statistical — point to specific repair paths. Air-gap incompatibility is a hard limitation: the workflow depends on external LLM API calls and is incompatible with most regulated air-gapped Verification and Validation (V&amp;V) environments (IEC 60880, DO-178C, IEC 62304, ISO 26262). Pre-generated mutant pools can be reproduced offline, but generating new mutant pools requires LLM access. Self-hosted open-weight LLMs and offline-cached pools are P5 mitigations. Appendix E.1 gives the full air-gap justification and the standards catalogue.</w:t>
      </w:r>
    </w:p>
    <w:p>
      <w:pPr>
        <w:pStyle w:val="BodyText"/>
      </w:pPr>
      <w:r>
        <w:rPr>
          <w:b/>
          <w:bCs/>
        </w:rPr>
        <w:t xml:space="preserve">MR designers</w:t>
      </w:r>
      <w:r>
        <w:t xml:space="preserve"> </w:t>
      </w:r>
      <w:r>
        <w:t xml:space="preserve">can use offline batch SMS runs as a quantifiable design-feedback metric. We recommend a quarterly batch audit (about 0.5 person-day per quarter; detailed cost breakdown in Appendix E.2; estimates based on observed timings during this paper’s 12-PUT campaign) rather than per-pull-request gating, because LLM API latency, cost non-determinism, and air-gap incompatibility together rule out the per-pull-request style. An earlier draft included a GitHub Actions per-PR YAML template; we removed it in revision because it hardcoded the v3b post-hoc selection into adopters’ pipelines. Appendix E.2 gives the quarterly-audit workflow with resource-cost table.</w:t>
      </w:r>
    </w:p>
    <w:p>
      <w:pPr>
        <w:pStyle w:val="BodyText"/>
      </w:pPr>
      <w:r>
        <w:rPr>
          <w:b/>
          <w:bCs/>
        </w:rPr>
        <w:t xml:space="preserve">V&amp;V documentation</w:t>
      </w:r>
      <w:r>
        <w:t xml:space="preserve"> </w:t>
      </w:r>
      <w:r>
        <w:t xml:space="preserve">can carry SMS as research-grade supplementary evidence alongside code coverage and MR lists. We make no normative claim toward IEC, ISO, or ASME standards. An earlier draft proposed acceptance thresholds (aligned-cell SMS ≥ 0.20 or 0.30 plus C1_share ≤ 0.20); we removed them in revision because they have no normative backing and could be misread as enforcement-ready. Appendix E.3 records the conceptual complementarity with the code-verification scope of ASME V&amp;V 20-2009 §3.</w:t>
      </w:r>
    </w:p>
    <w:p>
      <w:pPr>
        <w:pStyle w:val="BodyText"/>
      </w:pPr>
      <w:r>
        <w:t xml:space="preserve">All three stakeholder classes consume the same single source of truth (</w:t>
      </w:r>
      <w:r>
        <w:rPr>
          <w:rStyle w:val="VerbatimChar"/>
        </w:rPr>
        <w:t xml:space="preserve">paper_numbers_v4.json</w:t>
      </w:r>
      <w:r>
        <w:t xml:space="preserve"> </w:t>
      </w:r>
      <w:r>
        <w:t xml:space="preserve">and</w:t>
      </w:r>
      <w:r>
        <w:t xml:space="preserve"> </w:t>
      </w:r>
      <w:r>
        <w:rPr>
          <w:rStyle w:val="VerbatimChar"/>
        </w:rPr>
        <w:t xml:space="preserve">lrca_60cell_v4.json</w:t>
      </w:r>
      <w:r>
        <w:t xml:space="preserve">) to avoid documentation fragmentation.</w:t>
      </w:r>
    </w:p>
    <w:p>
      <w:r>
        <w:pict>
          <v:rect style="width:0;height:1.5pt" o:hralign="center" o:hrstd="t" o:hr="t"/>
        </w:pict>
      </w:r>
    </w:p>
    <w:bookmarkEnd w:id="49"/>
    <w:bookmarkEnd w:id="50"/>
    <w:bookmarkStart w:id="54" w:name="threats-to-validity"/>
    <w:p>
      <w:pPr>
        <w:pStyle w:val="Heading2"/>
      </w:pPr>
      <w:r>
        <w:t xml:space="preserve">7. Threats to Validity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Threat</w:t>
            </w:r>
          </w:p>
        </w:tc>
        <w:tc>
          <w:tcPr/>
          <w:p>
            <w:pPr>
              <w:pStyle w:val="Compact"/>
            </w:pPr>
            <w:r>
              <w:t xml:space="preserve">Class</w:t>
            </w:r>
          </w:p>
        </w:tc>
        <w:tc>
          <w:tcPr/>
          <w:p>
            <w:pPr>
              <w:pStyle w:val="Compact"/>
            </w:pPr>
            <w:r>
              <w:t xml:space="preserve">Mitigation summary</w:t>
            </w:r>
          </w:p>
        </w:tc>
        <w:tc>
          <w:tcPr/>
          <w:p>
            <w:pPr>
              <w:pStyle w:val="Compact"/>
            </w:pPr>
            <w:r>
              <w:t xml:space="preserve">Detail</w:t>
            </w:r>
          </w:p>
        </w:tc>
      </w:tr>
      <w:tr>
        <w:tc>
          <w:tcPr/>
          <w:p>
            <w:pPr>
              <w:pStyle w:val="Compact"/>
            </w:pPr>
            <w:r>
              <w:t xml:space="preserve">R1</w:t>
            </w:r>
          </w:p>
        </w:tc>
        <w:tc>
          <w:tcPr/>
          <w:p>
            <w:pPr>
              <w:pStyle w:val="Compact"/>
            </w:pPr>
            <w:r>
              <w:t xml:space="preserve">LLM generation reproducibility</w:t>
            </w:r>
          </w:p>
        </w:tc>
        <w:tc>
          <w:tcPr/>
          <w:p>
            <w:pPr>
              <w:pStyle w:val="Compact"/>
            </w:pPr>
            <w:r>
              <w:t xml:space="preserve">Internal</w:t>
            </w:r>
          </w:p>
        </w:tc>
        <w:tc>
          <w:tcPr/>
          <w:p>
            <w:pPr>
              <w:pStyle w:val="Compact"/>
            </w:pPr>
            <w:r>
              <w:t xml:space="preserve">Reproducibility package; identical prompt + seed → ≥ 90% pool overlap</w:t>
            </w:r>
          </w:p>
        </w:tc>
        <w:tc>
          <w:tcPr/>
          <w:p>
            <w:pPr>
              <w:pStyle w:val="Compact"/>
            </w:pPr>
            <w:r>
              <w:t xml:space="preserve">Appendix F.1</w:t>
            </w:r>
          </w:p>
        </w:tc>
      </w:tr>
      <w:tr>
        <w:tc>
          <w:tcPr/>
          <w:p>
            <w:pPr>
              <w:pStyle w:val="Compact"/>
            </w:pPr>
            <w:r>
              <w:t xml:space="preserve">R2</w:t>
            </w:r>
          </w:p>
        </w:tc>
        <w:tc>
          <w:tcPr/>
          <w:p>
            <w:pPr>
              <w:pStyle w:val="Compact"/>
            </w:pPr>
            <w:r>
              <w:t xml:space="preserve">E2 probabilistic approximation</w:t>
            </w:r>
          </w:p>
        </w:tc>
        <w:tc>
          <w:tcPr/>
          <w:p>
            <w:pPr>
              <w:pStyle w:val="Compact"/>
            </w:pPr>
            <w:r>
              <w:t xml:space="preserve">Construct</w:t>
            </w:r>
          </w:p>
        </w:tc>
        <w:tc>
          <w:tcPr/>
          <w:p>
            <w:pPr>
              <w:pStyle w:val="Compact"/>
            </w:pPr>
            <w:r>
              <w:t xml:space="preserve">K_eq = 1000 + Hoeffding bound; sweep deferred to P4</w:t>
            </w:r>
          </w:p>
        </w:tc>
        <w:tc>
          <w:tcPr/>
          <w:p>
            <w:pPr>
              <w:pStyle w:val="Compact"/>
            </w:pPr>
            <w:r>
              <w:t xml:space="preserve">Appendix F.1</w:t>
            </w:r>
          </w:p>
        </w:tc>
      </w:tr>
      <w:tr>
        <w:tc>
          <w:tcPr/>
          <w:p>
            <w:pPr>
              <w:pStyle w:val="Compact"/>
            </w:pPr>
            <w:r>
              <w:t xml:space="preserve">R3</w:t>
            </w:r>
          </w:p>
        </w:tc>
        <w:tc>
          <w:tcPr/>
          <w:p>
            <w:pPr>
              <w:pStyle w:val="Compact"/>
            </w:pPr>
            <w:r>
              <w:t xml:space="preserve">Circular dependency P1 ↔ P2</w:t>
            </w:r>
          </w:p>
        </w:tc>
        <w:tc>
          <w:tcPr/>
          <w:p>
            <w:pPr>
              <w:pStyle w:val="Compact"/>
            </w:pPr>
            <w:r>
              <w:t xml:space="preserve">Internal</w:t>
            </w:r>
          </w:p>
        </w:tc>
        <w:tc>
          <w:tcPr/>
          <w:p>
            <w:pPr>
              <w:pStyle w:val="Compact"/>
            </w:pPr>
            <w:r>
              <w:t xml:space="preserve">AVP version pinned to P1 commit hash; embedded source</w:t>
            </w:r>
          </w:p>
        </w:tc>
        <w:tc>
          <w:tcPr/>
          <w:p>
            <w:pPr>
              <w:pStyle w:val="Compact"/>
            </w:pPr>
            <w:r>
              <w:t xml:space="preserve">Appendix F.1</w:t>
            </w:r>
          </w:p>
        </w:tc>
      </w:tr>
      <w:tr>
        <w:tc>
          <w:tcPr/>
          <w:p>
            <w:pPr>
              <w:pStyle w:val="Compact"/>
            </w:pPr>
            <w:r>
              <w:t xml:space="preserve">R4</w:t>
            </w:r>
          </w:p>
        </w:tc>
        <w:tc>
          <w:tcPr/>
          <w:p>
            <w:pPr>
              <w:pStyle w:val="Compact"/>
            </w:pPr>
            <w:r>
              <w:t xml:space="preserve">LRCA multi-label boundary</w:t>
            </w:r>
          </w:p>
        </w:tc>
        <w:tc>
          <w:tcPr/>
          <w:p>
            <w:pPr>
              <w:pStyle w:val="Compact"/>
            </w:pPr>
            <w:r>
              <w:t xml:space="preserve">Internal</w:t>
            </w:r>
          </w:p>
        </w:tc>
        <w:tc>
          <w:tcPr/>
          <w:p>
            <w:pPr>
              <w:pStyle w:val="Compact"/>
            </w:pPr>
            <w:r>
              <w:t xml:space="preserve">Decision-tree priority + multi-label co-occurrence table</w:t>
            </w:r>
          </w:p>
        </w:tc>
        <w:tc>
          <w:tcPr/>
          <w:p>
            <w:pPr>
              <w:pStyle w:val="Compact"/>
            </w:pPr>
            <w:r>
              <w:t xml:space="preserve">Appendix F.1</w:t>
            </w:r>
          </w:p>
        </w:tc>
      </w:tr>
      <w:tr>
        <w:tc>
          <w:tcPr/>
          <w:p>
            <w:pPr>
              <w:pStyle w:val="Compact"/>
            </w:pPr>
            <w:r>
              <w:t xml:space="preserve">R5</w:t>
            </w:r>
          </w:p>
        </w:tc>
        <w:tc>
          <w:tcPr/>
          <w:p>
            <w:pPr>
              <w:pStyle w:val="Compact"/>
            </w:pPr>
            <w:r>
              <w:t xml:space="preserve">12-PUT representativeness</w:t>
            </w:r>
          </w:p>
        </w:tc>
        <w:tc>
          <w:tcPr/>
          <w:p>
            <w:pPr>
              <w:pStyle w:val="Compact"/>
            </w:pPr>
            <w:r>
              <w:t xml:space="preserve">External</w:t>
            </w:r>
          </w:p>
        </w:tc>
        <w:tc>
          <w:tcPr/>
          <w:p>
            <w:pPr>
              <w:pStyle w:val="Compact"/>
            </w:pPr>
            <w:r>
              <w:t xml:space="preserve">Inherits P1; Appendix B.1 coverage argument; P3 scaling</w:t>
            </w:r>
          </w:p>
        </w:tc>
        <w:tc>
          <w:tcPr/>
          <w:p>
            <w:pPr>
              <w:pStyle w:val="Compact"/>
            </w:pPr>
            <w:r>
              <w:t xml:space="preserve">Appendix F.2</w:t>
            </w:r>
          </w:p>
        </w:tc>
      </w:tr>
      <w:tr>
        <w:tc>
          <w:tcPr/>
          <w:p>
            <w:pPr>
              <w:pStyle w:val="Compact"/>
            </w:pPr>
            <w:r>
              <w:t xml:space="preserve">R6</w:t>
            </w:r>
          </w:p>
        </w:tc>
        <w:tc>
          <w:tcPr/>
          <w:p>
            <w:pPr>
              <w:pStyle w:val="Compact"/>
            </w:pPr>
            <w:r>
              <w:t xml:space="preserve">Cross-class statistical power</w:t>
            </w:r>
          </w:p>
        </w:tc>
        <w:tc>
          <w:tcPr/>
          <w:p>
            <w:pPr>
              <w:pStyle w:val="Compact"/>
            </w:pPr>
            <w:r>
              <w:t xml:space="preserve">Conclusion</w:t>
            </w:r>
          </w:p>
        </w:tc>
        <w:tc>
          <w:tcPr/>
          <w:p>
            <w:pPr>
              <w:pStyle w:val="Compact"/>
            </w:pPr>
            <w:r>
              <w:t xml:space="preserve">H4 framed exploratory; Friedman fallback; mixed-effects unavailable</w:t>
            </w:r>
          </w:p>
        </w:tc>
        <w:tc>
          <w:tcPr/>
          <w:p>
            <w:pPr>
              <w:pStyle w:val="Compact"/>
            </w:pPr>
            <w:r>
              <w:t xml:space="preserve">Appendix F.2</w:t>
            </w:r>
          </w:p>
        </w:tc>
      </w:tr>
      <w:tr>
        <w:tc>
          <w:tcPr/>
          <w:p>
            <w:pPr>
              <w:pStyle w:val="Compact"/>
            </w:pPr>
            <w:r>
              <w:t xml:space="preserve">R7</w:t>
            </w:r>
          </w:p>
        </w:tc>
        <w:tc>
          <w:tcPr/>
          <w:p>
            <w:pPr>
              <w:pStyle w:val="Compact"/>
            </w:pPr>
            <w:r>
              <w:t xml:space="preserve">LLM homogeneity bias</w:t>
            </w:r>
          </w:p>
        </w:tc>
        <w:tc>
          <w:tcPr/>
          <w:p>
            <w:pPr>
              <w:pStyle w:val="Compact"/>
            </w:pPr>
            <w:r>
              <w:t xml:space="preserve">Construct</w:t>
            </w:r>
          </w:p>
        </w:tc>
        <w:tc>
          <w:tcPr/>
          <w:p>
            <w:pPr>
              <w:pStyle w:val="Compact"/>
            </w:pPr>
            <w:r>
              <w:t xml:space="preserve">3-LLM rotation + 20% manual sampling</w:t>
            </w:r>
          </w:p>
        </w:tc>
        <w:tc>
          <w:tcPr/>
          <w:p>
            <w:pPr>
              <w:pStyle w:val="Compact"/>
            </w:pPr>
            <w:r>
              <w:t xml:space="preserve">Appendix F.2</w:t>
            </w:r>
          </w:p>
        </w:tc>
      </w:tr>
      <w:tr>
        <w:tc>
          <w:tcPr/>
          <w:p>
            <w:pPr>
              <w:pStyle w:val="Compact"/>
            </w:pPr>
            <w:r>
              <w:t xml:space="preserve">R8</w:t>
            </w:r>
          </w:p>
        </w:tc>
        <w:tc>
          <w:tcPr/>
          <w:p>
            <w:pPr>
              <w:pStyle w:val="Compact"/>
            </w:pPr>
            <w:r>
              <w:t xml:space="preserve">LLM-source distributional shift</w:t>
            </w:r>
          </w:p>
        </w:tc>
        <w:tc>
          <w:tcPr/>
          <w:p>
            <w:pPr>
              <w:pStyle w:val="Compact"/>
            </w:pPr>
            <w:r>
              <w:t xml:space="preserve">External</w:t>
            </w:r>
          </w:p>
        </w:tc>
        <w:tc>
          <w:tcPr/>
          <w:p>
            <w:pPr>
              <w:pStyle w:val="Compact"/>
            </w:pPr>
            <w:r>
              <w:t xml:space="preserve">DeepSeek 11/15 of overlaps; argument is categorical, not frequency</w:t>
            </w:r>
          </w:p>
        </w:tc>
        <w:tc>
          <w:tcPr/>
          <w:p>
            <w:pPr>
              <w:pStyle w:val="Compact"/>
            </w:pPr>
            <w:r>
              <w:t xml:space="preserve">Appendix F.2</w:t>
            </w:r>
          </w:p>
        </w:tc>
      </w:tr>
      <w:tr>
        <w:tc>
          <w:tcPr/>
          <w:p>
            <w:pPr>
              <w:pStyle w:val="Compact"/>
            </w:pPr>
            <w:r>
              <w:t xml:space="preserve">R9</w:t>
            </w:r>
          </w:p>
        </w:tc>
        <w:tc>
          <w:tcPr/>
          <w:p>
            <w:pPr>
              <w:pStyle w:val="Compact"/>
            </w:pPr>
            <w:r>
              <w:t xml:space="preserve">Mutant-pool size</w:t>
            </w:r>
          </w:p>
        </w:tc>
        <w:tc>
          <w:tcPr/>
          <w:p>
            <w:pPr>
              <w:pStyle w:val="Compact"/>
            </w:pPr>
            <w:r>
              <w:t xml:space="preserve">Internal</w:t>
            </w:r>
          </w:p>
        </w:tc>
        <w:tc>
          <w:tcPr/>
          <w:p>
            <w:pPr>
              <w:pStyle w:val="Compact"/>
            </w:pPr>
            <w:r>
              <w:t xml:space="preserve">Pool expanded to 17.4 mean; effect intrinsic, not pool-dilution</w:t>
            </w:r>
          </w:p>
        </w:tc>
        <w:tc>
          <w:tcPr/>
          <w:p>
            <w:pPr>
              <w:pStyle w:val="Compact"/>
            </w:pPr>
            <w:r>
              <w:t xml:space="preserve">Appendix F.1</w:t>
            </w:r>
          </w:p>
        </w:tc>
      </w:tr>
      <w:tr>
        <w:tc>
          <w:tcPr/>
          <w:p>
            <w:pPr>
              <w:pStyle w:val="Compact"/>
            </w:pPr>
            <w:r>
              <w:t xml:space="preserve">R10</w:t>
            </w:r>
          </w:p>
        </w:tc>
        <w:tc>
          <w:tcPr/>
          <w:p>
            <w:pPr>
              <w:pStyle w:val="Compact"/>
            </w:pPr>
            <w:r>
              <w:t xml:space="preserve">LLM non-determinism</w:t>
            </w:r>
          </w:p>
        </w:tc>
        <w:tc>
          <w:tcPr/>
          <w:p>
            <w:pPr>
              <w:pStyle w:val="Compact"/>
            </w:pPr>
            <w:r>
              <w:t xml:space="preserve">Internal</w:t>
            </w:r>
          </w:p>
        </w:tc>
        <w:tc>
          <w:tcPr/>
          <w:p>
            <w:pPr>
              <w:pStyle w:val="Compact"/>
            </w:pPr>
            <w:r>
              <w:t xml:space="preserve">De-dup, K = 10/20 repeats, raw-response store</w:t>
            </w:r>
          </w:p>
        </w:tc>
        <w:tc>
          <w:tcPr/>
          <w:p>
            <w:pPr>
              <w:pStyle w:val="Compact"/>
            </w:pPr>
            <w:r>
              <w:t xml:space="preserve">Appendix F.1</w:t>
            </w:r>
          </w:p>
        </w:tc>
      </w:tr>
      <w:tr>
        <w:tc>
          <w:tcPr/>
          <w:p>
            <w:pPr>
              <w:pStyle w:val="Compact"/>
            </w:pPr>
            <w:r>
              <w:t xml:space="preserve">R11</w:t>
            </w:r>
          </w:p>
        </w:tc>
        <w:tc>
          <w:tcPr/>
          <w:p>
            <w:pPr>
              <w:pStyle w:val="Compact"/>
            </w:pPr>
            <w:r>
              <w:t xml:space="preserve">Selection-on-response chained-conditioning</w:t>
            </w:r>
          </w:p>
        </w:tc>
        <w:tc>
          <w:tcPr/>
          <w:p>
            <w:pPr>
              <w:pStyle w:val="Compact"/>
            </w:pPr>
            <w:r>
              <w:t xml:space="preserve">Internal</w:t>
            </w:r>
          </w:p>
        </w:tc>
        <w:tc>
          <w:tcPr/>
          <w:p>
            <w:pPr>
              <w:pStyle w:val="Compact"/>
            </w:pPr>
            <w:r>
              <w:t xml:space="preserve">All v3b / v4 sign tests downgraded to exploratory; permutation + Bonferroni × 5</w:t>
            </w:r>
          </w:p>
        </w:tc>
        <w:tc>
          <w:tcPr/>
          <w:p>
            <w:pPr>
              <w:pStyle w:val="Compact"/>
            </w:pPr>
            <w:r>
              <w:t xml:space="preserve">Appendix F.1</w:t>
            </w:r>
          </w:p>
        </w:tc>
      </w:tr>
      <w:tr>
        <w:tc>
          <w:tcPr/>
          <w:p>
            <w:pPr>
              <w:pStyle w:val="Compact"/>
            </w:pPr>
            <w:r>
              <w:t xml:space="preserve">R12</w:t>
            </w:r>
          </w:p>
        </w:tc>
        <w:tc>
          <w:tcPr/>
          <w:p>
            <w:pPr>
              <w:pStyle w:val="Compact"/>
            </w:pPr>
            <w:r>
              <w:t xml:space="preserve">HOM equivalence</w:t>
            </w:r>
          </w:p>
        </w:tc>
        <w:tc>
          <w:tcPr/>
          <w:p>
            <w:pPr>
              <w:pStyle w:val="Compact"/>
            </w:pPr>
            <w:r>
              <w:t xml:space="preserve">External</w:t>
            </w:r>
          </w:p>
        </w:tc>
        <w:tc>
          <w:tcPr/>
          <w:p>
            <w:pPr>
              <w:pStyle w:val="Compact"/>
            </w:pPr>
            <w:r>
              <w:t xml:space="preserve">Confined claim to first-order syntactic tools; HOM testing in P4</w:t>
            </w:r>
          </w:p>
        </w:tc>
        <w:tc>
          <w:tcPr/>
          <w:p>
            <w:pPr>
              <w:pStyle w:val="Compact"/>
            </w:pPr>
            <w:r>
              <w:t xml:space="preserve">Appendix F.2</w:t>
            </w:r>
          </w:p>
        </w:tc>
      </w:tr>
      <w:tr>
        <w:tc>
          <w:tcPr/>
          <w:p>
            <w:pPr>
              <w:pStyle w:val="Compact"/>
            </w:pPr>
            <w:r>
              <w:t xml:space="preserve">R13</w:t>
            </w:r>
          </w:p>
        </w:tc>
        <w:tc>
          <w:tcPr/>
          <w:p>
            <w:pPr>
              <w:pStyle w:val="Compact"/>
            </w:pPr>
            <w:r>
              <w:t xml:space="preserve">v3 / v3b vs v4 protocol asymmetry</w:t>
            </w:r>
          </w:p>
        </w:tc>
        <w:tc>
          <w:tcPr/>
          <w:p>
            <w:pPr>
              <w:pStyle w:val="Compact"/>
            </w:pPr>
            <w:r>
              <w:t xml:space="preserve">Internal</w:t>
            </w:r>
          </w:p>
        </w:tc>
        <w:tc>
          <w:tcPr/>
          <w:p>
            <w:pPr>
              <w:pStyle w:val="Compact"/>
            </w:pPr>
            <w:r>
              <w:t xml:space="preserve">Quality not down (C1_share 0.164 → 0.209); P4 to rerun dual-blind on v4</w:t>
            </w:r>
          </w:p>
        </w:tc>
        <w:tc>
          <w:tcPr/>
          <w:p>
            <w:pPr>
              <w:pStyle w:val="Compact"/>
            </w:pPr>
            <w:r>
              <w:t xml:space="preserve">Appendix F.1</w:t>
            </w:r>
          </w:p>
        </w:tc>
      </w:tr>
    </w:tbl>
    <w:p>
      <w:pPr>
        <w:pStyle w:val="BodyText"/>
      </w:pPr>
      <w:r>
        <w:rPr>
          <w:b/>
          <w:bCs/>
        </w:rPr>
        <w:t xml:space="preserve">Final limitations.</w:t>
      </w:r>
      <w:r>
        <w:t xml:space="preserve"> </w:t>
      </w:r>
      <w:r>
        <w:t xml:space="preserve">We list eight known limitations.</w:t>
      </w:r>
    </w:p>
    <w:p>
      <w:pPr>
        <w:numPr>
          <w:ilvl w:val="0"/>
          <w:numId w:val="1016"/>
        </w:numPr>
      </w:pPr>
      <w:r>
        <w:rPr>
          <w:b/>
          <w:bCs/>
        </w:rPr>
        <w:t xml:space="preserve">Equivalence determination is a probabilistic approximation.</w:t>
      </w:r>
      <w:r>
        <w:t xml:space="preserve"> </w:t>
      </w:r>
      <w:r>
        <w:t xml:space="preserve">Sampling K_eq = 1000 inputs is an engineering implementation of the undecidable equivalence problem, not a theorem-based decision. We give a Hoeffding-style upper bound on the false-equivalence probability in §2.3, but we did not execute a K_eq sweep over {500, 1000, 2000} for this submission. P4 will run that sweep.</w:t>
      </w:r>
    </w:p>
    <w:p>
      <w:pPr>
        <w:numPr>
          <w:ilvl w:val="0"/>
          <w:numId w:val="1016"/>
        </w:numPr>
      </w:pPr>
      <w:r>
        <w:rPr>
          <w:b/>
          <w:bCs/>
        </w:rPr>
        <w:t xml:space="preserve">LLM generation homogeneity bias.</w:t>
      </w:r>
      <w:r>
        <w:t xml:space="preserve"> </w:t>
      </w:r>
      <w:r>
        <w:t xml:space="preserve">Even with three-LLM cross-source pooling, training-data overlap across Claude, GPT, and DeepSeek may produce similar blind spots. Three-LLM rotation and 20% manual sampling reduce but do not eliminate this risk. Future work should add a fourth, independently-trained LLM family — a self-hosted open-weight model is the natural candidate.</w:t>
      </w:r>
    </w:p>
    <w:p>
      <w:pPr>
        <w:numPr>
          <w:ilvl w:val="0"/>
          <w:numId w:val="1016"/>
        </w:numPr>
      </w:pPr>
      <w:r>
        <w:rPr>
          <w:b/>
          <w:bCs/>
        </w:rPr>
        <w:t xml:space="preserve">Limited statistical power for cross-class consistency.</w:t>
      </w:r>
      <w:r>
        <w:t xml:space="preserve"> </w:t>
      </w:r>
      <w:r>
        <w:t xml:space="preserve">The four-class sign test has df = 3, and the mixed-effects model returns Singular matrix at N = 60 over 12 PUTs. We treat H4 as exploratory and present RQ3 in four pieces: class means, sign test, Friedman, and a forest plot.</w:t>
      </w:r>
    </w:p>
    <w:p>
      <w:pPr>
        <w:numPr>
          <w:ilvl w:val="0"/>
          <w:numId w:val="1016"/>
        </w:numPr>
      </w:pPr>
      <w:r>
        <w:rPr>
          <w:b/>
          <w:bCs/>
        </w:rPr>
        <w:t xml:space="preserve">LRCA reports</w:t>
      </w:r>
      <w:r>
        <w:rPr>
          <w:b/>
          <w:bCs/>
        </w:rPr>
        <w:t xml:space="preserve"> </w:t>
      </w:r>
      <w:r>
        <w:rPr>
          <w:b/>
          <w:bCs/>
        </w:rPr>
        <w:t xml:space="preserve">“likely”</w:t>
      </w:r>
      <w:r>
        <w:rPr>
          <w:b/>
          <w:bCs/>
        </w:rPr>
        <w:t xml:space="preserve"> </w:t>
      </w:r>
      <w:r>
        <w:rPr>
          <w:b/>
          <w:bCs/>
        </w:rPr>
        <w:t xml:space="preserve">root causes.</w:t>
      </w:r>
      <w:r>
        <w:t xml:space="preserve"> </w:t>
      </w:r>
      <w:r>
        <w:t xml:space="preserve">The decision-tree priority C5 &gt; C4 &gt; C3 &gt; C2 &gt; C1 is an engineering choice. The reproducibility package preserves the multi-label co-occurrence table for every killed mutant, not only the priority-winning root cause;</w:t>
      </w:r>
      <w:r>
        <w:t xml:space="preserve"> </w:t>
      </w:r>
      <w:r>
        <w:rPr>
          <w:rStyle w:val="VerbatimChar"/>
        </w:rPr>
        <w:t xml:space="preserve">root_cause</w:t>
      </w:r>
      <w:r>
        <w:t xml:space="preserve"> </w:t>
      </w:r>
      <w:r>
        <w:t xml:space="preserve">is best read as a likely cause rather than a definitive causal attribution.</w:t>
      </w:r>
    </w:p>
    <w:p>
      <w:pPr>
        <w:numPr>
          <w:ilvl w:val="0"/>
          <w:numId w:val="1016"/>
        </w:numPr>
      </w:pPr>
      <w:r>
        <w:rPr>
          <w:b/>
          <w:bCs/>
        </w:rPr>
        <w:t xml:space="preserve">The AVP is reused from P1.</w:t>
      </w:r>
      <w:r>
        <w:t xml:space="preserve"> </w:t>
      </w:r>
      <w:r>
        <w:t xml:space="preserve">The P2 reproducibility package embeds the AVP source code so that P2 stays self-consistent under P1 evolution, but interface semantics may shift if P1 undergoes a major revision.</w:t>
      </w:r>
    </w:p>
    <w:p>
      <w:pPr>
        <w:numPr>
          <w:ilvl w:val="0"/>
          <w:numId w:val="1016"/>
        </w:numPr>
      </w:pPr>
      <w:r>
        <w:rPr>
          <w:b/>
          <w:bCs/>
        </w:rPr>
        <w:t xml:space="preserve">Epistemological scope versus engineering scope.</w:t>
      </w:r>
      <w:r>
        <w:t xml:space="preserve"> </w:t>
      </w:r>
      <w:r>
        <w:t xml:space="preserve">SMS measures semantic detection capability in the epistemological sense; engineering value is the specific subject of P2-CN and P5.</w:t>
      </w:r>
    </w:p>
    <w:p>
      <w:pPr>
        <w:numPr>
          <w:ilvl w:val="0"/>
          <w:numId w:val="1016"/>
        </w:numPr>
      </w:pPr>
      <w:r>
        <w:rPr>
          <w:b/>
          <w:bCs/>
        </w:rPr>
        <w:t xml:space="preserve">Signature simplification.</w:t>
      </w:r>
      <w:r>
        <w:t xml:space="preserve"> </w:t>
      </w:r>
      <w:r>
        <w:t xml:space="preserve">The</w:t>
      </w:r>
      <w:r>
        <w:t xml:space="preserve"> </w:t>
      </w:r>
      <w:r>
        <w:rPr>
          <w:rStyle w:val="VerbatimChar"/>
        </w:rPr>
        <w:t xml:space="preserve">float → float</w:t>
      </w:r>
      <w:r>
        <w:t xml:space="preserve"> </w:t>
      </w:r>
      <w:r>
        <w:t xml:space="preserve">single-output signature is a substantive constraint, not a purely engineering trade-off, and it bounds the upper limit of mutant semantic complexity. P3 and P5 will validate SMS portability on industrial-grade multi-output PUTs.</w:t>
      </w:r>
    </w:p>
    <w:p>
      <w:pPr>
        <w:numPr>
          <w:ilvl w:val="0"/>
          <w:numId w:val="1016"/>
        </w:numPr>
      </w:pPr>
      <w:r>
        <w:rPr>
          <w:b/>
          <w:bCs/>
        </w:rPr>
        <w:t xml:space="preserve">Air-gap incompatibility.</w:t>
      </w:r>
      <w:r>
        <w:t xml:space="preserve"> </w:t>
      </w:r>
      <w:r>
        <w:t xml:space="preserve">The mutant-generation workflow calls external LLM APIs and is incompatible with most regulated air-gapped V&amp;V environments (IEC 60880, DO-178C, IEC 62304, ISO 26262). Pre-generated mutant pools can be reproduced offline, but generating new pools requires LLM access. Self-hosted open-weight LLMs and offline-cached pools are P5 mitigations.</w:t>
      </w:r>
    </w:p>
    <w:bookmarkStart w:id="51" w:name="X03c897787b980878c3b855be352d50f7e85714e"/>
    <w:p>
      <w:pPr>
        <w:pStyle w:val="Heading3"/>
      </w:pPr>
      <w:r>
        <w:t xml:space="preserve">7.X Statistical-modelling capacity at N = 60 cells / 12 PUTs</w:t>
      </w:r>
    </w:p>
    <w:p>
      <w:pPr>
        <w:pStyle w:val="FirstParagraph"/>
      </w:pPr>
      <w:r>
        <w:t xml:space="preserve">The mixed-effects primary model</w:t>
      </w:r>
      <w:r>
        <w:t xml:space="preserve"> </w:t>
      </w:r>
      <w:r>
        <w:rPr>
          <w:rStyle w:val="VerbatimChar"/>
        </w:rPr>
        <w:t xml:space="preserve">sms ~ C(class) * C(operator) + (1 | put)</w:t>
      </w:r>
      <w:r>
        <w:t xml:space="preserve"> </w:t>
      </w:r>
      <w:r>
        <w:t xml:space="preserve">returned a Singular matrix at N = 60; the fallback</w:t>
      </w:r>
      <w:r>
        <w:t xml:space="preserve"> </w:t>
      </w:r>
      <w:r>
        <w:rPr>
          <w:rStyle w:val="VerbatimChar"/>
        </w:rPr>
        <w:t xml:space="preserve">sms ~ C(class) + C(operator) + (1 | put)</w:t>
      </w:r>
      <w:r>
        <w:t xml:space="preserve"> </w:t>
      </w:r>
      <w:r>
        <w:t xml:space="preserve">had the PUT random-intercept variance hit boundary 0 (degenerate). Both failures are not numerical accidents; rather, they are evidence that 60 observations across 12 PUTs cannot identify an 11-dimensional fixed-effects structure plus 12-PUT random intercepts. This is a hard limit of the present design:</w:t>
      </w:r>
      <w:r>
        <w:t xml:space="preserve"> </w:t>
      </w:r>
      <w:r>
        <w:rPr>
          <w:b/>
          <w:bCs/>
        </w:rPr>
        <w:t xml:space="preserve">the experiment cannot, in principle, fit a hierarchical model with this fixed-effect dimensionality at this sample size</w:t>
      </w:r>
      <w:r>
        <w:t xml:space="preserve">. Friedman tests serve as the non-parametric formal alternative, but they answer a structurally different question. P4’s expansion to n_PUT ≥ 30 is the only path to a properly identified hierarchical model.</w:t>
      </w:r>
    </w:p>
    <w:bookmarkEnd w:id="51"/>
    <w:bookmarkStart w:id="52" w:name="X8fd09521a46742b286a710b87ac81ec9cb6febd"/>
    <w:p>
      <w:pPr>
        <w:pStyle w:val="Heading3"/>
      </w:pPr>
      <w:r>
        <w:t xml:space="preserve">7.Y PUT-level zero-mass cohort (3 of 12 PUTs)</w:t>
      </w:r>
    </w:p>
    <w:p>
      <w:pPr>
        <w:pStyle w:val="FirstParagraph"/>
      </w:pPr>
      <w:r>
        <w:t xml:space="preserve">Figure 2 and §6.2 document that PUTs A1, B1, and D2 produce all-zero rows across the five MPs in the v4 cross-source pool; that is,</w:t>
      </w:r>
      <w:r>
        <w:t xml:space="preserve"> </w:t>
      </w:r>
      <w:r>
        <w:rPr>
          <w:b/>
          <w:bCs/>
        </w:rPr>
        <w:t xml:space="preserve">for 25% of the PUTs, SMS gives zero signal at every operator-MP cell</w:t>
      </w:r>
      <w:r>
        <w:t xml:space="preserve">. This is a substantive limitation of SMS as an adequacy metric on this PUT cohort: when the LRCA C1 mass collapses to zero across all aligned and cross slices for a PUT, SMS cannot distinguish strong from weak MR sets on that PUT. The phenomenon coexists with R_sem ≈ 1.0 (mutants are valid; §6.2), so the issue is not mutant generation but MR-design adequacy at the PUT level. P4’s MR-design refinement (per-PUT MP discovery) and the proposed P4-pre-registered c-class primary-MP rule on a fresh dataset are the principal mitigation paths. We declare this as residual threat R14.</w:t>
      </w:r>
    </w:p>
    <w:bookmarkEnd w:id="52"/>
    <w:bookmarkStart w:id="53" w:name="X51dbfe5c1961cc2bad803587c14089c0e6d3ed7"/>
    <w:p>
      <w:pPr>
        <w:pStyle w:val="Heading3"/>
      </w:pPr>
      <w:r>
        <w:t xml:space="preserve">7.Z R13 protocol-asymmetry magnitude estimate</w:t>
      </w:r>
    </w:p>
    <w:p>
      <w:pPr>
        <w:pStyle w:val="FirstParagraph"/>
      </w:pPr>
      <w:r>
        <w:t xml:space="preserve">§4.2 declared protocol asymmetry R13: v3 / v3b used the Phase-1 dual-blind reviewer protocol (Claude generation + GPT-5.4 review + DeepSeek arbitration), while v4 (both v4-mp1 and v4-mp5) passes V1-V4 mechanical gates only. To quantify the potential δ-shift attributable to this asymmetry without dual-blind, we offer a</w:t>
      </w:r>
      <w:r>
        <w:t xml:space="preserve"> </w:t>
      </w:r>
      <w:r>
        <w:rPr>
          <w:b/>
          <w:bCs/>
        </w:rPr>
        <w:t xml:space="preserve">rough order-of-magnitude estimate</w:t>
      </w:r>
      <w:r>
        <w:t xml:space="preserve">: in the Phase-1 audit, dual-blind review filtered approximately 5-10% of LLM-generated mutants as semantically inconsistent; if these filtered mutants were systematically less effective at killing under MR_aligned (a plausible but unverified premise), the upper-bound δ-shift contribution from removing the reviewer step is bounded above by approximately</w:t>
      </w:r>
      <w:r>
        <w:t xml:space="preserve"> </w:t>
      </w:r>
      <w:r>
        <w:rPr>
          <w:b/>
          <w:bCs/>
        </w:rPr>
        <w:t xml:space="preserve">±0.03 to ±0.05 on Cliff’s δ</w:t>
      </w:r>
      <w:r>
        <w:t xml:space="preserve"> </w:t>
      </w:r>
      <w:r>
        <w:t xml:space="preserve">at n_aligned = 12. This bound is comparable in magnitude to but smaller than the +0.12 MR-design axis shift and an order of magnitude larger than the −0.009 source-axis shift. The bound therefore does not change the conclusion direction, but a direct dual-blind v4 rerun (P4 commitment) would give a tighter quantification.</w:t>
      </w:r>
    </w:p>
    <w:p>
      <w:r>
        <w:pict>
          <v:rect style="width:0;height:1.5pt" o:hralign="center" o:hrstd="t" o:hr="t"/>
        </w:pict>
      </w:r>
    </w:p>
    <w:bookmarkEnd w:id="53"/>
    <w:bookmarkEnd w:id="54"/>
    <w:bookmarkStart w:id="58" w:name="conclusion"/>
    <w:p>
      <w:pPr>
        <w:pStyle w:val="Heading2"/>
      </w:pPr>
      <w:r>
        <w:t xml:space="preserve">8. Conclusion</w:t>
      </w:r>
    </w:p>
    <w:bookmarkStart w:id="55" w:name="findings-summary"/>
    <w:p>
      <w:pPr>
        <w:pStyle w:val="Heading3"/>
      </w:pPr>
      <w:r>
        <w:t xml:space="preserve">8.1 Findings summary</w:t>
      </w:r>
    </w:p>
    <w:p>
      <w:pPr>
        <w:pStyle w:val="FirstParagraph"/>
      </w:pPr>
      <w:r>
        <w:t xml:space="preserve">The 60-cell empirical demonstration produces six findings.</w:t>
      </w:r>
    </w:p>
    <w:p>
      <w:pPr>
        <w:numPr>
          <w:ilvl w:val="0"/>
          <w:numId w:val="1017"/>
        </w:numPr>
      </w:pPr>
      <w:r>
        <w:t xml:space="preserve">The H2 large-effect threshold is</w:t>
      </w:r>
      <w:r>
        <w:t xml:space="preserve"> </w:t>
      </w:r>
      <w:r>
        <w:rPr>
          <w:b/>
          <w:bCs/>
        </w:rPr>
        <w:t xml:space="preserve">not met under the pre-registered point-estimate criterion</w:t>
      </w:r>
      <w:r>
        <w:t xml:space="preserve"> </w:t>
      </w:r>
      <w:r>
        <w:t xml:space="preserve">(δ = 0.323 in primary v3); the 49.1% stipulated power at the boundary clarifies that</w:t>
      </w:r>
      <w:r>
        <w:t xml:space="preserve"> </w:t>
      </w:r>
      <w:r>
        <w:t xml:space="preserve">“not met”</w:t>
      </w:r>
      <w:r>
        <w:t xml:space="preserve"> </w:t>
      </w:r>
      <w:r>
        <w:t xml:space="preserve">is a statement about the point estimate, not the effect size.</w:t>
      </w:r>
    </w:p>
    <w:p>
      <w:pPr>
        <w:numPr>
          <w:ilvl w:val="0"/>
          <w:numId w:val="1017"/>
        </w:numPr>
      </w:pPr>
      <w:r>
        <w:t xml:space="preserve">Under an identical prompt, three-LLM cross-source diversity does not move δ (Δδ = −0.007, 95% CI covers zero).</w:t>
      </w:r>
    </w:p>
    <w:p>
      <w:pPr>
        <w:numPr>
          <w:ilvl w:val="0"/>
          <w:numId w:val="1017"/>
        </w:numPr>
      </w:pPr>
      <w:r>
        <w:t xml:space="preserve">Across two c-class primary-MP conditions (MP5 and MP1), the LLM-source axis shifts Cliff’s δ by ≤ 0.01 in magnitude (v3 → v4_mp5 = −0.009; v3b → v4 = −0.007), whereas the MR-design axis (MP5 ↔ MP1) shifts δ by approximately +0.12. Within this design, the c-class primary-MP choice, not LLM identity under an identical prompt, is the lever on the aligned-vs-cross effect size. A strong-sense source-diversity test with per-LLM differential prompts is deferred to P4.</w:t>
      </w:r>
    </w:p>
    <w:p>
      <w:pPr>
        <w:numPr>
          <w:ilvl w:val="0"/>
          <w:numId w:val="1017"/>
        </w:numPr>
      </w:pPr>
      <w:r>
        <w:t xml:space="preserve">Cross-source pooling raises mutant</w:t>
      </w:r>
      <w:r>
        <w:t xml:space="preserve"> </w:t>
      </w:r>
      <w:r>
        <w:rPr>
          <w:i/>
          <w:iCs/>
        </w:rPr>
        <w:t xml:space="preserve">quality</w:t>
      </w:r>
      <w:r>
        <w:t xml:space="preserve"> </w:t>
      </w:r>
      <w:r>
        <w:t xml:space="preserve">(mean C1_share +27%, class-c mean SMS +91.4%†) without raising the effect size. († class-c +91.4% is conditional on the §3.4 v3b MP1 selection; permutation null one-sided p = 0.9885.)</w:t>
      </w:r>
    </w:p>
    <w:p>
      <w:pPr>
        <w:numPr>
          <w:ilvl w:val="0"/>
          <w:numId w:val="1017"/>
        </w:numPr>
      </w:pPr>
      <w:r>
        <w:t xml:space="preserve">The Friedman main effect on MP differentiation is χ² = 15.30, p = 0.0041.</w:t>
      </w:r>
    </w:p>
    <w:p>
      <w:pPr>
        <w:numPr>
          <w:ilvl w:val="0"/>
          <w:numId w:val="1017"/>
        </w:numPr>
      </w:pPr>
      <w:r>
        <w:t xml:space="preserve">The Spearman correlation between SMS and Pattern Coverage is 0.163 at n = 12. Orthogonality is a hypothesis, not a finding.</w:t>
      </w:r>
    </w:p>
    <w:bookmarkEnd w:id="55"/>
    <w:bookmarkStart w:id="56" w:name="methodological-contributions"/>
    <w:p>
      <w:pPr>
        <w:pStyle w:val="Heading3"/>
      </w:pPr>
      <w:r>
        <w:t xml:space="preserve">8.2 Methodological contributions</w:t>
      </w:r>
    </w:p>
    <w:p>
      <w:pPr>
        <w:pStyle w:val="FirstParagraph"/>
      </w:pPr>
      <w:r>
        <w:t xml:space="preserve">This paper contributes a three-layer framework for domain-semantic mutation in single-output scientific computing kernels.</w:t>
      </w:r>
    </w:p>
    <w:p>
      <w:pPr>
        <w:pStyle w:val="Compact"/>
        <w:numPr>
          <w:ilvl w:val="0"/>
          <w:numId w:val="1018"/>
        </w:numPr>
      </w:pPr>
      <w:r>
        <w:rPr>
          <w:b/>
          <w:bCs/>
        </w:rPr>
        <w:t xml:space="preserve">Layer 1 (§3.2).</w:t>
      </w:r>
      <w:r>
        <w:t xml:space="preserve"> </w:t>
      </w:r>
      <w:r>
        <w:t xml:space="preserve">Formal necessary conditions for semantic mutation — cross-function-boundary substitution, dependence on domain knowledge, change in algorithmic class — instantiated as five meta-operator classes: CE, OS, HP, TF, and SI (also written mut_C, mut_M, mut_G, mut_T, mut_F).</w:t>
      </w:r>
    </w:p>
    <w:p>
      <w:pPr>
        <w:pStyle w:val="Compact"/>
        <w:numPr>
          <w:ilvl w:val="0"/>
          <w:numId w:val="1018"/>
        </w:numPr>
      </w:pPr>
      <w:r>
        <w:rPr>
          <w:b/>
          <w:bCs/>
        </w:rPr>
        <w:t xml:space="preserve">Layer 2 (§2.3).</w:t>
      </w:r>
      <w:r>
        <w:t xml:space="preserve"> </w:t>
      </w:r>
      <w:r>
        <w:t xml:space="preserve">The E1 ∧ E2 equivalence judgement, the conservative complete instantiation of the Layer-1 conditions, with an explicit trade-off against E1-alone and E2-alone variants.</w:t>
      </w:r>
    </w:p>
    <w:p>
      <w:pPr>
        <w:pStyle w:val="Compact"/>
        <w:numPr>
          <w:ilvl w:val="0"/>
          <w:numId w:val="1018"/>
        </w:numPr>
      </w:pPr>
      <w:r>
        <w:rPr>
          <w:b/>
          <w:bCs/>
        </w:rPr>
        <w:t xml:space="preserve">Layer 3 (§3.5).</w:t>
      </w:r>
      <w:r>
        <w:t xml:space="preserve"> </w:t>
      </w:r>
      <w:r>
        <w:t xml:space="preserve">AST-normalised empirical traceability across all 12 PUTs: a 5.14% overall AST overlap with cosmic-ray defaults, and HP, SI, and TF unreachable at 0/0/0 under default first-order configurations (HOM not refuted; see §3.6(ii)).</w:t>
      </w:r>
    </w:p>
    <w:p>
      <w:pPr>
        <w:pStyle w:val="FirstParagraph"/>
      </w:pPr>
      <w:r>
        <w:t xml:space="preserve">SMS is backward-compatible with the classical MS through §2.6 Theorem 9.1, which establishes almost-everywhere degeneration in the limit</w:t>
      </w:r>
      <w:r>
        <w:t xml:space="preserve"> </w:t>
      </w:r>
      <w:r>
        <w:rPr>
          <w:rStyle w:val="VerbatimChar"/>
        </w:rPr>
        <w:t xml:space="preserve">L = L_equiv ∧ L_killed ∧ L_mut</w:t>
      </w:r>
      <w:r>
        <w:t xml:space="preserve">. The 60-cell empirical audit reported in §5 is one demonstration following this backbone, not the paper’s main contribution.</w:t>
      </w:r>
    </w:p>
    <w:bookmarkEnd w:id="56"/>
    <w:bookmarkStart w:id="57" w:name="future-work-and-p-series-roadmap"/>
    <w:p>
      <w:pPr>
        <w:pStyle w:val="Heading3"/>
      </w:pPr>
      <w:r>
        <w:t xml:space="preserve">8.3 Future work and P-series roadmap</w:t>
      </w:r>
    </w:p>
    <w:p>
      <w:pPr>
        <w:pStyle w:val="FirstParagraph"/>
      </w:pPr>
      <w:r>
        <w:t xml:space="preserve">We commit six P4 follow-ups.</w:t>
      </w:r>
    </w:p>
    <w:p>
      <w:pPr>
        <w:numPr>
          <w:ilvl w:val="0"/>
          <w:numId w:val="1019"/>
        </w:numPr>
      </w:pPr>
      <w:r>
        <w:t xml:space="preserve">A pre-registered c-class primary-MP rule on a fresh dataset.</w:t>
      </w:r>
    </w:p>
    <w:p>
      <w:pPr>
        <w:numPr>
          <w:ilvl w:val="0"/>
          <w:numId w:val="1019"/>
        </w:numPr>
      </w:pPr>
      <w:r>
        <w:t xml:space="preserve">A differential-prompt LLM-diversity test using V_canonical, V_persona, and V_cot (full protocol in Appendix C.1.1).</w:t>
      </w:r>
    </w:p>
    <w:p>
      <w:pPr>
        <w:numPr>
          <w:ilvl w:val="0"/>
          <w:numId w:val="1019"/>
        </w:numPr>
      </w:pPr>
      <w:r>
        <w:t xml:space="preserve">A scaling study at n ≥ 30 PUTs for SMS-vs-Pattern-Coverage orthogonality and for HOM-equivalence empirics.</w:t>
      </w:r>
    </w:p>
    <w:p>
      <w:pPr>
        <w:numPr>
          <w:ilvl w:val="0"/>
          <w:numId w:val="1019"/>
        </w:numPr>
      </w:pPr>
      <w:r>
        <w:t xml:space="preserve">A rerun of the dual-blind reviewer protocol on the full v4 grid, to separate protocol asymmetry (R13) from source diversity.</w:t>
      </w:r>
    </w:p>
    <w:p>
      <w:pPr>
        <w:numPr>
          <w:ilvl w:val="0"/>
          <w:numId w:val="1019"/>
        </w:numPr>
      </w:pPr>
      <w:r>
        <w:t xml:space="preserve">Cross-language portability work (Python → JavaScript and Julia) building on Tip, Bell, and Schäfer (2024).</w:t>
      </w:r>
    </w:p>
    <w:p>
      <w:pPr>
        <w:numPr>
          <w:ilvl w:val="0"/>
          <w:numId w:val="1019"/>
        </w:numPr>
      </w:pPr>
      <w:r>
        <w:t xml:space="preserve">A self-hosted open-weight LLM pilot for air-gapped industrial deployment (P5 scope).</w:t>
      </w:r>
    </w:p>
    <w:p>
      <w:pPr>
        <w:pStyle w:val="FirstParagraph"/>
      </w:pPr>
      <w:r>
        <w:t xml:space="preserve">The companion P-series roadmap is as follows.</w:t>
      </w:r>
    </w:p>
    <w:p>
      <w:pPr>
        <w:pStyle w:val="Compact"/>
        <w:numPr>
          <w:ilvl w:val="0"/>
          <w:numId w:val="1020"/>
        </w:numPr>
      </w:pPr>
      <w:r>
        <w:rPr>
          <w:b/>
          <w:bCs/>
        </w:rPr>
        <w:t xml:space="preserve">P1.</w:t>
      </w:r>
      <w:r>
        <w:t xml:space="preserve"> </w:t>
      </w:r>
      <w:r>
        <w:t xml:space="preserve">MR meta-pattern audit on the same 12-PUT infrastructure (under review at</w:t>
      </w:r>
      <w:r>
        <w:t xml:space="preserve"> </w:t>
      </w:r>
      <w:r>
        <w:rPr>
          <w:i/>
          <w:iCs/>
        </w:rPr>
        <w:t xml:space="preserve">Progress in Nuclear Energy</w:t>
      </w:r>
      <w:r>
        <w:t xml:space="preserve"> </w:t>
      </w:r>
      <w:r>
        <w:t xml:space="preserve">and</w:t>
      </w:r>
      <w:r>
        <w:t xml:space="preserve"> </w:t>
      </w:r>
      <w:r>
        <w:rPr>
          <w:i/>
          <w:iCs/>
        </w:rPr>
        <w:t xml:space="preserve">International Conference on Software Analysis, Evolution and Reengineering</w:t>
      </w:r>
      <w:r>
        <w:t xml:space="preserve"> </w:t>
      </w:r>
      <w:r>
        <w:t xml:space="preserve">(SANER) 2027).</w:t>
      </w:r>
    </w:p>
    <w:p>
      <w:pPr>
        <w:pStyle w:val="Compact"/>
        <w:numPr>
          <w:ilvl w:val="0"/>
          <w:numId w:val="1020"/>
        </w:numPr>
      </w:pPr>
      <w:r>
        <w:rPr>
          <w:b/>
          <w:bCs/>
        </w:rPr>
        <w:t xml:space="preserve">P3.</w:t>
      </w:r>
      <w:r>
        <w:t xml:space="preserve"> </w:t>
      </w:r>
      <w:r>
        <w:t xml:space="preserve">Industrial-scale Java and C++ port with a second-rater inter-rater κ for LRCA.</w:t>
      </w:r>
    </w:p>
    <w:p>
      <w:pPr>
        <w:pStyle w:val="Compact"/>
        <w:numPr>
          <w:ilvl w:val="0"/>
          <w:numId w:val="1020"/>
        </w:numPr>
      </w:pPr>
      <w:r>
        <w:rPr>
          <w:b/>
          <w:bCs/>
        </w:rPr>
        <w:t xml:space="preserve">P4.</w:t>
      </w:r>
      <w:r>
        <w:t xml:space="preserve"> </w:t>
      </w:r>
      <w:r>
        <w:t xml:space="preserve">Formal theorems on minimal MR-subset existence, reachable adequacy, and three-pillar coupling, targeted at</w:t>
      </w:r>
      <w:r>
        <w:t xml:space="preserve"> </w:t>
      </w:r>
      <w:r>
        <w:rPr>
          <w:i/>
          <w:iCs/>
        </w:rPr>
        <w:t xml:space="preserve">ACM Transactions on Software Engineering and Methodology</w:t>
      </w:r>
      <w:r>
        <w:t xml:space="preserve">.</w:t>
      </w:r>
    </w:p>
    <w:p>
      <w:pPr>
        <w:pStyle w:val="Compact"/>
        <w:numPr>
          <w:ilvl w:val="0"/>
          <w:numId w:val="1020"/>
        </w:numPr>
      </w:pPr>
      <w:r>
        <w:rPr>
          <w:b/>
          <w:bCs/>
        </w:rPr>
        <w:t xml:space="preserve">P5.</w:t>
      </w:r>
      <w:r>
        <w:t xml:space="preserve"> </w:t>
      </w:r>
      <w:r>
        <w:t xml:space="preserve">Regulatory transfer to IEC 60880, ISO 26262, and DO-178C with the conceptual complementarity argument (Chinese, in submission to</w:t>
      </w:r>
      <w:r>
        <w:t xml:space="preserve"> </w:t>
      </w:r>
      <w:r>
        <w:rPr>
          <w:i/>
          <w:iCs/>
        </w:rPr>
        <w:t xml:space="preserve">Nuclear Power Engineering</w:t>
      </w:r>
      <w:r>
        <w:t xml:space="preserve">).</w:t>
      </w:r>
    </w:p>
    <w:p>
      <w:r>
        <w:pict>
          <v:rect style="width:0;height:1.5pt" o:hralign="center" o:hrstd="t" o:hr="t"/>
        </w:pict>
      </w:r>
    </w:p>
    <w:bookmarkEnd w:id="57"/>
    <w:bookmarkEnd w:id="58"/>
    <w:bookmarkStart w:id="59" w:name="data-and-code-availability"/>
    <w:p>
      <w:pPr>
        <w:pStyle w:val="Heading2"/>
      </w:pPr>
      <w:r>
        <w:t xml:space="preserve">Data and code availability</w:t>
      </w:r>
    </w:p>
    <w:p>
      <w:pPr>
        <w:pStyle w:val="FirstParagraph"/>
      </w:pPr>
      <w:r>
        <w:t xml:space="preserve">All raw data, JSON SSOTs (paper_numbers_v3 / v3b / v4 / v4-mp5, lrca_60cell, c_class_permutation, rq2_power_stipulated, cosmic_ray_12put_ast_diff), mutant pools, AVP source, and analysis scripts will be archived on Zenodo at the time of acceptance under DOI [10.5281/zenodo.XXXXXXX] (placeholder, to be minted on acceptance). For peer review, an anonymized read-only mirror of the repository is available at [https://anonymous.4open.science/r/p2-sms-anon-XXXX] (URL to be provided by the corresponding author upon Editor request, per IST guidelines). The repository structure follows</w:t>
      </w:r>
      <w:r>
        <w:t xml:space="preserve"> </w:t>
      </w:r>
      <w:r>
        <w:rPr>
          <w:rStyle w:val="VerbatimChar"/>
        </w:rPr>
        <w:t xml:space="preserve">REPRODUCIBILITY.md</w:t>
      </w:r>
      <w:r>
        <w:t xml:space="preserve"> </w:t>
      </w:r>
      <w:r>
        <w:t xml:space="preserve">in the source tree. The cosmic-ray and mutmut operator versions referenced in §3.5, §3.6, and Appendix B.6 are pinned in</w:t>
      </w:r>
      <w:r>
        <w:t xml:space="preserve"> </w:t>
      </w:r>
      <w:r>
        <w:rPr>
          <w:rStyle w:val="VerbatimChar"/>
        </w:rPr>
        <w:t xml:space="preserve">requirements-frozen.txt</w:t>
      </w:r>
      <w:r>
        <w:t xml:space="preserve">.</w:t>
      </w:r>
    </w:p>
    <w:p>
      <w:r>
        <w:pict>
          <v:rect style="width:0;height:1.5pt" o:hralign="center" o:hrstd="t" o:hr="t"/>
        </w:pict>
      </w:r>
    </w:p>
    <w:bookmarkEnd w:id="59"/>
    <w:bookmarkStart w:id="60" w:name="references"/>
    <w:p>
      <w:pPr>
        <w:pStyle w:val="Heading2"/>
      </w:pPr>
      <w:r>
        <w:t xml:space="preserve">References</w:t>
      </w:r>
    </w:p>
    <w:p>
      <w:pPr>
        <w:pStyle w:val="FirstParagraph"/>
      </w:pPr>
      <w:r>
        <w:t xml:space="preserve">DeMillo, R. A., Lipton, R. J., &amp; Sayward, F. G. (1978). Hints on test data selection: Help for the practicing programmer.</w:t>
      </w:r>
      <w:r>
        <w:t xml:space="preserve"> </w:t>
      </w:r>
      <w:r>
        <w:rPr>
          <w:i/>
          <w:iCs/>
        </w:rPr>
        <w:t xml:space="preserve">Computer</w:t>
      </w:r>
      <w:r>
        <w:t xml:space="preserve">, 11(4), 34-41. https://doi.org/10.1109/C-M.1978.218136</w:t>
      </w:r>
    </w:p>
    <w:p>
      <w:pPr>
        <w:pStyle w:val="BodyText"/>
      </w:pPr>
      <w:r>
        <w:t xml:space="preserve">Jia, Y., &amp; Harman, M. (2011). An analysis and survey of the development of mutation testing.</w:t>
      </w:r>
      <w:r>
        <w:t xml:space="preserve"> </w:t>
      </w:r>
      <w:r>
        <w:rPr>
          <w:i/>
          <w:iCs/>
        </w:rPr>
        <w:t xml:space="preserve">IEEE Transactions on Software Engineering</w:t>
      </w:r>
      <w:r>
        <w:t xml:space="preserve">, 37(5), 649-678. https://doi.org/10.1109/TSE.2010.62</w:t>
      </w:r>
    </w:p>
    <w:p>
      <w:pPr>
        <w:pStyle w:val="BodyText"/>
      </w:pPr>
      <w:r>
        <w:t xml:space="preserve">Jia, Y., &amp; Harman, M. (2008). Constructing Subtle Faults Using Higher Order Mutation Testing. In</w:t>
      </w:r>
      <w:r>
        <w:t xml:space="preserve"> </w:t>
      </w:r>
      <w:r>
        <w:rPr>
          <w:i/>
          <w:iCs/>
        </w:rPr>
        <w:t xml:space="preserve">Proc. 8th IEEE International Working Conference on Source Code Analysis and Manipulation (SCAM)</w:t>
      </w:r>
      <w:r>
        <w:t xml:space="preserve">, 249-258. IEEE. https://doi.org/10.1109/SCAM.2008.36</w:t>
      </w:r>
    </w:p>
    <w:p>
      <w:pPr>
        <w:pStyle w:val="BodyText"/>
      </w:pPr>
      <w:r>
        <w:t xml:space="preserve">Jia, Y., &amp; Harman, M. (2009). Higher Order Mutation Testing.</w:t>
      </w:r>
      <w:r>
        <w:t xml:space="preserve"> </w:t>
      </w:r>
      <w:r>
        <w:rPr>
          <w:i/>
          <w:iCs/>
        </w:rPr>
        <w:t xml:space="preserve">Information and Software Technology</w:t>
      </w:r>
      <w:r>
        <w:t xml:space="preserve">, 51(10), 1379-1393. https://doi.org/10.1016/j.infsof.2009.04.016</w:t>
      </w:r>
    </w:p>
    <w:p>
      <w:pPr>
        <w:pStyle w:val="BodyText"/>
      </w:pPr>
      <w:r>
        <w:t xml:space="preserve">Andrews, J. H., Briand, L. C., &amp; Labiche, Y. (2005). Is mutation an appropriate tool for testing experiments? In</w:t>
      </w:r>
      <w:r>
        <w:t xml:space="preserve"> </w:t>
      </w:r>
      <w:r>
        <w:rPr>
          <w:i/>
          <w:iCs/>
        </w:rPr>
        <w:t xml:space="preserve">Proc. ICSE 2005</w:t>
      </w:r>
      <w:r>
        <w:t xml:space="preserve"> </w:t>
      </w:r>
      <w:r>
        <w:t xml:space="preserve">(pp. 402-411). ACM. https://doi.org/10.1145/1062455.1062530</w:t>
      </w:r>
    </w:p>
    <w:p>
      <w:pPr>
        <w:pStyle w:val="BodyText"/>
      </w:pPr>
      <w:r>
        <w:t xml:space="preserve">Just, R., Jalali, D., Inozemtseva, L., Ernst, M. D., Holmes, R., &amp; Fraser, G. (2014). Are mutants a valid substitute for real faults in software testing? In</w:t>
      </w:r>
      <w:r>
        <w:t xml:space="preserve"> </w:t>
      </w:r>
      <w:r>
        <w:rPr>
          <w:i/>
          <w:iCs/>
        </w:rPr>
        <w:t xml:space="preserve">Proc. FSE 2014</w:t>
      </w:r>
      <w:r>
        <w:t xml:space="preserve"> </w:t>
      </w:r>
      <w:r>
        <w:t xml:space="preserve">(pp. 654-665). ACM. https://doi.org/10.1145/2635868.2635929</w:t>
      </w:r>
    </w:p>
    <w:p>
      <w:pPr>
        <w:pStyle w:val="BodyText"/>
      </w:pPr>
      <w:r>
        <w:t xml:space="preserve">Papadakis, M., Kintis, M., Zhang, J., Jia, Y., Le Traon, Y., &amp; Harman, M. (2019). Mutation testing advances: An analysis and survey.</w:t>
      </w:r>
      <w:r>
        <w:t xml:space="preserve"> </w:t>
      </w:r>
      <w:r>
        <w:rPr>
          <w:i/>
          <w:iCs/>
        </w:rPr>
        <w:t xml:space="preserve">Advances in Computers</w:t>
      </w:r>
      <w:r>
        <w:t xml:space="preserve">, 112, 275-378. https://doi.org/10.1016/bs.adcom.2018.03.015</w:t>
      </w:r>
    </w:p>
    <w:p>
      <w:pPr>
        <w:pStyle w:val="BodyText"/>
      </w:pPr>
      <w:r>
        <w:t xml:space="preserve">Kintis, M., Papadakis, M., Papadopoulos, A., Valvis, E., Malevris, N., &amp; Le Traon, Y. (2018). How effective are mutation testing tools? An empirical analysis of Java mutation testing tools with manual analysis and real faults.</w:t>
      </w:r>
      <w:r>
        <w:t xml:space="preserve"> </w:t>
      </w:r>
      <w:r>
        <w:rPr>
          <w:i/>
          <w:iCs/>
        </w:rPr>
        <w:t xml:space="preserve">Empirical Software Engineering</w:t>
      </w:r>
      <w:r>
        <w:t xml:space="preserve">, 23(4), 2426-2463. https://doi.org/10.1007/s10664-017-9582-5</w:t>
      </w:r>
    </w:p>
    <w:p>
      <w:pPr>
        <w:pStyle w:val="BodyText"/>
      </w:pPr>
      <w:r>
        <w:t xml:space="preserve">Delgado-Pérez, P., &amp; Chicano, F. (2020). An experimental and practical study on the equivalent mutant connection: An evolutionary approach.</w:t>
      </w:r>
      <w:r>
        <w:t xml:space="preserve"> </w:t>
      </w:r>
      <w:r>
        <w:rPr>
          <w:i/>
          <w:iCs/>
        </w:rPr>
        <w:t xml:space="preserve">Information and Software Technology</w:t>
      </w:r>
      <w:r>
        <w:t xml:space="preserve">, 124, 106317. https://doi.org/10.1016/j.infsof.2020.106317</w:t>
      </w:r>
    </w:p>
    <w:p>
      <w:pPr>
        <w:pStyle w:val="BodyText"/>
      </w:pPr>
      <w:r>
        <w:t xml:space="preserve">Moradi Dakhel, A., Nikanjam, A., Majdinasab, V., Khomh, F., &amp; Desmarais, M. C. (2024). Effective test generation using pre-trained Large Language Models and mutation testing.</w:t>
      </w:r>
      <w:r>
        <w:t xml:space="preserve"> </w:t>
      </w:r>
      <w:r>
        <w:rPr>
          <w:i/>
          <w:iCs/>
        </w:rPr>
        <w:t xml:space="preserve">Information and Software Technology</w:t>
      </w:r>
      <w:r>
        <w:t xml:space="preserve">, 171, 107468. https://doi.org/10.1016/j.infsof.2024.107468</w:t>
      </w:r>
    </w:p>
    <w:p>
      <w:pPr>
        <w:pStyle w:val="BodyText"/>
      </w:pPr>
      <w:r>
        <w:t xml:space="preserve">Zhang, M., Keung, J. W., Chen, T. Y., &amp; Xiao, Y. (2021). Validating class integration test order generation systems with Metamorphic Testing.</w:t>
      </w:r>
      <w:r>
        <w:t xml:space="preserve"> </w:t>
      </w:r>
      <w:r>
        <w:rPr>
          <w:i/>
          <w:iCs/>
        </w:rPr>
        <w:t xml:space="preserve">Information and Software Technology</w:t>
      </w:r>
      <w:r>
        <w:t xml:space="preserve">, 132, 106507. https://doi.org/10.1016/j.infsof.2020.106507</w:t>
      </w:r>
    </w:p>
    <w:p>
      <w:pPr>
        <w:pStyle w:val="BodyText"/>
      </w:pPr>
      <w:r>
        <w:t xml:space="preserve">Clark, J. A., Dan, H., &amp; Hierons, R. M. (2010). Semantic Mutation Testing. In</w:t>
      </w:r>
      <w:r>
        <w:t xml:space="preserve"> </w:t>
      </w:r>
      <w:r>
        <w:rPr>
          <w:i/>
          <w:iCs/>
        </w:rPr>
        <w:t xml:space="preserve">Proc. Third International Conference on Software Testing, Verification, and Validation Workshops (ICSTW)</w:t>
      </w:r>
      <w:r>
        <w:t xml:space="preserve">, 100-109. IEEE. https://doi.org/10.1109/ICSTW.2010.8</w:t>
      </w:r>
    </w:p>
    <w:p>
      <w:pPr>
        <w:pStyle w:val="BodyText"/>
      </w:pPr>
      <w:r>
        <w:t xml:space="preserve">Dan, H., &amp; Hierons, R. M. (2012). SMT-C: A Semantic Mutation Testing Tool for C. In</w:t>
      </w:r>
      <w:r>
        <w:t xml:space="preserve"> </w:t>
      </w:r>
      <w:r>
        <w:rPr>
          <w:i/>
          <w:iCs/>
        </w:rPr>
        <w:t xml:space="preserve">Proc. Fifth International Conference on Software Testing, Verification and Validation (ICST)</w:t>
      </w:r>
      <w:r>
        <w:t xml:space="preserve">, 654-663. IEEE. https://doi.org/10.1109/ICST.2012.155</w:t>
      </w:r>
    </w:p>
    <w:p>
      <w:pPr>
        <w:pStyle w:val="BodyText"/>
      </w:pPr>
      <w:r>
        <w:t xml:space="preserve">Derezińska, A., &amp; Zaremba, L. (2019). Mutating UML State Machine Behavior with Semantic Mutation Operators. In</w:t>
      </w:r>
      <w:r>
        <w:t xml:space="preserve"> </w:t>
      </w:r>
      <w:r>
        <w:rPr>
          <w:i/>
          <w:iCs/>
        </w:rPr>
        <w:t xml:space="preserve">Proc. International Conference on Evaluation of Novel Approaches to Software Engineering (ENASE)</w:t>
      </w:r>
      <w:r>
        <w:t xml:space="preserve">, 385-393. https://doi.org/10.5220/0007735003850393</w:t>
      </w:r>
    </w:p>
    <w:p>
      <w:pPr>
        <w:pStyle w:val="BodyText"/>
      </w:pPr>
      <w:r>
        <w:t xml:space="preserve">Sun, C., Liu, Y., Wang, Z., &amp; Chan, W. K. (2016). μMT: A Data Mutation Directed Metamorphic Relation Acquisition Methodology. In</w:t>
      </w:r>
      <w:r>
        <w:t xml:space="preserve"> </w:t>
      </w:r>
      <w:r>
        <w:rPr>
          <w:i/>
          <w:iCs/>
        </w:rPr>
        <w:t xml:space="preserve">Proc. 1st International Workshop on Metamorphic Testing (MET)</w:t>
      </w:r>
      <w:r>
        <w:t xml:space="preserve">, 12-18. ACM. https://doi.org/10.1145/2896971.2896974</w:t>
      </w:r>
    </w:p>
    <w:p>
      <w:pPr>
        <w:pStyle w:val="BodyText"/>
      </w:pPr>
      <w:r>
        <w:t xml:space="preserve">Sun, C., Jin, H., Wu, S., Fu, A., Wang, Z., &amp; Chan, W. K. (2024). Identifying metamorphic relations: A data mutation directed approach.</w:t>
      </w:r>
      <w:r>
        <w:t xml:space="preserve"> </w:t>
      </w:r>
      <w:r>
        <w:rPr>
          <w:i/>
          <w:iCs/>
        </w:rPr>
        <w:t xml:space="preserve">Software: Practice and Experience</w:t>
      </w:r>
      <w:r>
        <w:t xml:space="preserve">, 54(3), 394-418. https://doi.org/10.1002/spe.3280</w:t>
      </w:r>
    </w:p>
    <w:p>
      <w:pPr>
        <w:pStyle w:val="BodyText"/>
      </w:pPr>
      <w:r>
        <w:t xml:space="preserve">Zhu, H., Bayley, I., Liu, D., &amp; Zheng, X. (2020). Automation of Datamorphic Testing. In</w:t>
      </w:r>
      <w:r>
        <w:t xml:space="preserve"> </w:t>
      </w:r>
      <w:r>
        <w:rPr>
          <w:i/>
          <w:iCs/>
        </w:rPr>
        <w:t xml:space="preserve">Proc. IEEE International Conference On Artificial Intelligence Testing (AITest)</w:t>
      </w:r>
      <w:r>
        <w:t xml:space="preserve">, 64-72. IEEE. https://doi.org/10.1109/AITEST49225.2020.00017</w:t>
      </w:r>
    </w:p>
    <w:p>
      <w:pPr>
        <w:pStyle w:val="BodyText"/>
      </w:pPr>
      <w:r>
        <w:t xml:space="preserve">Chan, P. Y. P., &amp; Keung, J. (2024). Validating Unsupervised Machine Learning Techniques for Software Defect Prediction With Generic Metamorphic Testing.</w:t>
      </w:r>
      <w:r>
        <w:t xml:space="preserve"> </w:t>
      </w:r>
      <w:r>
        <w:rPr>
          <w:i/>
          <w:iCs/>
        </w:rPr>
        <w:t xml:space="preserve">IEEE Access</w:t>
      </w:r>
      <w:r>
        <w:t xml:space="preserve">, 12, 165155-165172. https://doi.org/10.1109/ACCESS.2024.3494044</w:t>
      </w:r>
    </w:p>
    <w:p>
      <w:pPr>
        <w:pStyle w:val="BodyText"/>
      </w:pPr>
      <w:r>
        <w:t xml:space="preserve">Curtò, J. de, &amp; Zarzà, I. de. (2025). Metamorphic Testing for Semantic Invariance in Large Language Models.</w:t>
      </w:r>
      <w:r>
        <w:t xml:space="preserve"> </w:t>
      </w:r>
      <w:r>
        <w:rPr>
          <w:i/>
          <w:iCs/>
        </w:rPr>
        <w:t xml:space="preserve">IEEE Access</w:t>
      </w:r>
      <w:r>
        <w:t xml:space="preserve">, 13, 214772-214791. https://doi.org/10.1109/ACCESS.2025.3646270</w:t>
      </w:r>
    </w:p>
    <w:p>
      <w:pPr>
        <w:pStyle w:val="BodyText"/>
      </w:pPr>
      <w:r>
        <w:t xml:space="preserve">Ammann, P., &amp; Offutt, J. (2008).</w:t>
      </w:r>
      <w:r>
        <w:t xml:space="preserve"> </w:t>
      </w:r>
      <w:r>
        <w:rPr>
          <w:i/>
          <w:iCs/>
        </w:rPr>
        <w:t xml:space="preserve">Introduction to software testing</w:t>
      </w:r>
      <w:r>
        <w:t xml:space="preserve"> </w:t>
      </w:r>
      <w:r>
        <w:t xml:space="preserve">(1st ed.). Cambridge University Press.</w:t>
      </w:r>
    </w:p>
    <w:p>
      <w:pPr>
        <w:pStyle w:val="BodyText"/>
      </w:pPr>
      <w:r>
        <w:t xml:space="preserve">Petrović, G., &amp; Ivanković, M. (2018). State of mutation testing at Google. In</w:t>
      </w:r>
      <w:r>
        <w:t xml:space="preserve"> </w:t>
      </w:r>
      <w:r>
        <w:rPr>
          <w:i/>
          <w:iCs/>
        </w:rPr>
        <w:t xml:space="preserve">Proc. ICSE-SEIP 2018</w:t>
      </w:r>
      <w:r>
        <w:t xml:space="preserve"> </w:t>
      </w:r>
      <w:r>
        <w:t xml:space="preserve">(pp. 163-171). ACM. https://doi.org/10.1145/3183519.3183521</w:t>
      </w:r>
    </w:p>
    <w:p>
      <w:pPr>
        <w:pStyle w:val="BodyText"/>
      </w:pPr>
      <w:r>
        <w:t xml:space="preserve">Petrović, G., Ivanković, M., Fraser, G., &amp; Just, R. (2021). Practical mutation testing at scale: A view from Google.</w:t>
      </w:r>
      <w:r>
        <w:t xml:space="preserve"> </w:t>
      </w:r>
      <w:r>
        <w:rPr>
          <w:i/>
          <w:iCs/>
        </w:rPr>
        <w:t xml:space="preserve">IEEE Transactions on Software Engineering</w:t>
      </w:r>
      <w:r>
        <w:t xml:space="preserve">, 48(10), 3900-3912. https://doi.org/10.1109/TSE.2021.3107634</w:t>
      </w:r>
    </w:p>
    <w:p>
      <w:pPr>
        <w:pStyle w:val="BodyText"/>
      </w:pPr>
      <w:r>
        <w:t xml:space="preserve">Tip, F., Bell, J., &amp; Schäfer, M. (2024). LLMorpheus: Mutation testing using large language models.</w:t>
      </w:r>
      <w:r>
        <w:t xml:space="preserve"> </w:t>
      </w:r>
      <w:r>
        <w:rPr>
          <w:i/>
          <w:iCs/>
        </w:rPr>
        <w:t xml:space="preserve">arXiv preprint</w:t>
      </w:r>
      <w:r>
        <w:t xml:space="preserve"> </w:t>
      </w:r>
      <w:r>
        <w:t xml:space="preserve">arXiv:2404.09952.</w:t>
      </w:r>
    </w:p>
    <w:p>
      <w:pPr>
        <w:pStyle w:val="BodyText"/>
      </w:pPr>
      <w:r>
        <w:t xml:space="preserve">Humbatova, N., Jahangirova, G., &amp; Tonella, P. (2021). DeepCrime: Mutation testing of deep learning systems based on real faults. In</w:t>
      </w:r>
      <w:r>
        <w:t xml:space="preserve"> </w:t>
      </w:r>
      <w:r>
        <w:rPr>
          <w:i/>
          <w:iCs/>
        </w:rPr>
        <w:t xml:space="preserve">Proc. ISSTA 2021</w:t>
      </w:r>
      <w:r>
        <w:t xml:space="preserve"> </w:t>
      </w:r>
      <w:r>
        <w:t xml:space="preserve">(pp. 67-78). ACM. https://doi.org/10.1145/3460319.3464825</w:t>
      </w:r>
    </w:p>
    <w:p>
      <w:pPr>
        <w:pStyle w:val="BodyText"/>
      </w:pPr>
      <w:r>
        <w:t xml:space="preserve">Just, R., Jalali, D., &amp; Ernst, M. D. (2014). Defects4J: A database of existing faults to enable controlled testing studies for Java programs. In</w:t>
      </w:r>
      <w:r>
        <w:t xml:space="preserve"> </w:t>
      </w:r>
      <w:r>
        <w:rPr>
          <w:i/>
          <w:iCs/>
        </w:rPr>
        <w:t xml:space="preserve">Proc. ISSTA 2014</w:t>
      </w:r>
      <w:r>
        <w:t xml:space="preserve"> </w:t>
      </w:r>
      <w:r>
        <w:t xml:space="preserve">(pp. 437-440). ACM. https://doi.org/10.1145/2610384.2628055</w:t>
      </w:r>
    </w:p>
    <w:p>
      <w:pPr>
        <w:pStyle w:val="BodyText"/>
      </w:pPr>
      <w:r>
        <w:t xml:space="preserve">Romano, J., Kromrey, J. D., Coraggio, J., &amp; Skowronek, J. (2006). Appropriate statistics for ordinal level data. Annual Meeting of the Florida Association of Institutional Research, Cocoa Beach, FL.</w:t>
      </w:r>
    </w:p>
    <w:p>
      <w:pPr>
        <w:pStyle w:val="BodyText"/>
      </w:pPr>
      <w:r>
        <w:t xml:space="preserve">Vargha, A., &amp; Delaney, H. D. (2000). A critique and improvement of the CL common language effect size statistics of McGraw and Wong.</w:t>
      </w:r>
      <w:r>
        <w:t xml:space="preserve"> </w:t>
      </w:r>
      <w:r>
        <w:rPr>
          <w:i/>
          <w:iCs/>
        </w:rPr>
        <w:t xml:space="preserve">Journal of Educational and Behavioral Statistics</w:t>
      </w:r>
      <w:r>
        <w:t xml:space="preserve">, 25(2), 101-132. https://doi.org/10.3102/10769986025002101</w:t>
      </w:r>
    </w:p>
    <w:p>
      <w:pPr>
        <w:pStyle w:val="BodyText"/>
      </w:pPr>
      <w:r>
        <w:t xml:space="preserve">Press, W. H., Teukolsky, S. A., Vetterling, W. T., &amp; Flannery, B. P. (2007).</w:t>
      </w:r>
      <w:r>
        <w:t xml:space="preserve"> </w:t>
      </w:r>
      <w:r>
        <w:rPr>
          <w:i/>
          <w:iCs/>
        </w:rPr>
        <w:t xml:space="preserve">Numerical Recipes: The Art of Scientific Computing</w:t>
      </w:r>
      <w:r>
        <w:t xml:space="preserve"> </w:t>
      </w:r>
      <w:r>
        <w:t xml:space="preserve">(3rd ed.). Cambridge University Press.</w:t>
      </w:r>
    </w:p>
    <w:p>
      <w:pPr>
        <w:pStyle w:val="BodyText"/>
      </w:pPr>
      <w:r>
        <w:t xml:space="preserve">ASME V&amp;V 20 Committee. (2009).</w:t>
      </w:r>
      <w:r>
        <w:t xml:space="preserve"> </w:t>
      </w:r>
      <w:r>
        <w:rPr>
          <w:i/>
          <w:iCs/>
        </w:rPr>
        <w:t xml:space="preserve">Standard for Verification and Validation in Computational Fluid Dynamics and Heat Transfer</w:t>
      </w:r>
      <w:r>
        <w:t xml:space="preserve">. ASME V&amp;V 20-2009.</w:t>
      </w:r>
    </w:p>
    <w:p>
      <w:pPr>
        <w:pStyle w:val="BodyText"/>
      </w:pPr>
      <w:r>
        <w:t xml:space="preserve">Hovmöller, A. (2016-).</w:t>
      </w:r>
      <w:r>
        <w:t xml:space="preserve"> </w:t>
      </w:r>
      <w:r>
        <w:rPr>
          <w:i/>
          <w:iCs/>
        </w:rPr>
        <w:t xml:space="preserve">mutmut</w:t>
      </w:r>
      <w:r>
        <w:t xml:space="preserve">: A Python mutation testing tool. https://github.com/boxed/mutmut</w:t>
      </w:r>
    </w:p>
    <w:p>
      <w:pPr>
        <w:pStyle w:val="BodyText"/>
      </w:pPr>
      <w:r>
        <w:t xml:space="preserve">Bingham, A. (2015-).</w:t>
      </w:r>
      <w:r>
        <w:t xml:space="preserve"> </w:t>
      </w:r>
      <w:r>
        <w:rPr>
          <w:i/>
          <w:iCs/>
        </w:rPr>
        <w:t xml:space="preserve">cosmic-ray</w:t>
      </w:r>
      <w:r>
        <w:t xml:space="preserve">: Python mutation testing. Sixty North. https://github.com/sixty-north/cosmic-ray</w:t>
      </w:r>
    </w:p>
    <w:p>
      <w:pPr>
        <w:pStyle w:val="BodyText"/>
      </w:pPr>
      <w:r>
        <w:t xml:space="preserve">Hałas, K. (2012-).</w:t>
      </w:r>
      <w:r>
        <w:t xml:space="preserve"> </w:t>
      </w:r>
      <w:r>
        <w:rPr>
          <w:i/>
          <w:iCs/>
        </w:rPr>
        <w:t xml:space="preserve">mutpy</w:t>
      </w:r>
      <w:r>
        <w:t xml:space="preserve">: Mutation testing for Python. https://github.com/mutpy/mutpy</w:t>
      </w:r>
    </w:p>
    <w:p>
      <w:pPr>
        <w:pStyle w:val="BodyText"/>
      </w:pPr>
      <w:r>
        <w:t xml:space="preserve">Li, M. et al. (under review). Empirical audit of metamorphic-relation meta-patterns in scientific computing software (P1).</w:t>
      </w:r>
      <w:r>
        <w:t xml:space="preserve"> </w:t>
      </w:r>
      <w:r>
        <w:rPr>
          <w:i/>
          <w:iCs/>
        </w:rPr>
        <w:t xml:space="preserve">Progress in Nuclear Energy</w:t>
      </w:r>
      <w:r>
        <w:t xml:space="preserve"> </w:t>
      </w:r>
      <w:r>
        <w:t xml:space="preserve">/ SANER 2027.</w:t>
      </w:r>
    </w:p>
    <w:p>
      <w:pPr>
        <w:pStyle w:val="BodyText"/>
      </w:pPr>
      <w:r>
        <w:t xml:space="preserve">Li, M. et al. (under review). [P2-CN companion].</w:t>
      </w:r>
      <w:r>
        <w:t xml:space="preserve"> </w:t>
      </w:r>
      <w:r>
        <w:rPr>
          <w:i/>
          <w:iCs/>
        </w:rPr>
        <w:t xml:space="preserve">Nuclear Power Engineering</w:t>
      </w:r>
      <w:r>
        <w:t xml:space="preserve">.</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2026-05-02T16:39:25Z</dcterms:created>
  <dcterms:modified xsi:type="dcterms:W3CDTF">2026-05-02T16:39:25Z</dcterms:modified>
</cp:coreProperties>
</file>

<file path=docProps/custom.xml><?xml version="1.0" encoding="utf-8"?>
<Properties xmlns="http://schemas.openxmlformats.org/officeDocument/2006/custom-properties" xmlns:vt="http://schemas.openxmlformats.org/officeDocument/2006/docPropsVTypes"/>
</file>