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6d42f414c138400d828fba84e281f7d3765001"/>
    <w:p>
      <w:pPr>
        <w:pStyle w:val="Heading1"/>
      </w:pPr>
      <w:r>
        <w:t xml:space="preserve">When Same-Prompt LLM Source Diversity Doesn’t Help: An Ablation of Semantic Mutation Operators in Metamorphic Testing for Single-Output Scientific Computing Kernels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Primary v3 Cliff’s delta = 0.323 (H2 large-effect threshold not met); cross-source pooling shifts delta by ≤ 0.01 across two MP conditions (v3 → v4-mp5 = −0.009; v3b → v4 =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rPr>
          <w:i/>
          <w:iCs/>
        </w:rPr>
        <w:t xml:space="preserve">Primary verdict (v3, pre-registered).</w:t>
      </w:r>
      <w:r>
        <w:t xml:space="preserve"> </w:t>
      </w:r>
      <w:r>
        <w:t xml:space="preserve">The H2 large-effect threshold (Cliff’s δ ≥ 0.474, Romano 2006) is</w:t>
      </w:r>
      <w:r>
        <w:t xml:space="preserve"> </w:t>
      </w:r>
      <w:r>
        <w:rPr>
          <w:b/>
          <w:bCs/>
        </w:rPr>
        <w:t xml:space="preserve">not met under the point-estimate criterion</w:t>
      </w:r>
      <w:r>
        <w:t xml:space="preserve">: v3 δ = 0.323 (95% CI [0.017, 0.622]).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w:t>
      </w:r>
      <w:r>
        <w:t xml:space="preserve"> </w:t>
      </w:r>
      <w:r>
        <w:rPr>
          <w:i/>
          <w:iCs/>
        </w:rPr>
        <w:t xml:space="preserve">Robustness (v4-mp5, strips R11).</w:t>
      </w:r>
      <w:r>
        <w:t xml:space="preserve"> </w:t>
      </w:r>
      <w:r>
        <w:t xml:space="preserve">Holding the c-class primary at the pre-registered MP5 while pooling across LLM sources gives δ_v4-mp5 = 0.314 (95% CI [0.014, 0.622]); the contrast against v3 is Δδ = −0.009 (LLM-source axis under MP5).</w:t>
      </w:r>
      <w:r>
        <w:t xml:space="preserve"> </w:t>
      </w:r>
      <w:r>
        <w:rPr>
          <w:i/>
          <w:iCs/>
        </w:rPr>
        <w:t xml:space="preserve">Exploratory (v3b / v4, post-hoc selection).</w:t>
      </w:r>
      <w:r>
        <w:t xml:space="preserve"> </w:t>
      </w:r>
      <w:r>
        <w:t xml:space="preserve">v3b reaches 0.446† (data-driven c-class primary MP, same source); v4 reaches 0.439† (cross-source, MP1); Δδ(v3b → v4) = −0.007. Across both MP conditions the cross-source axis shifts δ by ≤ 0.01 in magnitude, while the MR-design axis (MP5 ↔ MP1) shifts δ by approximately +0.12.</w:t>
      </w:r>
      <w:r>
        <w:t xml:space="preserve"> </w:t>
      </w:r>
      <w:r>
        <w:rPr>
          <w:i/>
          <w:iCs/>
        </w:rPr>
        <w:t xml:space="preserve">Other.</w:t>
      </w:r>
      <w:r>
        <w:t xml:space="preserve"> </w:t>
      </w:r>
      <w:r>
        <w:t xml:space="preserve">Cross-source pooling raises mean C1_share from 0.164 to 0.209 and class-c SMS by +91.4%† without moving δ. Friedman χ² = 15.30, p = 0.0041. AST overlap with cosmic-ray is</w:t>
      </w:r>
      <w:r>
        <w:t xml:space="preserve"> </w:t>
      </w:r>
      <w:r>
        <w:rPr>
          <w:b/>
          <w:bCs/>
        </w:rPr>
        <w:t xml:space="preserve">5.14%</w:t>
      </w:r>
      <w:r>
        <w:t xml:space="preserve">; the Hyperparameter, Structural Injection, and Trajectory Flip classes (159 of 292 mutants) are categorically unreachable by</w:t>
      </w:r>
      <w:r>
        <w:t xml:space="preserve"> </w:t>
      </w:r>
      <w:r>
        <w:rPr>
          <w:b/>
          <w:bCs/>
        </w:rPr>
        <w:t xml:space="preserve">first-order</w:t>
      </w:r>
      <w:r>
        <w:t xml:space="preserve"> </w:t>
      </w:r>
      <w:r>
        <w:t xml:space="preserve">syntactic tools (0/0/0). († v3b/v4-derived numbers depend on the §3.4 post-hoc c-class primary-MP shift; permutation null one-sided p = 0.9885.)</w:t>
      </w:r>
    </w:p>
    <w:p>
      <w:pPr>
        <w:pStyle w:val="BodyText"/>
      </w:pPr>
      <w:r>
        <w:rPr>
          <w:b/>
          <w:bCs/>
        </w:rPr>
        <w:t xml:space="preserve">Conclusion.</w:t>
      </w:r>
      <w:r>
        <w:t xml:space="preserve"> </w:t>
      </w:r>
      <w:r>
        <w:t xml:space="preserve">Within this design, the MR-design axis (c-class primary-MP choice) is the lever on the aligned-vs-cross effect size; the LLM-identity axis (Claude / GPT / DeepSeek under an identical prompt) shifts δ by ≤ 0.01 across two MP conditions. The strong-sense source-diversity test with per-LLM differential prompts is deferred to P4. The §3.5 evidence (5.14% AST overlap, 0/0/0 unreachability for HP / SI / TF under first-order syntactic tools) is independent of this caveat.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The adequacy of an MR set, however, has lacked a domain-aware metric. Jia and Harman’s (2011) classical Mutation Score (MS) is defined over syntactic Abstract Syntax Tree (AST) mutations and does not capture domain semantics such as conservation laws, monotonicity, convergence order, trajectory shape, or fidelity ordering. Recent work on Large Language Model (LLM) generated mutants (Tip, Bell, and Schäfer 2024; Humbatova, Jahangirova, and Tonella 2021) does generate semantically richer mutants, but does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p>
      <w:pPr>
        <w:pStyle w:val="BodyText"/>
      </w:pPr>
      <w:r>
        <w:rPr>
          <w:b/>
          <w:bCs/>
        </w:rPr>
        <w:t xml:space="preserve">Naming convention.</w:t>
      </w:r>
      <w:r>
        <w:t xml:space="preserve"> </w:t>
      </w:r>
      <w:r>
        <w:t xml:space="preserve">For brevity, we write</w:t>
      </w:r>
      <w:r>
        <w:t xml:space="preserve"> </w:t>
      </w:r>
      <w:r>
        <w:rPr>
          <w:rStyle w:val="VerbatimChar"/>
        </w:rPr>
        <w:t xml:space="preserve">v4-mp1</w:t>
      </w:r>
      <w:r>
        <w:t xml:space="preserve"> </w:t>
      </w:r>
      <w:r>
        <w:t xml:space="preserve">for the v4 cross-source pool with the v3b post-hoc c-class primary MP1 (Round-3 default; the version reaching δ = 0.439†) and</w:t>
      </w:r>
      <w:r>
        <w:t xml:space="preserve"> </w:t>
      </w:r>
      <w:r>
        <w:rPr>
          <w:rStyle w:val="VerbatimChar"/>
        </w:rPr>
        <w:t xml:space="preserve">v4-mp5</w:t>
      </w:r>
      <w:r>
        <w:t xml:space="preserve"> </w:t>
      </w:r>
      <w:r>
        <w:t xml:space="preserve">for the v4 cross-source pool holding the c-class primary at the pre-registered MP5 (Round-3 robustness contrast; the version reaching δ = 0.314). Both share the same v4 mutant pool; only the c-class primary-MP convention differs.</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Four delta point-estimates (three planned ablation stages plus one robustness contrast):</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the v4-mp5 robustness contrast holding the c-class primary at the pre-registered MP5 reproduces this null shift (Δδ(v3 → v4-mp5) = −0.009, 95% CI covers zero), strengthening the source-axis null reading by replicating it under an independent MP condition that strips R11 chained conditioning. Cross-source pooling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data-and-code-availability"/>
    <w:p>
      <w:pPr>
        <w:pStyle w:val="Heading2"/>
      </w:pPr>
      <w:r>
        <w:t xml:space="preserve">Data and code availability</w:t>
      </w:r>
    </w:p>
    <w:p>
      <w:pPr>
        <w:pStyle w:val="FirstParagraph"/>
      </w:pPr>
      <w:r>
        <w:t xml:space="preserve">All raw data, JSON SSOTs (paper_numbers_v3 / v3b / v4 / v4-mp5, lrca_60cell, c_class_permutation, rq2_power_stipulated, cosmic_ray_12put_ast_diff), mutant pools, AVP source, and analysis scripts will be archived on Zenodo at the time of acceptance under DOI [10.5281/zenodo.XXXXXXX] (placeholder, to be minted on acceptance).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2026-05-02T15:04:09Z</dcterms:created>
  <dcterms:modified xsi:type="dcterms:W3CDTF">2026-05-02T15:04:09Z</dcterms:modified>
</cp:coreProperties>
</file>

<file path=docProps/custom.xml><?xml version="1.0" encoding="utf-8"?>
<Properties xmlns="http://schemas.openxmlformats.org/officeDocument/2006/custom-properties" xmlns:vt="http://schemas.openxmlformats.org/officeDocument/2006/docPropsVTypes"/>
</file>