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F64FB" w14:textId="77777777" w:rsidR="00204DE4" w:rsidRDefault="00000000">
      <w:pPr>
        <w:spacing w:line="360" w:lineRule="auto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《软件设计与规范》课程教学大纲（2026秋季修订版）</w:t>
      </w:r>
    </w:p>
    <w:p w14:paraId="0071D9DD" w14:textId="77777777" w:rsidR="00204DE4" w:rsidRDefault="00000000">
      <w:pPr>
        <w:spacing w:line="360" w:lineRule="auto"/>
        <w:jc w:val="center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Software Design and Conventions</w:t>
      </w:r>
    </w:p>
    <w:p w14:paraId="2ABF9D3F" w14:textId="77777777" w:rsidR="00204DE4" w:rsidRPr="002C4561" w:rsidRDefault="00000000" w:rsidP="002C4561">
      <w:pPr>
        <w:pStyle w:val="3"/>
        <w:keepNext w:val="0"/>
        <w:keepLines w:val="0"/>
        <w:spacing w:before="0" w:after="0" w:line="360" w:lineRule="auto"/>
        <w:rPr>
          <w:rFonts w:ascii="宋体" w:hAnsi="宋体" w:cs="宋体" w:hint="eastAsia"/>
          <w:bCs w:val="0"/>
          <w:sz w:val="21"/>
          <w:szCs w:val="21"/>
        </w:rPr>
      </w:pPr>
      <w:r w:rsidRPr="002C4561">
        <w:rPr>
          <w:rFonts w:ascii="宋体" w:hAnsi="宋体" w:cs="宋体"/>
          <w:bCs w:val="0"/>
          <w:sz w:val="21"/>
          <w:szCs w:val="21"/>
        </w:rPr>
        <w:t>一、课程基本信息</w:t>
      </w:r>
    </w:p>
    <w:p w14:paraId="140048F1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1.课程名称：软件设计与规范（Software Design and Conventions）</w:t>
      </w:r>
    </w:p>
    <w:p w14:paraId="69FAF65D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2.课程编码：50500098230</w:t>
      </w:r>
    </w:p>
    <w:p w14:paraId="5BCA47CE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3.学时与学分：56学时，本课程由两位教师分段授课，本大纲覆盖其中28学时的教学部分；学分</w:t>
      </w:r>
      <w:r>
        <w:rPr>
          <w:rFonts w:ascii="宋体" w:hAnsi="宋体" w:cs="宋体" w:hint="eastAsia"/>
          <w:szCs w:val="21"/>
        </w:rPr>
        <w:t>：3.5；</w:t>
      </w:r>
    </w:p>
    <w:p w14:paraId="7A318F49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4.适用专业：软件工程、物联网、人工智能、大数据</w:t>
      </w:r>
    </w:p>
    <w:p w14:paraId="5A52E179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5.考核办法：考查、五分制、成绩评定依据见附表</w:t>
      </w:r>
    </w:p>
    <w:p w14:paraId="38A0C5D6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6.先修课程：软件工程概论，Java程序设计，数据结构，Web前端开发，Web后端开发；后继课程：软件验证与确认，软件设计综合课程设计</w:t>
      </w:r>
    </w:p>
    <w:p w14:paraId="0AD26548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7.课程责任单位：计算机学院</w:t>
      </w:r>
    </w:p>
    <w:p w14:paraId="44843A05" w14:textId="77777777" w:rsidR="00204DE4" w:rsidRPr="002C4561" w:rsidRDefault="00000000" w:rsidP="002C4561">
      <w:pPr>
        <w:pStyle w:val="3"/>
        <w:keepNext w:val="0"/>
        <w:keepLines w:val="0"/>
        <w:spacing w:before="0" w:after="0" w:line="360" w:lineRule="auto"/>
        <w:rPr>
          <w:rFonts w:ascii="宋体" w:hAnsi="宋体" w:cs="宋体" w:hint="eastAsia"/>
          <w:bCs w:val="0"/>
          <w:sz w:val="21"/>
          <w:szCs w:val="21"/>
        </w:rPr>
      </w:pPr>
      <w:r w:rsidRPr="002C4561">
        <w:rPr>
          <w:rFonts w:ascii="宋体" w:hAnsi="宋体" w:cs="宋体"/>
          <w:bCs w:val="0"/>
          <w:sz w:val="21"/>
          <w:szCs w:val="21"/>
        </w:rPr>
        <w:t>二、课程简介</w:t>
      </w:r>
    </w:p>
    <w:p w14:paraId="1FB2BADE" w14:textId="77777777" w:rsidR="0064720F" w:rsidRDefault="00DA3830" w:rsidP="00DA383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bookmarkStart w:id="0" w:name="_Hlk114216600"/>
      <w:r>
        <w:rPr>
          <w:rFonts w:ascii="宋体" w:hAnsi="宋体" w:cs="宋体"/>
          <w:szCs w:val="21"/>
        </w:rPr>
        <w:t>《软件设计与规范》是软件工程的专业核心课，授课时间正处于基础课到专业课的过渡阶段，学生从编程语言、数据结构与算法的学习迈入工程化实践，本课程承上启下，为后续解决复杂问题的综合性实践奠定基础。本课程的任务是使学生了解软件工程国内外标准与规范，软件生命周期与软件开发的一般过程，经典开发方法，掌握主流技术和工具；并掌握AI时代的开发新范式AI for SE：把生成式AI作为受规范约束的开发协作者，学会以提示词工程规范与AI组成结对、以工程标准验证AI产出，理解含AI组件软件的体系结构与设计原则，培养学生解决工程问题的思维能力和实践能力，熟悉团队分工与角色职责，训练团队协作的综合素质。</w:t>
      </w:r>
    </w:p>
    <w:p w14:paraId="26B7A374" w14:textId="77777777" w:rsidR="00DA3830" w:rsidRDefault="00DA3830" w:rsidP="00DA383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本课程与后继课《软件验证与确认》形成分工：本课主责“用AI做开发”（AI for SE）及含AI组件的设计，后继课主责“对含AI的软件做质量保障”（SE for AI）。本课程的核心内容包括：</w:t>
      </w:r>
      <w:bookmarkStart w:id="1" w:name="_Hlk138576354"/>
      <w:bookmarkEnd w:id="0"/>
    </w:p>
    <w:p w14:paraId="6E065395" w14:textId="77777777" w:rsidR="00DA3830" w:rsidRDefault="00DA3830" w:rsidP="00DA383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（1）标准与规范：IEEE 软件工程知识体系SWEBOK的软件开发部分，中国软件工程知识体系C-SWEBOK的软件开发部分，GB/T 11457软件工程术语，GB/T 8566软件生存周期过程，ISO/IEC 25010软件质量模型，GB/T 25000.10系统与软件质量模型，GB/T 8567计算机软件文档编制规范，大小写约定，类型、类型成员、参数、资源的命名规范等。面向AI的规范：提示词模式、AI生成代码使用与标注规范。</w:t>
      </w:r>
    </w:p>
    <w:p w14:paraId="03C16F0C" w14:textId="77777777" w:rsidR="00DA3830" w:rsidRDefault="00DA3830" w:rsidP="00DA383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（2）基本理论：软件生存周期、软件开发过程模型、软件开发与软件工程其他活动的关系、</w:t>
      </w:r>
      <w:r>
        <w:rPr>
          <w:rFonts w:ascii="宋体" w:hAnsi="宋体" w:cs="宋体"/>
          <w:szCs w:val="21"/>
        </w:rPr>
        <w:lastRenderedPageBreak/>
        <w:t>软件设计过程、软件设计质量、软件体系结构设计、类设计、设计精化、设计模式、面向对象软件设计方法及基本原则、基于UML的分析与设计过程、用例UseCase分析、数据模型设计、用户界面设计、部署模型设计，Clean Code概念与原则。含AI组件的体系结构与面向不确定性组件的设计原则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/>
          <w:szCs w:val="21"/>
        </w:rPr>
        <w:t>AI使用与学术诚信规范。</w:t>
      </w:r>
    </w:p>
    <w:p w14:paraId="2ECDD2D6" w14:textId="77777777" w:rsidR="00DA3830" w:rsidRDefault="00DA3830" w:rsidP="00DA383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（3）开发技术：</w:t>
      </w:r>
      <w:r>
        <w:rPr>
          <w:rFonts w:ascii="宋体" w:hAnsi="宋体" w:cs="宋体" w:hint="eastAsia"/>
          <w:szCs w:val="21"/>
        </w:rPr>
        <w:t>依赖注入DI</w:t>
      </w:r>
      <w:r>
        <w:rPr>
          <w:rFonts w:ascii="宋体" w:hAnsi="宋体" w:cs="宋体"/>
          <w:szCs w:val="21"/>
        </w:rPr>
        <w:t>、对象关系映射ORM、面向切面编程AOP、单元测试、冗余代码检测与重构。AI结对编程与AI辅助重构。</w:t>
      </w:r>
      <w:bookmarkEnd w:id="1"/>
    </w:p>
    <w:p w14:paraId="291E2D6A" w14:textId="77777777" w:rsidR="00204DE4" w:rsidRPr="002C4561" w:rsidRDefault="00000000" w:rsidP="002C4561">
      <w:pPr>
        <w:pStyle w:val="3"/>
        <w:keepNext w:val="0"/>
        <w:keepLines w:val="0"/>
        <w:spacing w:before="0" w:after="0" w:line="360" w:lineRule="auto"/>
        <w:rPr>
          <w:rFonts w:ascii="宋体" w:hAnsi="宋体" w:cs="宋体" w:hint="eastAsia"/>
          <w:bCs w:val="0"/>
          <w:sz w:val="21"/>
          <w:szCs w:val="21"/>
        </w:rPr>
      </w:pPr>
      <w:r w:rsidRPr="002C4561">
        <w:rPr>
          <w:rFonts w:ascii="宋体" w:hAnsi="宋体" w:cs="宋体"/>
          <w:bCs w:val="0"/>
          <w:sz w:val="21"/>
          <w:szCs w:val="21"/>
        </w:rPr>
        <w:t>三、课程目标</w:t>
      </w:r>
    </w:p>
    <w:p w14:paraId="05C114E7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bookmarkStart w:id="2" w:name="_Hlk138575132"/>
      <w:r>
        <w:rPr>
          <w:rFonts w:ascii="宋体" w:hAnsi="宋体" w:cs="宋体"/>
          <w:szCs w:val="21"/>
        </w:rPr>
        <w:t>本课程目标为培养学生解决复杂问题能力。从CDIO工程教育理念出发，遵循需求、设计、编码到测试的软件工程实践逻辑，采用基于软件开发过程、嵌入高阶思维训练的增量式教学模型，将CBL、TBL与PBL相结合，达成教学目标。</w:t>
      </w:r>
      <w:bookmarkEnd w:id="2"/>
      <w:r>
        <w:rPr>
          <w:rFonts w:ascii="宋体" w:hAnsi="宋体" w:cs="宋体"/>
          <w:szCs w:val="21"/>
        </w:rPr>
        <w:t>通过案例教学CBL，</w:t>
      </w:r>
      <w:bookmarkStart w:id="3" w:name="_Hlk138576684"/>
      <w:r>
        <w:rPr>
          <w:rFonts w:ascii="宋体" w:hAnsi="宋体" w:cs="宋体"/>
          <w:szCs w:val="21"/>
        </w:rPr>
        <w:t>掌握科学计算、信息管理系统两类软件的开发方法和技术，掌握开发工具的使用原理和方法，理解其局限性；运用团队教学TBL，体验软件工程团队核心角色，引导学生职业定位，依据学习效能的自我感知，发掘职业兴趣，增强学习动力；采用问题教学PBL，实施高阶思维训练，对复杂软件工程问题的解决方案进行比较和评价。掌握开发工具（含AI编码助手）的使用原理和方法并理解其局限性，能对复杂软件工程问题的解决方案（含AI给出的方案）进行比较和评价。</w:t>
      </w:r>
      <w:bookmarkEnd w:id="3"/>
    </w:p>
    <w:p w14:paraId="5B4B89C7" w14:textId="77777777" w:rsidR="00204DE4" w:rsidRPr="00DA3830" w:rsidRDefault="00000000" w:rsidP="00DA3830">
      <w:pPr>
        <w:spacing w:line="360" w:lineRule="auto"/>
        <w:ind w:firstLine="422"/>
        <w:rPr>
          <w:rFonts w:ascii="宋体" w:hAnsi="宋体" w:cs="宋体" w:hint="eastAsia"/>
          <w:bCs/>
          <w:szCs w:val="21"/>
        </w:rPr>
      </w:pPr>
      <w:bookmarkStart w:id="4" w:name="_Hlk138575168"/>
      <w:bookmarkEnd w:id="4"/>
      <w:r>
        <w:rPr>
          <w:rFonts w:ascii="宋体" w:hAnsi="宋体" w:cs="宋体"/>
          <w:b/>
          <w:szCs w:val="21"/>
        </w:rPr>
        <w:t>课程目标1：</w:t>
      </w:r>
      <w:r>
        <w:rPr>
          <w:rFonts w:ascii="宋体" w:hAnsi="宋体" w:cs="宋体"/>
          <w:bCs/>
          <w:szCs w:val="21"/>
        </w:rPr>
        <w:t>熟悉软件工程国家标准与国际标准体系，理解流程规范与内容规范的区别；能够比较、评价设计方案（含AI给出的方案），指出其优势与不足。</w:t>
      </w:r>
    </w:p>
    <w:p w14:paraId="7BF18968" w14:textId="77777777" w:rsidR="00204DE4" w:rsidRPr="00DA3830" w:rsidRDefault="00000000" w:rsidP="00DA3830">
      <w:pPr>
        <w:spacing w:line="360" w:lineRule="auto"/>
        <w:ind w:firstLine="422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/>
          <w:b/>
          <w:szCs w:val="21"/>
        </w:rPr>
        <w:t>课程目标2</w:t>
      </w:r>
      <w:r>
        <w:rPr>
          <w:rFonts w:ascii="宋体" w:hAnsi="宋体" w:cs="宋体"/>
          <w:bCs/>
          <w:szCs w:val="21"/>
        </w:rPr>
        <w:t>：掌握模块化设计原则、体系结构设计方法与架构模式，以及设计模式、重构与系统演化方法；能在既有系统的约束下诊断设计缺陷，提出改进方案，并借助AI实施、核实其产出，了解影响设计目标和技术方案的各种因素。</w:t>
      </w:r>
    </w:p>
    <w:p w14:paraId="7C314D1E" w14:textId="77777777" w:rsidR="00204DE4" w:rsidRPr="00DA3830" w:rsidRDefault="00000000" w:rsidP="00DA3830">
      <w:pPr>
        <w:spacing w:line="360" w:lineRule="auto"/>
        <w:ind w:firstLine="422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/>
          <w:b/>
          <w:szCs w:val="21"/>
        </w:rPr>
        <w:t>课程目标3</w:t>
      </w:r>
      <w:r>
        <w:rPr>
          <w:rFonts w:ascii="宋体" w:hAnsi="宋体" w:cs="宋体"/>
          <w:bCs/>
          <w:szCs w:val="21"/>
        </w:rPr>
        <w:t>：掌握并遵守编码规范、接口契约规范与协作记录规范，掌握测试的基本要求与代码编译部署的方法，理解规范条款背后的设计理由；掌握集成开发环境、构建与测试工具、依赖注入容器、对象关系映射框架和架构约束检查工具的使用原理与方法，能用它们验证设计与代码，并理解它们的局限。</w:t>
      </w:r>
    </w:p>
    <w:p w14:paraId="0A687F4C" w14:textId="77777777" w:rsidR="00204DE4" w:rsidRDefault="00000000" w:rsidP="00DA3830">
      <w:pPr>
        <w:spacing w:line="360" w:lineRule="auto"/>
        <w:ind w:firstLine="422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/>
          <w:b/>
          <w:szCs w:val="21"/>
        </w:rPr>
        <w:t>课程目标4：</w:t>
      </w:r>
      <w:r>
        <w:rPr>
          <w:rFonts w:ascii="宋体" w:hAnsi="宋体" w:cs="宋体"/>
          <w:bCs/>
          <w:szCs w:val="21"/>
        </w:rPr>
        <w:t>掌握AI for SE的一般过程、AI时代的设计原则、面向不确定性组件的应对措施，以及AI输出的核对内容；能对AI给出的结论与代码作出采纳、部分采纳或驳回的判断，并理解AI编码助手的局限。</w:t>
      </w:r>
    </w:p>
    <w:p w14:paraId="65E842C6" w14:textId="77777777" w:rsidR="0022529C" w:rsidRPr="007D43CC" w:rsidRDefault="0022529C" w:rsidP="00DA3830">
      <w:pPr>
        <w:spacing w:line="360" w:lineRule="auto"/>
        <w:ind w:firstLine="422"/>
        <w:rPr>
          <w:rFonts w:ascii="宋体" w:hAnsi="宋体" w:cs="宋体" w:hint="eastAsia"/>
          <w:bCs/>
          <w:szCs w:val="21"/>
        </w:rPr>
      </w:pPr>
    </w:p>
    <w:p w14:paraId="1A56A0AA" w14:textId="77777777" w:rsidR="00204DE4" w:rsidRDefault="00000000">
      <w:pPr>
        <w:pStyle w:val="3"/>
        <w:keepNext w:val="0"/>
        <w:keepLines w:val="0"/>
        <w:spacing w:before="0" w:after="0" w:line="360" w:lineRule="auto"/>
        <w:rPr>
          <w:rFonts w:ascii="宋体" w:hAnsi="宋体" w:cs="宋体" w:hint="eastAsia"/>
          <w:bCs w:val="0"/>
          <w:sz w:val="21"/>
          <w:szCs w:val="21"/>
        </w:rPr>
      </w:pPr>
      <w:r>
        <w:rPr>
          <w:rFonts w:ascii="宋体" w:hAnsi="宋体" w:cs="宋体"/>
          <w:bCs w:val="0"/>
          <w:sz w:val="21"/>
          <w:szCs w:val="21"/>
        </w:rPr>
        <w:t>四、课程目标与毕业要求对应关系</w:t>
      </w:r>
    </w:p>
    <w:tbl>
      <w:tblPr>
        <w:tblpPr w:rightFromText="180" w:vertAnchor="text" w:horzAnchor="margin" w:tblpX="5" w:tblpY="543"/>
        <w:tblOverlap w:val="never"/>
        <w:tblW w:w="8755" w:type="dxa"/>
        <w:tblLayout w:type="fixed"/>
        <w:tblLook w:val="04A0" w:firstRow="1" w:lastRow="0" w:firstColumn="1" w:lastColumn="0" w:noHBand="0" w:noVBand="1"/>
      </w:tblPr>
      <w:tblGrid>
        <w:gridCol w:w="1951"/>
        <w:gridCol w:w="5511"/>
        <w:gridCol w:w="1293"/>
      </w:tblGrid>
      <w:tr w:rsidR="00204DE4" w14:paraId="1F4C3485" w14:textId="77777777">
        <w:trPr>
          <w:trHeight w:val="423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E6178" w14:textId="77777777" w:rsidR="00204DE4" w:rsidRDefault="00000000">
            <w:pPr>
              <w:pStyle w:val="TableParagraph"/>
              <w:spacing w:before="0"/>
              <w:jc w:val="center"/>
              <w:rPr>
                <w:rFonts w:ascii="宋体" w:eastAsia="宋体" w:hAnsi="宋体" w:cs="宋体" w:hint="eastAsia"/>
                <w:b/>
                <w:sz w:val="18"/>
              </w:rPr>
            </w:pPr>
            <w:r>
              <w:rPr>
                <w:rFonts w:ascii="宋体" w:eastAsia="宋体" w:hAnsi="宋体" w:cs="宋体"/>
                <w:b/>
                <w:sz w:val="18"/>
                <w:szCs w:val="18"/>
              </w:rPr>
              <w:lastRenderedPageBreak/>
              <w:t>毕业要求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DE58D" w14:textId="77777777" w:rsidR="00204DE4" w:rsidRDefault="00000000">
            <w:pPr>
              <w:pStyle w:val="TableParagraph"/>
              <w:spacing w:before="0"/>
              <w:jc w:val="center"/>
              <w:rPr>
                <w:rFonts w:ascii="宋体" w:eastAsia="宋体" w:hAnsi="宋体" w:cs="宋体" w:hint="eastAsia"/>
                <w:b/>
                <w:sz w:val="18"/>
              </w:rPr>
            </w:pPr>
            <w:r>
              <w:rPr>
                <w:rFonts w:ascii="宋体" w:eastAsia="宋体" w:hAnsi="宋体" w:cs="宋体"/>
                <w:b/>
                <w:sz w:val="18"/>
                <w:szCs w:val="18"/>
              </w:rPr>
              <w:t>毕业要求指标点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C2B77" w14:textId="77777777" w:rsidR="00204DE4" w:rsidRDefault="00000000">
            <w:pPr>
              <w:pStyle w:val="TableParagraph"/>
              <w:spacing w:before="0"/>
              <w:jc w:val="center"/>
              <w:rPr>
                <w:rFonts w:ascii="宋体" w:eastAsia="宋体" w:hAnsi="宋体" w:cs="宋体" w:hint="eastAsia"/>
                <w:b/>
                <w:sz w:val="18"/>
              </w:rPr>
            </w:pPr>
            <w:r>
              <w:rPr>
                <w:rFonts w:ascii="宋体" w:eastAsia="宋体" w:hAnsi="宋体" w:cs="宋体"/>
                <w:b/>
                <w:sz w:val="18"/>
                <w:szCs w:val="18"/>
              </w:rPr>
              <w:t>课程目标</w:t>
            </w:r>
          </w:p>
        </w:tc>
      </w:tr>
      <w:tr w:rsidR="00204DE4" w14:paraId="080A68A5" w14:textId="77777777">
        <w:trPr>
          <w:trHeight w:val="567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7A650" w14:textId="77777777" w:rsidR="00204DE4" w:rsidRDefault="00000000">
            <w:pPr>
              <w:pStyle w:val="TableParagraph"/>
              <w:spacing w:before="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1.工程知识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164A" w14:textId="77777777" w:rsidR="00204DE4" w:rsidRDefault="00000000">
            <w:pPr>
              <w:pStyle w:val="TableParagraph"/>
              <w:spacing w:before="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1.4</w:t>
            </w:r>
            <w:bookmarkStart w:id="5" w:name="_Hlk113868586"/>
            <w:r>
              <w:rPr>
                <w:rFonts w:ascii="宋体" w:eastAsia="宋体" w:hAnsi="宋体" w:cs="宋体"/>
                <w:sz w:val="18"/>
                <w:szCs w:val="18"/>
              </w:rPr>
              <w:t>能够运用软件工程专业知识和数学模型方法</w:t>
            </w:r>
            <w:bookmarkStart w:id="6" w:name="_Hlk113868338"/>
            <w:r>
              <w:rPr>
                <w:rFonts w:ascii="宋体" w:eastAsia="宋体" w:hAnsi="宋体" w:cs="宋体"/>
                <w:sz w:val="18"/>
                <w:szCs w:val="18"/>
              </w:rPr>
              <w:t>对复杂软件工程问题的解决方案进行比较和评价</w:t>
            </w:r>
            <w:bookmarkEnd w:id="6"/>
            <w:r>
              <w:rPr>
                <w:rFonts w:ascii="宋体" w:eastAsia="宋体" w:hAnsi="宋体" w:cs="宋体"/>
                <w:sz w:val="18"/>
                <w:szCs w:val="18"/>
              </w:rPr>
              <w:t>。</w:t>
            </w:r>
            <w:bookmarkEnd w:id="5"/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7FCCF" w14:textId="77777777" w:rsidR="00204DE4" w:rsidRDefault="00000000">
            <w:pPr>
              <w:pStyle w:val="TableParagraph"/>
              <w:spacing w:before="0"/>
              <w:rPr>
                <w:rFonts w:ascii="宋体" w:eastAsia="宋体" w:hAnsi="宋体" w:cs="宋体" w:hint="eastAsia"/>
                <w:sz w:val="18"/>
                <w:szCs w:val="18"/>
                <w:lang w:val="en-US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val="en-US"/>
              </w:rPr>
              <w:t>1</w:t>
            </w:r>
          </w:p>
        </w:tc>
      </w:tr>
      <w:tr w:rsidR="00204DE4" w14:paraId="640BCC0D" w14:textId="77777777">
        <w:trPr>
          <w:trHeight w:val="567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D3472" w14:textId="77777777" w:rsidR="00204DE4" w:rsidRDefault="00000000">
            <w:pPr>
              <w:pStyle w:val="TableParagraph"/>
              <w:spacing w:before="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3.设计/开发解决方案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1BD3A" w14:textId="77777777" w:rsidR="00204DE4" w:rsidRDefault="00000000">
            <w:pPr>
              <w:pStyle w:val="TableParagraph"/>
              <w:spacing w:before="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3.1</w:t>
            </w:r>
            <w:bookmarkStart w:id="7" w:name="_Hlk113868574"/>
            <w:r>
              <w:rPr>
                <w:rFonts w:ascii="宋体" w:eastAsia="宋体" w:hAnsi="宋体" w:cs="宋体"/>
                <w:sz w:val="18"/>
                <w:szCs w:val="18"/>
              </w:rPr>
              <w:t>掌握软件工程设计和软件产品开发全周期的基本设计/开发方法和技术，了解影响设计目标和技术方案的各种因素</w:t>
            </w:r>
            <w:bookmarkEnd w:id="7"/>
            <w:r>
              <w:rPr>
                <w:rFonts w:ascii="宋体" w:eastAsia="宋体" w:hAnsi="宋体" w:cs="宋体"/>
                <w:sz w:val="18"/>
                <w:szCs w:val="18"/>
              </w:rPr>
              <w:t>。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51C4E" w14:textId="77777777" w:rsidR="00204DE4" w:rsidRDefault="00000000">
            <w:pPr>
              <w:pStyle w:val="TableParagraph"/>
              <w:spacing w:before="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</w:tr>
      <w:tr w:rsidR="00204DE4" w14:paraId="27C5CC2F" w14:textId="77777777">
        <w:trPr>
          <w:trHeight w:val="567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00842" w14:textId="77777777" w:rsidR="00204DE4" w:rsidRDefault="00000000">
            <w:pPr>
              <w:pStyle w:val="TableParagraph"/>
              <w:spacing w:before="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5.使用现代工具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99748" w14:textId="77777777" w:rsidR="00204DE4" w:rsidRDefault="00000000">
            <w:pPr>
              <w:pStyle w:val="TableParagraph"/>
              <w:spacing w:before="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5.1 掌握现代软件工程中常用的现代仪器、信息技术工具、工程工具和模拟软件的使用原理和方法，并理解其局限性。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D6DAF" w14:textId="77777777" w:rsidR="00204DE4" w:rsidRDefault="00000000">
            <w:pPr>
              <w:pStyle w:val="TableParagraph"/>
              <w:spacing w:before="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3、4</w:t>
            </w:r>
          </w:p>
        </w:tc>
      </w:tr>
    </w:tbl>
    <w:p w14:paraId="6A36F96B" w14:textId="77777777" w:rsidR="00204DE4" w:rsidRDefault="00000000">
      <w:pPr>
        <w:pStyle w:val="aa"/>
        <w:jc w:val="center"/>
        <w:rPr>
          <w:rFonts w:ascii="宋体" w:hAnsi="宋体" w:cs="宋体" w:hint="eastAsia"/>
          <w:b/>
          <w:szCs w:val="21"/>
        </w:rPr>
      </w:pPr>
      <w:r>
        <w:t>表</w:t>
      </w:r>
      <w:r>
        <w:rPr>
          <w:rFonts w:eastAsia="等线 Light" w:cs="等线 Light"/>
        </w:rPr>
        <w:t xml:space="preserve"> </w:t>
      </w:r>
      <w:r>
        <w:t>1</w:t>
      </w:r>
      <w:r>
        <w:rPr>
          <w:rFonts w:ascii="宋体" w:eastAsia="宋体" w:hAnsi="宋体" w:cs="宋体"/>
          <w:b/>
          <w:szCs w:val="21"/>
        </w:rPr>
        <w:t xml:space="preserve"> </w:t>
      </w:r>
      <w:r>
        <w:rPr>
          <w:rFonts w:ascii="宋体" w:hAnsi="宋体" w:cs="宋体"/>
          <w:b/>
          <w:szCs w:val="21"/>
        </w:rPr>
        <w:t>课程目标与毕业要求映射表</w:t>
      </w:r>
    </w:p>
    <w:p w14:paraId="5A0B6F9C" w14:textId="77777777" w:rsidR="00DA3830" w:rsidRDefault="00DA3830">
      <w:pPr>
        <w:pStyle w:val="a8"/>
        <w:tabs>
          <w:tab w:val="left" w:pos="3055"/>
        </w:tabs>
        <w:spacing w:before="160"/>
        <w:ind w:left="0"/>
        <w:rPr>
          <w:rFonts w:ascii="宋体" w:eastAsia="宋体" w:hAnsi="宋体" w:cs="宋体" w:hint="eastAsia"/>
          <w:b/>
          <w:spacing w:val="-1"/>
          <w:highlight w:val="yellow"/>
          <w:lang w:val="en-US"/>
        </w:rPr>
      </w:pPr>
    </w:p>
    <w:p w14:paraId="03C5A98A" w14:textId="77777777" w:rsidR="00204DE4" w:rsidRPr="002C4561" w:rsidRDefault="00000000" w:rsidP="002C4561">
      <w:pPr>
        <w:pStyle w:val="3"/>
        <w:keepNext w:val="0"/>
        <w:keepLines w:val="0"/>
        <w:spacing w:before="0" w:after="0" w:line="360" w:lineRule="auto"/>
        <w:rPr>
          <w:rFonts w:ascii="宋体" w:hAnsi="宋体" w:cs="宋体" w:hint="eastAsia"/>
          <w:bCs w:val="0"/>
          <w:sz w:val="21"/>
          <w:szCs w:val="21"/>
        </w:rPr>
      </w:pPr>
      <w:r w:rsidRPr="002C4561">
        <w:rPr>
          <w:rFonts w:ascii="宋体" w:hAnsi="宋体" w:cs="宋体"/>
          <w:bCs w:val="0"/>
          <w:sz w:val="21"/>
          <w:szCs w:val="21"/>
        </w:rPr>
        <w:t>五、课程内容</w:t>
      </w:r>
    </w:p>
    <w:p w14:paraId="5105BBE5" w14:textId="77777777" w:rsidR="00204DE4" w:rsidRDefault="00000000" w:rsidP="00DA3830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b/>
          <w:bCs/>
          <w:szCs w:val="21"/>
        </w:rPr>
        <w:t>第一章：标准与规范（2学时，支撑课程目标1）</w:t>
      </w:r>
    </w:p>
    <w:p w14:paraId="640612D6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1.教学重点和难点</w:t>
      </w:r>
    </w:p>
    <w:p w14:paraId="580D82FE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重点：软件工程标准规范体系与主要标准；流程规范与内容规范；提示词模式作为人与AI之间的规格说明；质量模型的可维护性子特性及其判定。</w:t>
      </w:r>
    </w:p>
    <w:p w14:paraId="19672FA7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难点：标准允许按项目剪裁，以及标准体系内部的版本差；把与AI协作纳入工程规范范畴的意识转变。</w:t>
      </w:r>
    </w:p>
    <w:p w14:paraId="269BEA4B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2.教学基本要求</w:t>
      </w:r>
    </w:p>
    <w:p w14:paraId="467803CE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理解：课程教学目标、考核方法与教学设计；软件工程的基本内涵；流程规范规定按什么步骤做，内容规范规定产物必须写成什么样。</w:t>
      </w:r>
    </w:p>
    <w:p w14:paraId="0536D766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了解：软件工程标准体系与主要国家标准；线上学习资源与学习方法。</w:t>
      </w:r>
    </w:p>
    <w:p w14:paraId="23F20433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掌握：质量模型的可维护性子特性；本课程对AI协作与产出验收的规定。</w:t>
      </w:r>
    </w:p>
    <w:p w14:paraId="1697EF72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3.教学基本内容</w:t>
      </w:r>
    </w:p>
    <w:p w14:paraId="5DC9B6DD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课程导入：教学目标、教学设计（方法与过程模型）、教学方式、考核方法与AI使用规范。</w:t>
      </w:r>
    </w:p>
    <w:p w14:paraId="1E791CF2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软件工程标准规范体系：标准的层次，软件工程主要国家标准及其版本演进。</w:t>
      </w:r>
    </w:p>
    <w:p w14:paraId="27582F88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规范：流程规范与内容规范，标准可以按项目剪裁。</w:t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</w:p>
    <w:p w14:paraId="7D24300C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质量模型：产品质量模型与使用质量模型，</w:t>
      </w:r>
      <w:r>
        <w:rPr>
          <w:rFonts w:ascii="宋体" w:hAnsi="宋体" w:cs="宋体" w:hint="eastAsia"/>
          <w:szCs w:val="21"/>
        </w:rPr>
        <w:t>使用</w:t>
      </w:r>
      <w:r>
        <w:rPr>
          <w:rFonts w:ascii="宋体" w:hAnsi="宋体" w:cs="宋体"/>
          <w:szCs w:val="21"/>
        </w:rPr>
        <w:t>可维护性的子特性</w:t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/>
          <w:szCs w:val="21"/>
        </w:rPr>
        <w:t>模块化、可复用性、易分析性、易修改性、易测试性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/>
          <w:szCs w:val="21"/>
        </w:rPr>
        <w:t>来比较、评价设计方案。</w:t>
      </w:r>
    </w:p>
    <w:p w14:paraId="70542CAD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AI for SE：提示词模式，如Persona、Few-shot、Template、Question Refinement等；AI</w:t>
      </w:r>
      <w:r>
        <w:rPr>
          <w:rFonts w:ascii="宋体" w:hAnsi="宋体" w:cs="宋体"/>
          <w:szCs w:val="21"/>
        </w:rPr>
        <w:lastRenderedPageBreak/>
        <w:t>协作工作流：任务分解 → 上下文与边界界定 → 先写验收准则 → 人工审查与修订记录；AI输出的核对内容</w:t>
      </w:r>
      <w:r>
        <w:rPr>
          <w:rFonts w:ascii="宋体" w:hAnsi="宋体" w:cs="宋体" w:hint="eastAsia"/>
          <w:szCs w:val="21"/>
        </w:rPr>
        <w:t>：</w:t>
      </w:r>
      <w:r>
        <w:rPr>
          <w:rFonts w:ascii="宋体" w:hAnsi="宋体" w:cs="宋体"/>
          <w:szCs w:val="21"/>
        </w:rPr>
        <w:t>核对引用是否存在、核对运行时事实、区分原理与实现、拿原则与规范作依据；先写验收准则、标注AI的使用范围、对产出承担解释责任。</w:t>
      </w:r>
    </w:p>
    <w:p w14:paraId="6842CD79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4.教学建议</w:t>
      </w:r>
    </w:p>
    <w:p w14:paraId="65D1990F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结合课程选定的</w:t>
      </w:r>
      <w:r>
        <w:rPr>
          <w:rFonts w:ascii="宋体" w:hAnsi="宋体" w:cs="宋体" w:hint="eastAsia"/>
          <w:szCs w:val="21"/>
        </w:rPr>
        <w:t>棕地项目</w:t>
      </w:r>
      <w:r>
        <w:rPr>
          <w:rFonts w:ascii="宋体" w:hAnsi="宋体" w:cs="宋体"/>
          <w:szCs w:val="21"/>
        </w:rPr>
        <w:t>，安排一次当场判断；</w:t>
      </w:r>
    </w:p>
    <w:p w14:paraId="34E9C930" w14:textId="77777777" w:rsidR="00204DE4" w:rsidRDefault="007D43CC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线上预习标准文本与规范条目，课堂只讲规范之间的关系与取舍；</w:t>
      </w:r>
    </w:p>
    <w:p w14:paraId="07D81021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第一次课公布本课程对使用生成式AI的规定，并说明协作记录与提交说明的写法。</w:t>
      </w:r>
    </w:p>
    <w:p w14:paraId="06EF85BA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5.本章参考资料</w:t>
      </w:r>
    </w:p>
    <w:p w14:paraId="2DE9EBD7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[15] SWEBOK Guide V4.0第4章；[16] GB/T 25000.10-2016第4章（承接ISO/IEC 25010:2011，八特性）；[17] GB/T 8566-2022；[18] GB/T 8567-2006；[19] ISO/IEC 25010:2023（九特性，新增系统安全Safety</w:t>
      </w:r>
      <w:r w:rsidR="0022529C">
        <w:rPr>
          <w:rFonts w:ascii="宋体" w:hAnsi="宋体" w:cs="宋体"/>
          <w:szCs w:val="21"/>
        </w:rPr>
        <w:t>,</w:t>
      </w:r>
      <w:r w:rsidR="0022529C" w:rsidRPr="0022529C">
        <w:rPr>
          <w:rFonts w:hint="eastAsia"/>
        </w:rPr>
        <w:t xml:space="preserve"> </w:t>
      </w:r>
      <w:r w:rsidR="0022529C" w:rsidRPr="0022529C">
        <w:rPr>
          <w:rFonts w:ascii="宋体" w:hAnsi="宋体" w:cs="宋体"/>
          <w:szCs w:val="21"/>
        </w:rPr>
        <w:t>Usability→Interaction Capability、Portability→Flexibility</w:t>
      </w:r>
      <w:r>
        <w:rPr>
          <w:rFonts w:ascii="宋体" w:hAnsi="宋体" w:cs="宋体"/>
          <w:szCs w:val="21"/>
        </w:rPr>
        <w:t>）；[20] ISO/IEC/IEEE 12207:2026；[29] White等 2023（提示词模式）；[42] Vanderbilt《Prompt Engineering for ChatGPT》；[44] Northeastern CS4530《Policy on Use of AI》；[47] 课程组《AI协作与产出验收规范》。</w:t>
      </w:r>
    </w:p>
    <w:p w14:paraId="02096496" w14:textId="77777777" w:rsidR="00204DE4" w:rsidRDefault="00000000" w:rsidP="00DA3830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b/>
          <w:bCs/>
          <w:szCs w:val="21"/>
        </w:rPr>
        <w:t>第二章：运行环境（4学时，支撑课程目标1、3）</w:t>
      </w:r>
    </w:p>
    <w:p w14:paraId="3D647AED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1.教学重点和难点</w:t>
      </w:r>
    </w:p>
    <w:p w14:paraId="52CCA4EC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重点：软件运行环境的主要形态，单体、分布式、容器化，云服务的层次；各运行形态的适用范围与工程用法。</w:t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</w:p>
    <w:p w14:paraId="0FDFE5E0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难点：运行环境作为体系结构的约束来源</w:t>
      </w:r>
      <w:r>
        <w:rPr>
          <w:rFonts w:ascii="宋体" w:hAnsi="宋体" w:cs="宋体" w:hint="eastAsia"/>
          <w:szCs w:val="21"/>
        </w:rPr>
        <w:t>：</w:t>
      </w:r>
      <w:r>
        <w:rPr>
          <w:rFonts w:ascii="宋体" w:hAnsi="宋体" w:cs="宋体"/>
          <w:szCs w:val="21"/>
        </w:rPr>
        <w:t>环境变了，部署方式与物理视图随之变化；在受约束的环境里搭建并运行一个既有系统。</w:t>
      </w:r>
    </w:p>
    <w:p w14:paraId="1B828AAF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2.教学基本要求</w:t>
      </w:r>
    </w:p>
    <w:p w14:paraId="7A0F19E9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了解：开发环境与运行环境；虚拟化与云计算的层次；基础设施即服务IaaS、平台即服务PaaS、软件即服务SaaS；单体、分布式与容器化部署。</w:t>
      </w:r>
    </w:p>
    <w:p w14:paraId="306204A5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理解：运行环境与体系结构的关系，运行环境的演化脉络。</w:t>
      </w:r>
    </w:p>
    <w:p w14:paraId="3B58F14D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掌握：能在给定的环境中搭建、编译并运行</w:t>
      </w:r>
      <w:r>
        <w:rPr>
          <w:rFonts w:ascii="宋体" w:hAnsi="宋体" w:cs="宋体" w:hint="eastAsia"/>
          <w:szCs w:val="21"/>
        </w:rPr>
        <w:t>棕地</w:t>
      </w:r>
      <w:r>
        <w:rPr>
          <w:rFonts w:ascii="宋体" w:hAnsi="宋体" w:cs="宋体"/>
          <w:szCs w:val="21"/>
        </w:rPr>
        <w:t>项目；能借助AI排查环境类故障，并按AI输出的核对内容核对AI给出的排查建议。</w:t>
      </w:r>
    </w:p>
    <w:p w14:paraId="5E2DFC20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3.教学基本内容</w:t>
      </w:r>
    </w:p>
    <w:p w14:paraId="252E39B5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软件运行环境：开发环境与运行环境；虚拟化与云计算层次（基础设施即服务IaaS、平台即服务PaaS、软件即服务SaaS）；单体、分布式、容器化；运行环境的演化脉络。各运行形态按它回应的非功能需求与带来的代价讲授，并与软件发展过程或质量特性相联系。</w:t>
      </w:r>
    </w:p>
    <w:p w14:paraId="7968A5AC" w14:textId="77777777" w:rsidR="00204DE4" w:rsidRDefault="009D442B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实验环境：数据库、缓存、消息中间件、检索组件等在系统中的位置与边界；容器化编排方式；配置与密钥的管理要求。</w:t>
      </w:r>
    </w:p>
    <w:p w14:paraId="3EA8BE48" w14:textId="77777777" w:rsidR="00204DE4" w:rsidRDefault="007D43CC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棕地</w:t>
      </w:r>
      <w:r>
        <w:rPr>
          <w:rFonts w:ascii="宋体" w:hAnsi="宋体" w:cs="宋体"/>
          <w:szCs w:val="21"/>
        </w:rPr>
        <w:t>项目选取原则与使用约定：业务背景，模块划分、构建方式、启动方式；选取标准与全</w:t>
      </w:r>
      <w:r>
        <w:rPr>
          <w:rFonts w:ascii="宋体" w:hAnsi="宋体" w:cs="宋体"/>
          <w:szCs w:val="21"/>
        </w:rPr>
        <w:lastRenderedPageBreak/>
        <w:t>课程统一使用的约定，以及不得修改的部分。</w:t>
      </w:r>
    </w:p>
    <w:p w14:paraId="3EA8BE48" w14:textId="77777777" w:rsidR="00204DE4" w:rsidRDefault="007D43CC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软件设计的基本概念：抽象与逐步求精；模块化与信息隐藏，按"藏起什么设计决定"划分模块；内聚与耦合，追求高内聚、低耦合。结合本项目的模块依赖图讲授。</w:t>
      </w:r>
      <w:r>
        <w:rPr>
          <w:rFonts w:ascii="宋体" w:hAnsi="宋体" w:cs="宋体"/>
          <w:szCs w:val="21"/>
        </w:rPr>
      </w:r>
      <w:r>
        <w:rPr>
          <w:rFonts w:ascii="宋体" w:hAnsi="宋体" w:cs="宋体"/>
          <w:szCs w:val="21"/>
        </w:rPr>
      </w:r>
    </w:p>
    <w:p w14:paraId="6A98A14D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AI for SE：AI辅助环境搭建与故障排查。</w:t>
      </w:r>
    </w:p>
    <w:p w14:paraId="7C70FC4F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4.教学建议</w:t>
      </w:r>
    </w:p>
    <w:p w14:paraId="158C4DC6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以</w:t>
      </w:r>
      <w:r>
        <w:rPr>
          <w:rFonts w:ascii="宋体" w:hAnsi="宋体" w:cs="宋体" w:hint="eastAsia"/>
          <w:szCs w:val="21"/>
        </w:rPr>
        <w:t>棕地</w:t>
      </w:r>
      <w:r>
        <w:rPr>
          <w:rFonts w:ascii="宋体" w:hAnsi="宋体" w:cs="宋体"/>
          <w:szCs w:val="21"/>
        </w:rPr>
        <w:t>项目的运行环境为例讲物理视图与部署形态的差异；</w:t>
      </w:r>
    </w:p>
    <w:p w14:paraId="42906E23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本讲安排一次环境搭建实验，学生在本地或给定环境中把系统跑起来，教师现场演示整站运行，避免后续实验把时间耗在环境上。</w:t>
      </w:r>
    </w:p>
    <w:p w14:paraId="39DDF9F3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5.本章参考资料</w:t>
      </w:r>
    </w:p>
    <w:p w14:paraId="13CAB2D3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[21] NIST SP 800-145；[22] Parnas 1972；[27] Le等 2015；[43] UC Berkeley《Large Language Model Agents》；[45] 课程实例项目mall；[46] mall的微服务版本mall-swarm；[47] 课程组《AI协作与产出验收规范》；[48] 课程组《mall／mall-swarm 产品拆解》。</w:t>
      </w:r>
    </w:p>
    <w:p w14:paraId="623B106F" w14:textId="77777777" w:rsidR="00204DE4" w:rsidRDefault="00000000" w:rsidP="00DA3830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b/>
          <w:bCs/>
          <w:szCs w:val="21"/>
        </w:rPr>
        <w:t>第三章：体系结构设计（8学时，支撑课程目标1、2、3）</w:t>
      </w:r>
    </w:p>
    <w:p w14:paraId="0EF24C9E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1.教学重点和难点</w:t>
      </w:r>
    </w:p>
    <w:p w14:paraId="0071F828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重点：需求分析与需求验收准则；视图建模；分层与架构边界；设计原则与SOLID；表现层架构模式；依赖注入与控制反转；对象关系映射。</w:t>
      </w:r>
    </w:p>
    <w:p w14:paraId="2F49D732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难点：把依赖方向写成可重复执行的检查规则；接手既有系统时先判断不可修改的部分；区分设计原理与具体框架的实现。</w:t>
      </w:r>
    </w:p>
    <w:p w14:paraId="3ED169A3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2.教学基本要求</w:t>
      </w:r>
    </w:p>
    <w:p w14:paraId="02CE7AB5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理解：视图与利益相关者关注点的对应关系；Tier（部署层次）与Layer（逻辑层次）的区别；架构决策记录的结构；对象与关系数据库之间的阻抗失配；几种数据源架构模式的差别；工作单元、标识映射、延迟加载各自解决什么问题。</w:t>
      </w:r>
    </w:p>
    <w:p w14:paraId="46461D83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掌握：需求验收准则的写法；分层的职责与依赖方向；识别分层缺陷；架构约束的表达与检查；不得修改部分的识别；表现与业务分离的原则；控制反转与依赖注入的方式及其与服务定位器的比较；能评价既有系统中表现层组织、依赖装配和数据访问方式的设计取舍。</w:t>
      </w:r>
    </w:p>
    <w:p w14:paraId="0AE7076F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3.教学基本内容</w:t>
      </w:r>
    </w:p>
    <w:p w14:paraId="5C14D376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需求分析：参与者与用例、业务规则、需求验收准则；</w:t>
      </w:r>
      <w:r>
        <w:rPr>
          <w:rFonts w:ascii="宋体" w:hAnsi="宋体" w:cs="宋体" w:hint="eastAsia"/>
          <w:szCs w:val="21"/>
        </w:rPr>
        <w:t>使用追问写清楚</w:t>
      </w:r>
      <w:r>
        <w:rPr>
          <w:rFonts w:ascii="宋体" w:hAnsi="宋体" w:cs="宋体"/>
          <w:szCs w:val="21"/>
        </w:rPr>
        <w:t>需求。</w:t>
      </w:r>
    </w:p>
    <w:p w14:paraId="2601412B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视图建模：逻辑视图、进程视图、开发视图、物理视图与场景；用UML（统一建模语言）类图、顺序图、包图、部署图分别表达逻辑视图、进程视图、开发视图与物理视图；体系结构风格与架构边界的划分方式，各自的依赖方向。</w:t>
      </w:r>
    </w:p>
    <w:p w14:paraId="192DC64C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分层与架构约束：违背分层的常见形态；把依赖方向写成可自动执行的检查规则；</w:t>
      </w:r>
      <w:r>
        <w:rPr>
          <w:rFonts w:ascii="宋体" w:hAnsi="宋体" w:cs="宋体" w:hint="eastAsia"/>
          <w:szCs w:val="21"/>
        </w:rPr>
        <w:t>应防止</w:t>
      </w:r>
      <w:r>
        <w:rPr>
          <w:rFonts w:ascii="宋体" w:hAnsi="宋体" w:cs="宋体"/>
          <w:szCs w:val="21"/>
        </w:rPr>
        <w:t>后续修改违背约束。含AI组件的体系结构，如模型即服务（MaaS）接入、检索增强生成（RAG）、智能体编排；AI组件应按不可靠外部依赖对待，</w:t>
      </w:r>
      <w:r>
        <w:rPr>
          <w:rFonts w:ascii="宋体" w:hAnsi="宋体" w:cs="宋体" w:hint="eastAsia"/>
          <w:szCs w:val="21"/>
        </w:rPr>
        <w:t>借鉴</w:t>
      </w:r>
      <w:r>
        <w:rPr>
          <w:rFonts w:ascii="宋体" w:hAnsi="宋体" w:cs="宋体"/>
          <w:szCs w:val="21"/>
        </w:rPr>
        <w:t>分层解耦思想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/>
          <w:szCs w:val="21"/>
        </w:rPr>
        <w:t>架构上的应对</w:t>
      </w:r>
      <w:r>
        <w:rPr>
          <w:rFonts w:ascii="宋体" w:hAnsi="宋体" w:cs="宋体" w:hint="eastAsia"/>
          <w:szCs w:val="21"/>
        </w:rPr>
        <w:t>措施：</w:t>
      </w:r>
      <w:r>
        <w:rPr>
          <w:rFonts w:ascii="宋体" w:hAnsi="宋体" w:cs="宋体"/>
          <w:szCs w:val="21"/>
        </w:rPr>
        <w:t>隔离、超时、重试、缓存与降级。</w:t>
      </w:r>
    </w:p>
    <w:p w14:paraId="501C9161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表现层架构模式：表现逻辑与领域逻辑分离，状态通过事件同步；表现层模式MVC（模型—视图—控制器）、MVVM（模型—视图—视图模型）的组成、依赖方向与可测试性。</w:t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</w:p>
    <w:p w14:paraId="0C1D0384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lastRenderedPageBreak/>
        <w:t>不得修改的部分与架构决策记录：接手既有系统时先判定不可修改的部分；视图说明系统长什么样，架构决策记录说明当初这样定的理由。</w:t>
      </w:r>
    </w:p>
    <w:p w14:paraId="0C1D0384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设计原则与SOLID：常见设计原则（KISS、DRY、Tell Don't Ask、YAGNI、SoC，以及不过度设计）各一句定义与一处本项目证据；SOLID（面向对象设计的五条基本原则：单一职责、开闭、里氏替换、接口隔离、依赖倒置）各一句定义与一处本项目证据，依赖倒置与依赖注入相接。原则之间会冲突，取舍要写出理由。</w:t>
      </w:r>
    </w:p>
    <w:p w14:paraId="73021971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依赖注入与控制反转：依赖注入是依赖倒置的实现机制</w:t>
      </w:r>
      <w:r>
        <w:rPr>
          <w:rFonts w:ascii="宋体" w:hAnsi="宋体" w:cs="宋体" w:hint="eastAsia"/>
          <w:szCs w:val="21"/>
        </w:rPr>
        <w:t>；</w:t>
      </w:r>
      <w:r>
        <w:rPr>
          <w:rFonts w:ascii="宋体" w:hAnsi="宋体" w:cs="宋体"/>
          <w:szCs w:val="21"/>
        </w:rPr>
        <w:t>配置与使用</w:t>
      </w:r>
      <w:r>
        <w:rPr>
          <w:rFonts w:ascii="宋体" w:hAnsi="宋体" w:cs="宋体" w:hint="eastAsia"/>
          <w:szCs w:val="21"/>
        </w:rPr>
        <w:t>分离</w:t>
      </w:r>
      <w:r>
        <w:rPr>
          <w:rFonts w:ascii="宋体" w:hAnsi="宋体" w:cs="宋体"/>
          <w:szCs w:val="21"/>
        </w:rPr>
        <w:t>；注入方式与组合根；</w:t>
      </w:r>
      <w:r>
        <w:rPr>
          <w:rFonts w:ascii="宋体" w:hAnsi="宋体" w:cs="宋体" w:hint="eastAsia"/>
          <w:szCs w:val="21"/>
        </w:rPr>
        <w:t>依赖注入对比</w:t>
      </w:r>
      <w:r>
        <w:rPr>
          <w:rFonts w:ascii="宋体" w:hAnsi="宋体" w:cs="宋体"/>
          <w:szCs w:val="21"/>
        </w:rPr>
        <w:t>服务定位器。</w:t>
      </w:r>
    </w:p>
    <w:p w14:paraId="3296F0C6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对象关系映射：数据绑定的原理</w:t>
      </w:r>
      <w:r>
        <w:rPr>
          <w:rFonts w:ascii="宋体" w:hAnsi="宋体" w:cs="宋体" w:hint="eastAsia"/>
          <w:szCs w:val="21"/>
        </w:rPr>
        <w:t>；</w:t>
      </w:r>
      <w:r>
        <w:rPr>
          <w:rFonts w:ascii="宋体" w:hAnsi="宋体" w:cs="宋体"/>
          <w:szCs w:val="21"/>
        </w:rPr>
        <w:t>阻抗失配；数据源架构模式的适用场合；工作单元、标识映射、延迟加载；全映射方案与SQL映射方案的取舍。</w:t>
      </w:r>
    </w:p>
    <w:p w14:paraId="7E893534" w14:textId="77777777" w:rsidR="00204DE4" w:rsidRDefault="006E3B1B" w:rsidP="006E3B1B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AI产出的验收方法：AI产出的验收准则（准确率/拒答率/延迟/成本/幻觉容忍度 → 阈值）；评测集构建方法；对抗用例设计（越界输入、提示注入尝试）；提示注入与最小权限原则；风险台账与验收报告结构；放行／降级／驳回的判定依据。</w:t>
      </w:r>
    </w:p>
    <w:p w14:paraId="70CB0E0A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4.教学建议</w:t>
      </w:r>
    </w:p>
    <w:p w14:paraId="38E6831B" w14:textId="77777777" w:rsidR="00204DE4" w:rsidRDefault="00910DF9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使用棕地项目的</w:t>
      </w:r>
      <w:r>
        <w:rPr>
          <w:rFonts w:ascii="宋体" w:hAnsi="宋体" w:cs="宋体"/>
          <w:szCs w:val="21"/>
        </w:rPr>
        <w:t>模块依赖图、生成代码边界和共用表结构讲不得修改的部分；用同一业务存在两处实现这类现象，讨论它属于架构缺陷还是合理的边界；</w:t>
      </w:r>
    </w:p>
    <w:p w14:paraId="7E4064D1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通过实例讲解依赖注入原理，使用</w:t>
      </w:r>
      <w:r>
        <w:rPr>
          <w:rFonts w:ascii="宋体" w:hAnsi="宋体" w:cs="宋体" w:hint="eastAsia"/>
          <w:szCs w:val="21"/>
        </w:rPr>
        <w:t>Spring、CommunityToolkit等</w:t>
      </w:r>
      <w:r>
        <w:rPr>
          <w:rFonts w:ascii="宋体" w:hAnsi="宋体" w:cs="宋体"/>
          <w:szCs w:val="21"/>
        </w:rPr>
        <w:t>不同实现技术进行横向比较。</w:t>
      </w:r>
    </w:p>
    <w:p w14:paraId="0768A71B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通过实例讲解数据源架构模式的选择与代价；线上预习框架的接口与配置。</w:t>
      </w:r>
    </w:p>
    <w:p w14:paraId="54DF6FFA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5.本章参考资料</w:t>
      </w:r>
    </w:p>
    <w:p w14:paraId="1AD7BA5D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[1] 《软件设计与体系结构》；[7] Fowler《企业应用架构模式》第1、3、4章；[8] Ford等《演进式架构》；[9] Evans《领域驱动设计》第4章；[10] Vernon《实现领域驱动设计》第4章；[11] Newman《微服务设计》；[25] Kruchten 1995；[36] Fowler《GUI Architectures》；[37] Fowler《IoC容器与依赖注入》；[38] Microsoft《Model-View-ViewModel》；[49] Nygard《Documenting Architecture Decisions》；[39] Spring参考文档“Dependency Injection”。</w:t>
      </w:r>
    </w:p>
    <w:p w14:paraId="611554E1" w14:textId="77777777" w:rsidR="00204DE4" w:rsidRDefault="00000000" w:rsidP="00DA3830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b/>
          <w:bCs/>
          <w:szCs w:val="21"/>
        </w:rPr>
        <w:t>第四章：软件设计、重构与系统演化（8学时，支撑课程目标2、3）</w:t>
      </w:r>
    </w:p>
    <w:p w14:paraId="0A662671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1.教学重点和难点</w:t>
      </w:r>
    </w:p>
    <w:p w14:paraId="0BDD6358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重点：模式的效果；从坏味道到重构再到模式；特征测试与接缝；逆向工程与再工程。</w:t>
      </w:r>
    </w:p>
    <w:p w14:paraId="4738D37A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难点：模式是重构的结果，不是设计的起点；没有测试保护就不能修改既有代码；在维护、重构、再工程和替换之间作选择。</w:t>
      </w:r>
    </w:p>
    <w:p w14:paraId="6A15C51C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2.教学基本要求</w:t>
      </w:r>
    </w:p>
    <w:p w14:paraId="6037C28C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理解：模式；常见坏味道；软件演化规律；从业务价值和系统质量角度评价遗留系统；再工程的过程。</w:t>
      </w:r>
    </w:p>
    <w:p w14:paraId="562F6CF8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掌握：用策略、状态、模板方法等模式消除对应的坏味道，并说明引入模式的代价；为既有代码编写特征测试，利用接缝在测试保护下安全修改；能读懂既有系统的结构并作出改造方案。</w:t>
      </w:r>
    </w:p>
    <w:p w14:paraId="74744673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3.教学基本内容</w:t>
      </w:r>
    </w:p>
    <w:p w14:paraId="2BBF9A3F" w14:textId="77777777" w:rsidR="00EA3DE2" w:rsidRDefault="00EA3DE2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软件设计过程：软件设计的一般过程（两层迭代），软件设计的主要活动（设计计划、体系结构设计、界面设计、模块/子系统设计、数据模型设计、过程/算法设计），各活动配一个典型例子；以订单为例，讲解抽象与逐步求精过程，说明软件设计过程与主要活动；软件设计的质量，软件设计规格说明，软件设计评审。抽象与逐步求精、模块化与信息隐藏、内聚与耦合已在第二章讲授；SOLID已在第三章讲授，此处只做应用与判定。</w:t>
      </w:r>
    </w:p>
    <w:p w14:paraId="708D2F16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设计模式：模式的四个要素（名称、问题、解决方案、效果）；评价模式，得到什么、失去什么；策略模式、装饰模式、状态模式与模板方法各用四个要素写一遍，并说明各自消除的坏味道（条件分支密集时用策略或状态模式，重复的处理流程用模板方法）。</w:t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</w:p>
    <w:p w14:paraId="735454C7" w14:textId="77777777" w:rsidR="00204DE4" w:rsidRDefault="006608EF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安全修改既有代码：先用特征测试固定现有行为，再通过接缝进行修改；框架的代理机制与同类方法自调用会让注解失效。</w:t>
      </w:r>
    </w:p>
    <w:p w14:paraId="054544D1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逆向工程与再工程：从代码恢复设计与体系结构；遗留系统的评价；演化策略的选择</w:t>
      </w:r>
      <w:r>
        <w:rPr>
          <w:rFonts w:ascii="宋体" w:hAnsi="宋体" w:cs="宋体" w:hint="eastAsia"/>
          <w:szCs w:val="21"/>
        </w:rPr>
        <w:t>：</w:t>
      </w:r>
      <w:r>
        <w:rPr>
          <w:rFonts w:ascii="宋体" w:hAnsi="宋体" w:cs="宋体"/>
          <w:szCs w:val="21"/>
        </w:rPr>
        <w:t>维护、重构、再工程、替换；体系结构的恢复与改善，代码重构与数据重构</w:t>
      </w:r>
      <w:r>
        <w:rPr>
          <w:rFonts w:ascii="宋体" w:hAnsi="宋体" w:cs="宋体" w:hint="eastAsia"/>
          <w:szCs w:val="21"/>
        </w:rPr>
        <w:t>；再工程的过程：</w:t>
      </w:r>
      <w:r>
        <w:rPr>
          <w:rFonts w:ascii="宋体" w:hAnsi="宋体" w:cs="宋体"/>
          <w:szCs w:val="21"/>
        </w:rPr>
        <w:t>逆向工程、设计恢复、重构、正向工程。</w:t>
      </w:r>
    </w:p>
    <w:p w14:paraId="4D6DB667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AI for SE：用AI辅助识别坏味道、生成重构方案与特征测试；</w:t>
      </w:r>
      <w:r>
        <w:rPr>
          <w:rFonts w:ascii="宋体" w:hAnsi="宋体" w:cs="宋体" w:hint="eastAsia"/>
          <w:szCs w:val="21"/>
        </w:rPr>
        <w:t>评估</w:t>
      </w:r>
      <w:r>
        <w:rPr>
          <w:rFonts w:ascii="宋体" w:hAnsi="宋体" w:cs="宋体"/>
          <w:szCs w:val="21"/>
        </w:rPr>
        <w:t>AI给出的重构</w:t>
      </w:r>
      <w:r>
        <w:rPr>
          <w:rFonts w:ascii="宋体" w:hAnsi="宋体" w:cs="宋体" w:hint="eastAsia"/>
          <w:szCs w:val="21"/>
        </w:rPr>
        <w:t>方案</w:t>
      </w:r>
      <w:r>
        <w:rPr>
          <w:rFonts w:ascii="宋体" w:hAnsi="宋体" w:cs="宋体"/>
          <w:szCs w:val="21"/>
        </w:rPr>
        <w:t>，先判断它是否触及不得修改的部分、是否夹带无关修改，再</w:t>
      </w:r>
      <w:r>
        <w:rPr>
          <w:rFonts w:ascii="宋体" w:hAnsi="宋体" w:cs="宋体" w:hint="eastAsia"/>
          <w:szCs w:val="21"/>
        </w:rPr>
        <w:t>验证设计</w:t>
      </w:r>
      <w:r>
        <w:rPr>
          <w:rFonts w:ascii="宋体" w:hAnsi="宋体" w:cs="宋体"/>
          <w:szCs w:val="21"/>
        </w:rPr>
        <w:t>。</w:t>
      </w:r>
    </w:p>
    <w:p w14:paraId="04FB7B44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4.教学建议</w:t>
      </w:r>
    </w:p>
    <w:p w14:paraId="3EB49E1E" w14:textId="77777777" w:rsidR="00204DE4" w:rsidRDefault="006608EF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坏味道与接缝</w:t>
      </w:r>
      <w:r>
        <w:rPr>
          <w:rFonts w:ascii="宋体" w:hAnsi="宋体" w:cs="宋体" w:hint="eastAsia"/>
          <w:szCs w:val="21"/>
        </w:rPr>
        <w:t>：采用实例项目中</w:t>
      </w:r>
      <w:r>
        <w:rPr>
          <w:rFonts w:ascii="宋体" w:hAnsi="宋体" w:cs="宋体"/>
          <w:szCs w:val="21"/>
        </w:rPr>
        <w:t>重复实现和自调用</w:t>
      </w:r>
      <w:r>
        <w:rPr>
          <w:rFonts w:ascii="宋体" w:hAnsi="宋体" w:cs="宋体" w:hint="eastAsia"/>
          <w:szCs w:val="21"/>
        </w:rPr>
        <w:t>现象</w:t>
      </w:r>
      <w:r>
        <w:rPr>
          <w:rFonts w:ascii="宋体" w:hAnsi="宋体" w:cs="宋体"/>
          <w:szCs w:val="21"/>
        </w:rPr>
        <w:t>；演化策略的取舍</w:t>
      </w:r>
      <w:r>
        <w:rPr>
          <w:rFonts w:ascii="宋体" w:hAnsi="宋体" w:cs="宋体" w:hint="eastAsia"/>
          <w:szCs w:val="21"/>
        </w:rPr>
        <w:t>：比较</w:t>
      </w:r>
      <w:r>
        <w:rPr>
          <w:rFonts w:ascii="宋体" w:hAnsi="宋体" w:cs="宋体"/>
          <w:szCs w:val="21"/>
        </w:rPr>
        <w:t>同一系统的单体版本与微服务版本的差异；</w:t>
      </w:r>
    </w:p>
    <w:p w14:paraId="3222CA81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lastRenderedPageBreak/>
        <w:t>接缝与特征测试的指定阅读放在做重构类实验之前；AI辅助重构要当场对照测试套件验证正确性。</w:t>
      </w:r>
    </w:p>
    <w:p w14:paraId="7BBF7606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5.本章参考资料</w:t>
      </w:r>
    </w:p>
    <w:p w14:paraId="7B1FC919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[1] 《软件设计与体系结构》；[2] Martin《敏捷软件开发》；[3] Gamma等《设计模式》第1章；[4] Fowler《重构》第2版第3章；[5] Kerievsky《重构与模式》第3章；[6] Feathers《修改代码的艺术》第4、13章；[22] Parnas 1972；[23] Lehman 1980；[24] Chikofsky等 1990；[26] Bennett等 2000；[28] Lenarduzzi等 2020。</w:t>
      </w:r>
    </w:p>
    <w:p w14:paraId="0D72CD47" w14:textId="77777777" w:rsidR="00204DE4" w:rsidRDefault="00000000" w:rsidP="00DA3830">
      <w:pPr>
        <w:spacing w:line="360" w:lineRule="auto"/>
        <w:jc w:val="center"/>
        <w:rPr>
          <w:rFonts w:ascii="宋体" w:hAnsi="宋体" w:cs="宋体" w:hint="eastAsia"/>
          <w:szCs w:val="21"/>
        </w:rPr>
      </w:pPr>
      <w:bookmarkStart w:id="8" w:name="_Hlk20493463"/>
      <w:bookmarkEnd w:id="8"/>
      <w:r>
        <w:rPr>
          <w:rFonts w:ascii="宋体" w:hAnsi="宋体" w:cs="宋体"/>
          <w:b/>
          <w:bCs/>
          <w:szCs w:val="21"/>
        </w:rPr>
        <w:t>第五章：编码、测试与部署（6学时，支撑课程目标3、4）</w:t>
      </w:r>
    </w:p>
    <w:p w14:paraId="0839E6C0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1.教学重点和难点</w:t>
      </w:r>
    </w:p>
    <w:p w14:paraId="305611F1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重点：整洁代码的判据与做法；命名规范；接口契约；测试的基本要求；面向不确定性的设计原则；代码编译与运行环境的部署。</w:t>
      </w:r>
    </w:p>
    <w:p w14:paraId="70FB1B3F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难点：理解规范本身也是设计决策；理解AI验收为何不能只看测试是否通过；利用设计原则和规范来验收AI产出，而不是只看测试与否。</w:t>
      </w:r>
    </w:p>
    <w:p w14:paraId="6C5131C6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2.教学基本要求</w:t>
      </w:r>
    </w:p>
    <w:p w14:paraId="01EF7CBC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理解：整洁代码的核心思想与主要原则；类库、程序集、命名空间三者的关系；代码评审关注的内容；提交说明的写法；测试在开发过程中的位置。</w:t>
      </w:r>
    </w:p>
    <w:p w14:paraId="5B90D8E4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掌握：变量、函数、接口与类的命名规范及面向对象约束、异常处理、分层；软件开发文档；软件复用概念、分类和代码复用原则；接口契约中资源、错误与版本的约定；AI产品测试的基本要求；能把代码编译并部署到运行环境。</w:t>
      </w:r>
    </w:p>
    <w:p w14:paraId="5EDD7D31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3.教学基本内容</w:t>
      </w:r>
    </w:p>
    <w:p w14:paraId="7218B3E3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整洁代码：核心判据是降低后续每一次阅读和修改的成本，即改一个需求需要动几处、读多少行、是否担心碰坏别处；包括命名、函数、注释、格式、错误处理、边界封装、测试与类的设计等要求；错误抽象的成本往往高于重复代码，过度拆分同样会降低可读性，一切形式要求都服从这一判据。</w:t>
        <w:br/>
        <w:t>编码规范：变量、函数、接口与类的命名规范；面向对象约束、异常与分层条目；大小写约定；不同的规范对同一问题的规定不同，例如一套偏重防缺陷，另一套偏重格式统一。</w:t>
      </w:r>
    </w:p>
    <w:p w14:paraId="38BA0BAB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接口契约规范：资源命名、错误结构、版本处理；在保持向后兼容的前提下改进接口。</w:t>
      </w:r>
    </w:p>
    <w:p w14:paraId="545E70DE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协作记录规范：代码评审的关注点；提交说明的写法与要求，使变更的原因能被他人独立读懂。</w:t>
      </w:r>
    </w:p>
    <w:p w14:paraId="461CD502" w14:textId="77777777" w:rsidR="00A64D6D" w:rsidRDefault="00A64D6D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代码评审应关注：</w:t>
      </w:r>
      <w:r>
        <w:rPr>
          <w:rFonts w:ascii="宋体" w:hAnsi="宋体" w:cs="宋体"/>
          <w:szCs w:val="21"/>
        </w:rPr>
        <w:t>设计、复杂度、测试</w:t>
      </w:r>
      <w:r>
        <w:rPr>
          <w:rFonts w:ascii="宋体" w:hAnsi="宋体" w:cs="宋体" w:hint="eastAsia"/>
          <w:szCs w:val="21"/>
        </w:rPr>
        <w:t>；</w:t>
      </w:r>
    </w:p>
    <w:p w14:paraId="5B2477D4" w14:textId="77777777" w:rsidR="00A64D6D" w:rsidRDefault="00000000" w:rsidP="00A64D6D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测试的基本要求：软件测试的级别，黑盒与白盒测试，静态与动态测试，基于控制流的覆盖率指标，软件测试3A原则，即Arrange-Act-Assert；需求验收准则；AI产品测试</w:t>
      </w:r>
      <w:r>
        <w:rPr>
          <w:rFonts w:ascii="宋体" w:hAnsi="宋体" w:cs="宋体" w:hint="eastAsia"/>
          <w:szCs w:val="21"/>
        </w:rPr>
        <w:t>：</w:t>
      </w:r>
      <w:r>
        <w:rPr>
          <w:rFonts w:ascii="宋体" w:hAnsi="宋体" w:cs="宋体"/>
          <w:szCs w:val="21"/>
        </w:rPr>
        <w:t>评测集与对抗用例、风险台账、放行与驳回的判定。</w:t>
      </w:r>
    </w:p>
    <w:p w14:paraId="5B2477D4" w14:textId="77777777" w:rsidR="00A64D6D" w:rsidRDefault="00000000" w:rsidP="00A64D6D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面向不确定性的设计：把模型预测当作不可靠组件看待，它会在未知的时刻以未知的原因出错，因此设计的目标不是消除错误，而是让系统的整体目标在出错时仍然成立。借鉴分层解耦、信息隐藏对“变化与失败”的应对思想，给出以下设计原则：（1）假设错误不可避免；（2）按后果分级选择人机分工：自动化、建议式交互、人工审批，按出错代价与用户能力选取，高风险场景保留人工回路与撤销能力；（3）护栏：用非AI的硬性手段限制预测的输入与输出，如取值区间限制、禁用词过滤、已知输入覆盖；（4）执行者与检查者：由独立组件或独立信号检测错误并纠正，不依赖模型自身的置信度；（5）分布外检测：输入偏离预期时拒绝预测，而不是给出低置信度结果；（6）降级：检测到组件失效时降低功能与性能以维持安全运行，而不是整体停机；（7）检测与恢复：把发现错误、纠正错误、恢复状态作为设计的一部分。</w:t>
      </w:r>
    </w:p>
    <w:p w14:paraId="2115F282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代码编译与运行环境部署：构建产物、依赖管理、配置与环境变量；把代码从开发环境部署到运行环境；部署后的验证与回滚。</w:t>
      </w:r>
    </w:p>
    <w:p w14:paraId="62052DAE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lastRenderedPageBreak/>
        <w:t>AI for SE：AI结对编程的“生成—审查—测试验证”的完整流程；AI辅助生成测试与部署配置；</w:t>
      </w:r>
      <w:r>
        <w:rPr>
          <w:rFonts w:ascii="宋体" w:hAnsi="宋体" w:cs="宋体" w:hint="eastAsia"/>
          <w:szCs w:val="21"/>
        </w:rPr>
        <w:t>验证AI产出。</w:t>
      </w:r>
    </w:p>
    <w:p w14:paraId="7BB65ED9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4.教学建议</w:t>
      </w:r>
    </w:p>
    <w:p w14:paraId="1E61A797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用既有系统里“实现看似正确、测试也可能通过，但违反业务约束”的例子，说明验收不能只看测试过没过；</w:t>
      </w:r>
    </w:p>
    <w:p w14:paraId="23670FF8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线上预习规范条目，课堂只讲规范之间的取舍；部署环节结合E1的构建与运行练习，另设选开实验“测试与部署”，训练编译与部署能力。</w:t>
      </w:r>
    </w:p>
    <w:p w14:paraId="43DC54D7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5.本章参考资料</w:t>
      </w:r>
    </w:p>
    <w:p w14:paraId="76AF9B56" w14:textId="77777777" w:rsidR="00204DE4" w:rsidRDefault="00000000">
      <w:pPr>
        <w:spacing w:line="360" w:lineRule="auto"/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[12] Cwalina等《.NET设计规范》第3、4章；[13] Tulach《软件框架设计的艺术》；[30] Suh等 2025；[31] 阿里巴巴《Java开发手册（黄山版）》；[32] Google Java Style Guide；[33] Google《Code Review》；[34] Microsoft REST API Guidelines；[35] Conventional Commits 1.0.0；[14] Kästner《Machine Learning in Production》；[40] CMU《Machine Learning in Production》课程与教材；[41] Stanford CS 329S公开讲义。</w:t>
      </w:r>
    </w:p>
    <w:p w14:paraId="49E72D46" w14:textId="77777777" w:rsidR="00204DE4" w:rsidRDefault="00000000">
      <w:pPr>
        <w:pStyle w:val="3"/>
        <w:keepNext w:val="0"/>
        <w:keepLines w:val="0"/>
        <w:spacing w:before="0" w:after="0" w:line="360" w:lineRule="auto"/>
        <w:rPr>
          <w:rFonts w:ascii="宋体" w:hAnsi="宋体" w:cs="宋体" w:hint="eastAsia"/>
          <w:bCs w:val="0"/>
          <w:sz w:val="21"/>
          <w:szCs w:val="21"/>
        </w:rPr>
      </w:pPr>
      <w:r>
        <w:rPr>
          <w:rFonts w:ascii="宋体" w:hAnsi="宋体" w:cs="宋体"/>
          <w:bCs w:val="0"/>
          <w:sz w:val="21"/>
          <w:szCs w:val="21"/>
        </w:rPr>
        <w:t>六、教学安排</w:t>
      </w:r>
    </w:p>
    <w:p w14:paraId="44C0BA29" w14:textId="77777777" w:rsidR="00204DE4" w:rsidRDefault="00000000">
      <w:pPr>
        <w:spacing w:before="156" w:after="156" w:line="360" w:lineRule="auto"/>
        <w:jc w:val="center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>表 2 教学总体安排表</w:t>
      </w:r>
    </w:p>
    <w:tbl>
      <w:tblPr>
        <w:tblW w:w="9002" w:type="dxa"/>
        <w:jc w:val="center"/>
        <w:tblLayout w:type="fixed"/>
        <w:tblLook w:val="04A0" w:firstRow="1" w:lastRow="0" w:firstColumn="1" w:lastColumn="0" w:noHBand="0" w:noVBand="1"/>
      </w:tblPr>
      <w:tblGrid>
        <w:gridCol w:w="581"/>
        <w:gridCol w:w="2680"/>
        <w:gridCol w:w="850"/>
        <w:gridCol w:w="709"/>
        <w:gridCol w:w="709"/>
        <w:gridCol w:w="709"/>
        <w:gridCol w:w="708"/>
        <w:gridCol w:w="1063"/>
        <w:gridCol w:w="993"/>
      </w:tblGrid>
      <w:tr w:rsidR="00204DE4" w14:paraId="7623A568" w14:textId="77777777">
        <w:trPr>
          <w:cantSplit/>
          <w:trHeight w:val="306"/>
          <w:jc w:val="center"/>
        </w:trPr>
        <w:tc>
          <w:tcPr>
            <w:tcW w:w="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0B287AB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序号</w:t>
            </w:r>
          </w:p>
        </w:tc>
        <w:tc>
          <w:tcPr>
            <w:tcW w:w="2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B7D9E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教学内容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EEFB6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总学时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F06B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其    中</w:t>
            </w:r>
          </w:p>
        </w:tc>
        <w:tc>
          <w:tcPr>
            <w:tcW w:w="1063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2509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课外辅导/</w:t>
            </w:r>
          </w:p>
          <w:p w14:paraId="786B433D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课外实践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5FF81CE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备  注</w:t>
            </w:r>
          </w:p>
        </w:tc>
      </w:tr>
      <w:tr w:rsidR="00204DE4" w14:paraId="4A25E915" w14:textId="77777777">
        <w:trPr>
          <w:cantSplit/>
          <w:trHeight w:val="240"/>
          <w:jc w:val="center"/>
        </w:trPr>
        <w:tc>
          <w:tcPr>
            <w:tcW w:w="581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8D845C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2680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BA7BE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F1A90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AC76E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讲课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17484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实验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FD694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上机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7B173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其他</w:t>
            </w:r>
          </w:p>
        </w:tc>
        <w:tc>
          <w:tcPr>
            <w:tcW w:w="1063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F5FC5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D9DDFD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204DE4" w14:paraId="52DF46AA" w14:textId="77777777" w:rsidTr="005B5556">
        <w:trPr>
          <w:trHeight w:val="454"/>
          <w:jc w:val="center"/>
        </w:trPr>
        <w:tc>
          <w:tcPr>
            <w:tcW w:w="5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B6BB0F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16BAB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标准与规范体系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C5AD5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583CF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E5B4A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0FD7A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8F1C2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F8169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9D45C22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204DE4" w14:paraId="3FC923E0" w14:textId="77777777" w:rsidTr="005B5556">
        <w:trPr>
          <w:trHeight w:val="454"/>
          <w:jc w:val="center"/>
        </w:trPr>
        <w:tc>
          <w:tcPr>
            <w:tcW w:w="5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AA6B814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0CCAE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运行环境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8FAE3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DC1D5" w14:textId="77777777" w:rsidR="00204DE4" w:rsidRDefault="00000000">
            <w:pPr>
              <w:pStyle w:val="ae"/>
              <w:pBdr>
                <w:bottom w:val="nil"/>
              </w:pBdr>
              <w:tabs>
                <w:tab w:val="clear" w:pos="4153"/>
                <w:tab w:val="clear" w:pos="8306"/>
              </w:tabs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2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213BF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C5A88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9EC91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57CB9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35E9D65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204DE4" w14:paraId="5B52771B" w14:textId="77777777" w:rsidTr="005B5556">
        <w:trPr>
          <w:trHeight w:val="454"/>
          <w:jc w:val="center"/>
        </w:trPr>
        <w:tc>
          <w:tcPr>
            <w:tcW w:w="5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2722FB4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CD260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体系结构设计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F7960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0432C" w14:textId="77777777" w:rsidR="00204DE4" w:rsidRDefault="00000000">
            <w:pPr>
              <w:pStyle w:val="ae"/>
              <w:pBdr>
                <w:bottom w:val="nil"/>
              </w:pBdr>
              <w:tabs>
                <w:tab w:val="clear" w:pos="4153"/>
                <w:tab w:val="clear" w:pos="8306"/>
              </w:tabs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4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DCD05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F1115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F2B6B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18B14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2144A0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204DE4" w14:paraId="6E59B3A7" w14:textId="77777777" w:rsidTr="005B5556">
        <w:trPr>
          <w:trHeight w:val="454"/>
          <w:jc w:val="center"/>
        </w:trPr>
        <w:tc>
          <w:tcPr>
            <w:tcW w:w="5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5B01D81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89768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软件设计、重构与系统演化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55DCD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C6654" w14:textId="77777777" w:rsidR="00204DE4" w:rsidRDefault="00000000">
            <w:pPr>
              <w:pStyle w:val="ae"/>
              <w:pBdr>
                <w:bottom w:val="nil"/>
              </w:pBdr>
              <w:tabs>
                <w:tab w:val="clear" w:pos="4153"/>
                <w:tab w:val="clear" w:pos="8306"/>
              </w:tabs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4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E6ABA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11C9C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391F8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3B654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1D68930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204DE4" w14:paraId="1C0FCAEC" w14:textId="77777777" w:rsidTr="005B5556">
        <w:trPr>
          <w:trHeight w:val="454"/>
          <w:jc w:val="center"/>
        </w:trPr>
        <w:tc>
          <w:tcPr>
            <w:tcW w:w="58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4DF6DF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47D64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编码、测试与部署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B1788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2A1B3" w14:textId="77777777" w:rsidR="00204DE4" w:rsidRDefault="00000000">
            <w:pPr>
              <w:pStyle w:val="ae"/>
              <w:pBdr>
                <w:bottom w:val="nil"/>
              </w:pBdr>
              <w:tabs>
                <w:tab w:val="clear" w:pos="4153"/>
                <w:tab w:val="clear" w:pos="8306"/>
              </w:tabs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2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9230C3" w14:textId="77777777" w:rsidR="00204DE4" w:rsidRDefault="00000000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56F6C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0601F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44F97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0E34E3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204DE4" w14:paraId="58070E2C" w14:textId="77777777" w:rsidTr="005B5556">
        <w:trPr>
          <w:trHeight w:val="454"/>
          <w:jc w:val="center"/>
        </w:trPr>
        <w:tc>
          <w:tcPr>
            <w:tcW w:w="3261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4E88D23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合计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87B438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BDAFE70" w14:textId="77777777" w:rsidR="00204DE4" w:rsidRDefault="002128BF">
            <w:pPr>
              <w:pStyle w:val="ae"/>
              <w:pBdr>
                <w:bottom w:val="nil"/>
              </w:pBdr>
              <w:tabs>
                <w:tab w:val="clear" w:pos="4153"/>
                <w:tab w:val="clear" w:pos="8306"/>
              </w:tabs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14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B6011D1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14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F982D9B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C1A735F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DC8B1BE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7A2A2" w14:textId="77777777" w:rsidR="00204DE4" w:rsidRDefault="00204DE4">
            <w:pPr>
              <w:snapToGrid w:val="0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</w:tbl>
    <w:p w14:paraId="21B7885A" w14:textId="77777777" w:rsidR="00204DE4" w:rsidRDefault="005B5556">
      <w:pPr>
        <w:spacing w:before="156" w:after="156" w:line="360" w:lineRule="auto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br w:type="page"/>
      </w:r>
    </w:p>
    <w:p w14:paraId="18F69A6C" w14:textId="77777777" w:rsidR="00204DE4" w:rsidRDefault="00000000">
      <w:pPr>
        <w:pStyle w:val="aa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表</w:t>
      </w:r>
      <w:r>
        <w:rPr>
          <w:rFonts w:ascii="宋体" w:eastAsia="等线 Light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t>3</w:t>
      </w:r>
      <w:r>
        <w:rPr>
          <w:rFonts w:ascii="宋体" w:eastAsia="等线 Light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t>实验安排表</w:t>
      </w:r>
    </w:p>
    <w:tbl>
      <w:tblPr>
        <w:tblW w:w="8666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697"/>
        <w:gridCol w:w="4961"/>
        <w:gridCol w:w="567"/>
        <w:gridCol w:w="709"/>
        <w:gridCol w:w="567"/>
        <w:gridCol w:w="598"/>
      </w:tblGrid>
      <w:tr w:rsidR="00204DE4" w14:paraId="47B48609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EDDC7" w14:textId="77777777" w:rsidR="00204DE4" w:rsidRDefault="00000000">
            <w:pPr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序号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DEEC24" w14:textId="77777777" w:rsidR="00204DE4" w:rsidRDefault="00000000">
            <w:pPr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教学轮次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5FA8B" w14:textId="77777777" w:rsidR="00204DE4" w:rsidRDefault="00977263">
            <w:pPr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实验</w:t>
            </w:r>
            <w:r>
              <w:rPr>
                <w:rFonts w:ascii="宋体" w:hAnsi="宋体" w:cs="宋体"/>
                <w:b/>
                <w:sz w:val="18"/>
                <w:szCs w:val="18"/>
              </w:rPr>
              <w:t>名称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97BB1" w14:textId="77777777" w:rsidR="00204DE4" w:rsidRDefault="00000000">
            <w:pPr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学时分配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AFCEF" w14:textId="77777777" w:rsidR="00204DE4" w:rsidRDefault="00000000">
            <w:pPr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必开或选开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6292E" w14:textId="77777777" w:rsidR="00204DE4" w:rsidRDefault="00000000">
            <w:pPr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实验类型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680B5" w14:textId="77777777" w:rsidR="00204DE4" w:rsidRDefault="00000000">
            <w:pPr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/>
                <w:b/>
                <w:sz w:val="18"/>
                <w:szCs w:val="18"/>
              </w:rPr>
              <w:t>分组人数</w:t>
            </w:r>
          </w:p>
        </w:tc>
      </w:tr>
      <w:tr w:rsidR="00204DE4" w14:paraId="18514DCC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6CF6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5D05F5E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759CF" w14:textId="77777777" w:rsidR="002128BF" w:rsidRDefault="002128B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开发环境 / IntelliJ IDEA + Claude Code，接入DeepSeek</w:t>
            </w:r>
          </w:p>
          <w:p w14:paraId="476D5109" w14:textId="77777777" w:rsidR="00204DE4" w:rsidRDefault="002128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AA368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B9E27" w14:textId="77777777" w:rsidR="00204DE4" w:rsidRDefault="00977263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选开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220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设计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A0511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204DE4" w14:paraId="7AA7E156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23ED0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D071C6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9AC53" w14:textId="77777777" w:rsidR="002128BF" w:rsidRDefault="002128B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棕地仓库导读</w:t>
            </w:r>
          </w:p>
          <w:p w14:paraId="4944AC37" w14:textId="77777777" w:rsidR="00204DE4" w:rsidRDefault="009772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绘制</w:t>
            </w:r>
            <w:r>
              <w:rPr>
                <w:sz w:val="18"/>
                <w:szCs w:val="18"/>
              </w:rPr>
              <w:t xml:space="preserve"> 7 </w:t>
            </w:r>
            <w:r>
              <w:rPr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 xml:space="preserve"> Maven </w:t>
            </w:r>
            <w:r>
              <w:rPr>
                <w:sz w:val="18"/>
                <w:szCs w:val="18"/>
              </w:rPr>
              <w:t>模块的结构图与依赖图；绘制调用链；提交一页导读说明（模块职责、依赖关系、构建方式、疑点清单）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F9F6E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43CEB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必开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C3D0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设计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1BE21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204DE4" w14:paraId="178BBAE7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C88E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9D6FC4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5AE95" w14:textId="77777777" w:rsidR="00977263" w:rsidRDefault="009772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体系结构建模与方案评价</w:t>
            </w:r>
          </w:p>
          <w:p w14:paraId="1797780D" w14:textId="77777777" w:rsidR="00204DE4" w:rsidRDefault="009772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</w:t>
            </w:r>
            <w:r>
              <w:rPr>
                <w:sz w:val="18"/>
                <w:szCs w:val="18"/>
              </w:rPr>
              <w:t>"4+1"</w:t>
            </w:r>
            <w:r>
              <w:rPr>
                <w:sz w:val="18"/>
                <w:szCs w:val="18"/>
              </w:rPr>
              <w:t>视图对现有系统建模；识别分层问题（业务判断写在控制器里、事务边界、硬编码）；提出两种解耦方案并对比评价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5501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EFD4B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必开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7E5CA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设计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72B0E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204DE4" w14:paraId="30465E1C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E002A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0A939B3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77E31" w14:textId="77777777" w:rsidR="00977263" w:rsidRDefault="009772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规格先行与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结对编程</w:t>
            </w:r>
          </w:p>
          <w:p w14:paraId="4B50E282" w14:textId="77777777" w:rsidR="00204DE4" w:rsidRDefault="009772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用提示词模式把需求写成规格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先写验收准则；由 AI 生成失败测试与实现，人工逐处审查 diff，用执行记录与覆盖率核实测试是否守住准则，作采纳、部分采纳或驳回</w:t>
            </w:r>
            <w:r>
              <w:rPr>
                <w:sz w:val="18"/>
                <w:szCs w:val="18"/>
              </w:rPr>
              <w:t xml:space="preserve"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 xml:space="preserve"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 xml:space="preserve"/>
            </w:r>
            <w:r>
              <w:rPr>
                <w:sz w:val="18"/>
                <w:szCs w:val="18"/>
              </w:rPr>
              <w:t>；提交</w:t>
            </w:r>
            <w:r>
              <w:rPr>
                <w:sz w:val="18"/>
                <w:szCs w:val="18"/>
              </w:rPr>
              <w:t xml:space="preserve"> AI 协作记录</w:t>
            </w:r>
            <w:r>
              <w:rPr>
                <w:sz w:val="18"/>
                <w:szCs w:val="18"/>
              </w:rPr>
              <w:t>（披露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对话摘要</w:t>
            </w:r>
            <w:r>
              <w:rPr>
                <w:sz w:val="18"/>
                <w:szCs w:val="18"/>
              </w:rPr>
              <w:t xml:space="preserve"> + diff </w:t>
            </w:r>
            <w:r>
              <w:rPr>
                <w:sz w:val="18"/>
                <w:szCs w:val="18"/>
              </w:rPr>
              <w:t>审查记录）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E84B7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66B79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必开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5D8B3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设计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71968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204DE4" w14:paraId="3660A604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51BE9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15C74E9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E027D" w14:textId="77777777" w:rsidR="00204DE4" w:rsidRDefault="009772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设计模式与重构</w:t>
            </w:r>
          </w:p>
          <w:p w14:paraId="65B221FE" w14:textId="77777777" w:rsidR="0059538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在仓库中定位一处条件分支密集的业务代码，用提示词模式让 AI 给出重构方案（如策略模式），按模式的四个要素评价其效果与局限，并与更简单的方案比较；对照特征测试与执行记录核实 AI 的结论</w:t>
            </w:r>
            <w:r>
              <w:rPr>
                <w:sz w:val="18"/>
                <w:szCs w:val="18"/>
              </w:rPr>
              <w:t xml:space="preserve"/>
            </w:r>
            <w:r>
              <w:rPr>
                <w:sz w:val="18"/>
                <w:szCs w:val="18"/>
              </w:rPr>
              <w:t/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EEA09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5472C" w14:textId="77777777" w:rsidR="00204DE4" w:rsidRDefault="00977263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必开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805AD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设计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E9B83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204DE4" w14:paraId="23864D57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DAE7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1ABAC61" w14:textId="77777777" w:rsidR="00204DE4" w:rsidRDefault="00977263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0DD34" w14:textId="77777777" w:rsidR="002128BF" w:rsidRDefault="009772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变更影响分析</w:t>
            </w:r>
          </w:p>
          <w:p w14:paraId="3632F72C" w14:textId="77777777" w:rsidR="00204DE4" w:rsidRDefault="009772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针对下发的需求（如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商品库存预警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），定位修改点、分析影响面、评估风险，并逐条核实 AI 给出的影响面判断；提交变更计划（改动文件清单、影响模块、回归测试范围）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1204F" w14:textId="77777777" w:rsidR="00204DE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161E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必开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671CE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综合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8A1D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204DE4" w14:paraId="71F3C509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1C2F7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7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5B17F0F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429B5" w14:textId="77777777" w:rsidR="00204DE4" w:rsidRDefault="009772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规格驱动的需求变更</w:t>
            </w:r>
          </w:p>
          <w:p w14:paraId="2EA0D4A1" w14:textId="77777777" w:rsidR="0059538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把模糊需求写成需求规格（用户故事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验收准则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非功能需求）；评价 AI 给出的实现在职责划分、接口兼容与编码规范上的取舍，核实其测试与执行记录</w:t>
            </w:r>
            <w:r>
              <w:rPr>
                <w:sz w:val="18"/>
                <w:szCs w:val="18"/>
              </w:rPr>
              <w:t xml:space="preserve"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 xml:space="preserve"/>
            </w:r>
            <w:r>
              <w:rPr>
                <w:sz w:val="18"/>
                <w:szCs w:val="18"/>
              </w:rPr>
              <w:t>；提交</w:t>
            </w:r>
            <w:r>
              <w:rPr>
                <w:sz w:val="18"/>
                <w:szCs w:val="18"/>
              </w:rPr>
              <w:t xml:space="preserve"> ADR</w:t>
            </w:r>
            <w:r>
              <w:rPr>
                <w:sz w:val="18"/>
                <w:szCs w:val="18"/>
              </w:rPr>
              <w:t>（架构决策记录）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9F017" w14:textId="77777777" w:rsidR="00204DE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C86C2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必开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AA99A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综合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4CCA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204DE4" w14:paraId="5506E6B5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DA70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9FAD160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F5626" w14:textId="77777777" w:rsidR="00204DE4" w:rsidRDefault="009772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功能接入与验收</w:t>
            </w:r>
          </w:p>
          <w:p w14:paraId="66D8B676" w14:textId="77777777" w:rsidR="0059538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评价 AI 组件（如"自然语言查询商品"）的接入方案：护栏、置信度与来源展示、降级路径的设计取舍；实现由 AI 生成或取教师示例，</w:t>
            </w:r>
            <w:r>
              <w:rPr>
                <w:sz w:val="18"/>
                <w:szCs w:val="18"/>
              </w:rPr>
              <w:t xml:space="preserve"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>依据盲评测集与对抗用例集完成验收；提交验收报告（含风险台账与放行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降级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驳回结论）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CB1B9" w14:textId="77777777" w:rsidR="00204DE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ACC6B" w14:textId="77777777" w:rsidR="00204DE4" w:rsidRDefault="00977263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必开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0DFEA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综合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AF2F1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204DE4" w14:paraId="38925834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DA1D2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9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C5B6A0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C00F3" w14:textId="77777777" w:rsidR="002128BF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编码规范与接口契约审查 </w:t>
            </w:r>
          </w:p>
          <w:p w14:paraId="64BD4889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对照两套编码规范与接口规范评价既有系统，在保持兼容的前提下评价 AI 给出的一处改进并写架构决策记录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49CF1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595F9" w14:textId="77777777" w:rsidR="00204DE4" w:rsidRDefault="002128BF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选开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77C25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综合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2A008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204DE4" w14:paraId="70DCBF79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EA21F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0AE7A4C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672D3" w14:textId="77777777" w:rsidR="002128B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测试与部署</w:t>
            </w:r>
            <w:r>
              <w:rPr>
                <w:sz w:val="18"/>
                <w:szCs w:val="18"/>
              </w:rPr>
              <w:t xml:space="preserve"> </w:t>
            </w:r>
          </w:p>
          <w:p w14:paraId="06BFF1DB" w14:textId="77777777" w:rsidR="00204DE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把代码编译部署到运行环境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为变更补充</w:t>
            </w:r>
            <w:r>
              <w:rPr>
                <w:rFonts w:hint="eastAsia"/>
                <w:sz w:val="18"/>
                <w:szCs w:val="18"/>
              </w:rPr>
              <w:t>验收</w:t>
            </w:r>
            <w:r>
              <w:rPr>
                <w:sz w:val="18"/>
                <w:szCs w:val="18"/>
              </w:rPr>
              <w:t>测试并达到覆盖准则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E12F0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93365" w14:textId="77777777" w:rsidR="00204DE4" w:rsidRDefault="00977263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选</w:t>
            </w:r>
            <w:r>
              <w:rPr>
                <w:rFonts w:ascii="宋体" w:hAnsi="宋体" w:cs="宋体"/>
                <w:sz w:val="18"/>
                <w:szCs w:val="18"/>
              </w:rPr>
              <w:t>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551A1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综合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96037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  <w:tr w:rsidR="00204DE4" w14:paraId="0324BA8E" w14:textId="77777777">
        <w:trPr>
          <w:trHeight w:val="397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A6636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11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201D21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A49F7" w14:textId="77777777" w:rsidR="002128BF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独立任务 / 在未做过的模块上独立完成诊断、评价AI方案与验证，按讲清楚、有依据、验证过讲清缺陷、依据、改动与证据</w:t>
            </w:r>
          </w:p>
          <w:p w14:paraId="23C44D71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BB12E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91657" w14:textId="77777777" w:rsidR="00204DE4" w:rsidRDefault="002128BF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选开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ADF45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综合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47D6" w14:textId="77777777" w:rsidR="00204DE4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</w:tr>
    </w:tbl>
    <w:p w14:paraId="33159CF3" w14:textId="77777777" w:rsidR="00204DE4" w:rsidRPr="002C4561" w:rsidRDefault="00000000" w:rsidP="002C4561">
      <w:pPr>
        <w:pStyle w:val="3"/>
        <w:keepNext w:val="0"/>
        <w:keepLines w:val="0"/>
        <w:spacing w:before="0" w:after="0" w:line="360" w:lineRule="auto"/>
        <w:rPr>
          <w:rFonts w:ascii="宋体" w:hAnsi="宋体" w:cs="宋体" w:hint="eastAsia"/>
          <w:bCs w:val="0"/>
          <w:sz w:val="21"/>
          <w:szCs w:val="21"/>
        </w:rPr>
      </w:pPr>
      <w:bookmarkStart w:id="9" w:name="_Hlk138576881"/>
      <w:bookmarkEnd w:id="9"/>
      <w:r w:rsidRPr="002C4561">
        <w:rPr>
          <w:rFonts w:ascii="宋体" w:hAnsi="宋体" w:cs="宋体"/>
          <w:bCs w:val="0"/>
          <w:sz w:val="21"/>
          <w:szCs w:val="21"/>
        </w:rPr>
        <w:t>七、授课方法</w:t>
      </w:r>
    </w:p>
    <w:p w14:paraId="5F32D511" w14:textId="77777777" w:rsidR="00004868" w:rsidRDefault="00004868" w:rsidP="00004868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采取案例教学方法，教学内容包括知识准备和实践操作两个部分，前者讲授解决问题所需思维图式和知识点，后者聚焦开发工具、运行环境和设计标准、编码规范的训练。运用自建网络教学平台开展混合式教学，线下完成案例讲解与答疑、讨论，线上实施探究式学习、自主学习。</w:t>
      </w:r>
    </w:p>
    <w:p w14:paraId="3C24E643" w14:textId="77777777" w:rsidR="00004868" w:rsidRDefault="00004868" w:rsidP="00004868">
      <w:pPr>
        <w:spacing w:line="360" w:lineRule="auto"/>
        <w:ind w:firstLine="422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b/>
          <w:szCs w:val="21"/>
        </w:rPr>
        <w:t>案例教学：</w:t>
      </w:r>
      <w:r>
        <w:rPr>
          <w:rFonts w:ascii="宋体" w:hAnsi="宋体" w:cs="宋体"/>
          <w:szCs w:val="21"/>
        </w:rPr>
        <w:t>案例是典型工程问题，属于良构问题，即提供参考答案，供学生模仿；完成案例的过程就是解决工程问题的过程，实现知识、技能的习得与内化；案例是有机整体，彼此间既有联系也有区别，起到串联新旧知识、技能的作用；结合案例难度与当期学生水平，教学组织形式</w:t>
      </w:r>
      <w:r>
        <w:rPr>
          <w:rFonts w:ascii="宋体" w:hAnsi="宋体" w:cs="宋体"/>
          <w:szCs w:val="21"/>
        </w:rPr>
        <w:lastRenderedPageBreak/>
        <w:t>可灵活多样，如单人、小组或结对编程等；期末的综合实训采用自选案例，属于劣构问题，即没有固定答案，达到培养创造性思维目的。</w:t>
      </w:r>
    </w:p>
    <w:p w14:paraId="6EA26032" w14:textId="77777777" w:rsidR="00204DE4" w:rsidRDefault="00004868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采用棕地项目是本课程案例教学的亮点之一，</w:t>
      </w:r>
      <w:r>
        <w:rPr>
          <w:rFonts w:ascii="宋体" w:hAnsi="宋体" w:cs="宋体"/>
          <w:szCs w:val="21"/>
        </w:rPr>
        <w:t>棕地开发是以既有系统为起点的开发方式。真实的软件工作大多不是从零开始，而是在一个有历史、有技术债、约束已经定下来的系统上做修改。本课程据此设计：选一个规模较大、带着技术债的开源系统作为载体，全部实验都在它上面进行。学生先读懂它，再诊断它，然后在约束下评价改进方案，最后用规范和测试核实方案与AI产出是否真实可信。这样做的好处是，学生遇到的困难与工程现场一致——找不到入口、看不懂别人的设计、改一处牵动几处、</w:t>
      </w:r>
      <w:r>
        <w:rPr>
          <w:rFonts w:ascii="宋体" w:hAnsi="宋体" w:cs="宋体" w:hint="eastAsia"/>
          <w:szCs w:val="21"/>
        </w:rPr>
        <w:t>遵循</w:t>
      </w:r>
      <w:r>
        <w:rPr>
          <w:rFonts w:ascii="宋体" w:hAnsi="宋体" w:cs="宋体"/>
          <w:szCs w:val="21"/>
        </w:rPr>
        <w:t>约束。</w:t>
      </w:r>
    </w:p>
    <w:p w14:paraId="66513F6B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授课过程分前后两部分。前半部分聚焦软件设计核心活动：认识系统和它的约束，用设计原则找出问题，学会在测试保护下修改。后半部分关注变更与验证：把需求写成规格，与AI分工完成变更，再拿原则和规范去验收AI的产出。两部分都在同一个系统上，问题和概念反复出现，认识逐步加深。</w:t>
      </w:r>
    </w:p>
    <w:p w14:paraId="55FAE361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AI for SE 贯穿各个环节：</w:t>
      </w:r>
      <w:r>
        <w:rPr>
          <w:rFonts w:ascii="宋体" w:hAnsi="宋体" w:cs="宋体" w:hint="eastAsia"/>
          <w:szCs w:val="21"/>
        </w:rPr>
        <w:t>与AI结对协作，</w:t>
      </w:r>
      <w:r>
        <w:rPr>
          <w:rFonts w:ascii="宋体" w:hAnsi="宋体" w:cs="宋体"/>
          <w:szCs w:val="21"/>
        </w:rPr>
        <w:t>但每一步都须留痕，并按AI输出的核对内容核对AI的输出。</w:t>
      </w:r>
    </w:p>
    <w:p w14:paraId="14F1F594" w14:textId="77777777" w:rsidR="00FC61AA" w:rsidRDefault="00FC61AA" w:rsidP="00FC61AA">
      <w:pPr>
        <w:spacing w:line="360" w:lineRule="auto"/>
        <w:ind w:firstLine="422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b/>
          <w:szCs w:val="21"/>
        </w:rPr>
        <w:t>课堂教学：</w:t>
      </w:r>
      <w:r>
        <w:rPr>
          <w:rFonts w:ascii="宋体" w:hAnsi="宋体" w:cs="宋体"/>
          <w:szCs w:val="21"/>
        </w:rPr>
        <w:t xml:space="preserve">讲解基本概念、基本原理，分析教学案例的解决思路与技术手段，通过对作业的点评、讨论，师生互动，训练学生的批判性思维，激发学生的创新意识，培养学生分析问题和解决问题的能力。 </w:t>
      </w:r>
    </w:p>
    <w:p w14:paraId="2166F37A" w14:textId="77777777" w:rsidR="00FC61AA" w:rsidRDefault="00FC61AA" w:rsidP="00FC61AA">
      <w:pPr>
        <w:spacing w:line="360" w:lineRule="auto"/>
        <w:ind w:firstLine="422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b/>
          <w:szCs w:val="21"/>
        </w:rPr>
        <w:t>思维训练</w:t>
      </w:r>
      <w:r>
        <w:rPr>
          <w:rFonts w:ascii="宋体" w:hAnsi="宋体" w:cs="宋体"/>
          <w:szCs w:val="21"/>
        </w:rPr>
        <w:t>：按照面向问题解决的逻辑来组织教学内容，培养学生解决复杂问题的能力。每个教学案例学生均经过“模仿-反思-创新”三个阶段，指导学生开展批判、分析和评价活动，反思思维过程，</w:t>
      </w:r>
      <w:r>
        <w:rPr>
          <w:rFonts w:ascii="宋体" w:hAnsi="宋体" w:cs="宋体" w:hint="eastAsia"/>
          <w:szCs w:val="21"/>
        </w:rPr>
        <w:t>尤其是不同技术比较、设计方案的取舍、AI输出的核对等，</w:t>
      </w:r>
      <w:r>
        <w:rPr>
          <w:rFonts w:ascii="宋体" w:hAnsi="宋体" w:cs="宋体"/>
          <w:szCs w:val="21"/>
        </w:rPr>
        <w:t>使得运用分析、评价、综合和创造等高阶思维能力成为自觉。</w:t>
      </w:r>
    </w:p>
    <w:p w14:paraId="05975874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b/>
          <w:bCs/>
          <w:szCs w:val="21"/>
        </w:rPr>
        <w:t>信息化教学：采用“线上预习、课堂实操、实践讲解、现场演示”的完整流程，完成预习做好实验前知识准备，课堂实操老师及时答疑、减少课后负担，实践讲解回顾知识点，现场演示比对方案取舍。网络课堂发布预习任务与实践作业，提供参考材料，组织课堂演示与投票；定期导出预习正确率、签到情况与提交率，用于学情分析并调整教学。通过完成实践讲解、现场演示达到学习效能自我感知；任务与成绩挂钩，实现过程性评价；借助学习通APP搭建师生互动桥梁，即时答疑解惑，解决上课没听清、下课找不到老师问的问题。</w:t>
      </w:r>
      <w:r>
        <w:rPr>
          <w:rFonts w:ascii="宋体" w:hAnsi="宋体" w:cs="宋体"/>
          <w:szCs w:val="21"/>
        </w:rPr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>
        <w:rPr>
          <w:rFonts w:ascii="宋体" w:hAnsi="宋体" w:cs="宋体" w:hint="eastAsia"/>
          <w:szCs w:val="21"/>
        </w:rPr>
      </w:r>
    </w:p>
    <w:p w14:paraId="1A291869" w14:textId="77777777" w:rsidR="006927BD" w:rsidRPr="006927BD" w:rsidRDefault="006927BD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</w:p>
    <w:p w14:paraId="359A2573" w14:textId="77777777" w:rsidR="00204DE4" w:rsidRPr="002C4561" w:rsidRDefault="00000000" w:rsidP="002C4561">
      <w:pPr>
        <w:pStyle w:val="3"/>
        <w:keepNext w:val="0"/>
        <w:keepLines w:val="0"/>
        <w:spacing w:before="0" w:after="0" w:line="360" w:lineRule="auto"/>
        <w:rPr>
          <w:rFonts w:ascii="宋体" w:hAnsi="宋体" w:cs="宋体" w:hint="eastAsia"/>
          <w:bCs w:val="0"/>
          <w:sz w:val="21"/>
          <w:szCs w:val="21"/>
        </w:rPr>
      </w:pPr>
      <w:bookmarkStart w:id="10" w:name="_Hlk138577582"/>
      <w:bookmarkEnd w:id="10"/>
      <w:r w:rsidRPr="002C4561">
        <w:rPr>
          <w:rFonts w:ascii="宋体" w:hAnsi="宋体" w:cs="宋体"/>
          <w:bCs w:val="0"/>
          <w:sz w:val="21"/>
          <w:szCs w:val="21"/>
        </w:rPr>
        <w:t>八、考核办法</w:t>
      </w:r>
    </w:p>
    <w:p w14:paraId="759B742E" w14:textId="77777777" w:rsidR="00FC61AA" w:rsidRDefault="00FC61AA" w:rsidP="00FC61AA">
      <w:pPr>
        <w:spacing w:line="360" w:lineRule="auto"/>
        <w:ind w:firstLine="422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>1．考核方式</w:t>
      </w:r>
    </w:p>
    <w:p w14:paraId="67C50CE2" w14:textId="54CD8156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lastRenderedPageBreak/>
        <w:t>总评成绩 = 网络课堂成绩</w:t>
      </w:r>
      <w:r w:rsidR="00BA40BB"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/>
          <w:szCs w:val="21"/>
        </w:rPr>
        <w:t xml:space="preserve">0% + </w:t>
      </w:r>
      <w:r w:rsidR="00E46C83">
        <w:rPr>
          <w:rFonts w:ascii="宋体" w:hAnsi="宋体" w:cs="宋体" w:hint="eastAsia"/>
          <w:szCs w:val="21"/>
        </w:rPr>
        <w:t>项目实践（作业）</w:t>
      </w:r>
      <w:r>
        <w:rPr>
          <w:rFonts w:ascii="宋体" w:hAnsi="宋体" w:cs="宋体"/>
          <w:szCs w:val="21"/>
        </w:rPr>
        <w:t>成绩</w:t>
      </w:r>
      <w:r w:rsidR="00BA40BB">
        <w:rPr>
          <w:rFonts w:ascii="宋体" w:hAnsi="宋体" w:cs="宋体" w:hint="eastAsia"/>
          <w:szCs w:val="21"/>
        </w:rPr>
        <w:t>6</w:t>
      </w:r>
      <w:r>
        <w:rPr>
          <w:rFonts w:ascii="宋体" w:hAnsi="宋体" w:cs="宋体"/>
          <w:szCs w:val="21"/>
        </w:rPr>
        <w:t>0%，前者采用过程性评价，百分制，后者为终结性评价，</w:t>
      </w:r>
      <w:r>
        <w:rPr>
          <w:rFonts w:ascii="宋体" w:hAnsi="宋体" w:cs="宋体" w:hint="eastAsia"/>
          <w:szCs w:val="21"/>
        </w:rPr>
        <w:t>百</w:t>
      </w:r>
      <w:r>
        <w:rPr>
          <w:rFonts w:ascii="宋体" w:hAnsi="宋体" w:cs="宋体"/>
          <w:szCs w:val="21"/>
        </w:rPr>
        <w:t>分制。</w:t>
      </w:r>
    </w:p>
    <w:p w14:paraId="0D8C23D4" w14:textId="77777777" w:rsidR="00900146" w:rsidRDefault="00900146" w:rsidP="00900146">
      <w:pPr>
        <w:spacing w:line="360" w:lineRule="auto"/>
        <w:ind w:firstLine="422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>2.评分标准</w:t>
      </w:r>
    </w:p>
    <w:p w14:paraId="54473ACE" w14:textId="16317ABB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网络课堂成绩 = 线上预习10% + 签到10% + 课程网站访问10% + 课堂演示10%；其中签到以投票答题计，评分标准见表 4。</w:t>
      </w:r>
      <w:r w:rsidR="00BA40BB"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 w:rsidR="00BA40BB"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 w:rsidR="00BA40BB"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 w:rsidR="00E46C83"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</w:p>
    <w:p w14:paraId="4BA7D2EB" w14:textId="77777777" w:rsidR="00FC61AA" w:rsidRDefault="00FC61AA" w:rsidP="00FC61AA">
      <w:pPr>
        <w:spacing w:line="360" w:lineRule="auto"/>
        <w:jc w:val="center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>表 4 网络课堂评分标准</w:t>
      </w:r>
    </w:p>
    <w:tbl>
      <w:tblPr>
        <w:tblW w:w="8547" w:type="dxa"/>
        <w:tblInd w:w="208" w:type="dxa"/>
        <w:tblLayout w:type="fixed"/>
        <w:tblLook w:val="04A0" w:firstRow="1" w:lastRow="0" w:firstColumn="1" w:lastColumn="0" w:noHBand="0" w:noVBand="1"/>
      </w:tblPr>
      <w:tblGrid>
        <w:gridCol w:w="808"/>
        <w:gridCol w:w="3203"/>
        <w:gridCol w:w="2263"/>
        <w:gridCol w:w="2273"/>
        <w:gridCol w:w="1872"/>
      </w:tblGrid>
      <w:tr w:rsidR="00FC61AA" w14:paraId="6D379217" w14:textId="77777777" w:rsidTr="00FC61AA">
        <w:trPr>
          <w:trHeight w:val="567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3524C" w14:textId="77777777" w:rsidR="00FC61AA" w:rsidRDefault="00FC61AA" w:rsidP="00F705F8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等级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8E7AE" w14:textId="77777777" w:rsidR="00FC61AA" w:rsidRDefault="00FC61AA" w:rsidP="00F705F8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线上预习与测验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CCF48" w14:textId="77777777" w:rsidR="00FC61AA" w:rsidRDefault="00FC61AA" w:rsidP="00F705F8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签到（投票答题）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8F9E5" w14:textId="77777777" w:rsidR="00FC61AA" w:rsidRDefault="00FC61AA" w:rsidP="00F705F8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>课程网站访问</w:t>
            </w:r>
          </w:p>
        </w:tc>
        <w:tc>
          <w:tcPr>
            <w:tcW w:type="dxa" w:w="1872"/>
          </w:tcPr>
          <w:p>
            <w:r>
              <w:t>课堂演示</w:t>
            </w:r>
          </w:p>
        </w:tc>
      </w:tr>
      <w:tr w:rsidR="00FC61AA" w14:paraId="06845FD1" w14:textId="77777777" w:rsidTr="00FC61AA">
        <w:trPr>
          <w:trHeight w:val="567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C7CA3" w14:textId="77777777" w:rsidR="00FC61AA" w:rsidRDefault="00FC61AA" w:rsidP="00F705F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优秀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62B7F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按时完成全部预习，回答正确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F560B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签到满 10 次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4B299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访问满 300 次</w:t>
            </w:r>
          </w:p>
        </w:tc>
        <w:tc>
          <w:tcPr>
            <w:tcW w:type="dxa" w:w="1872"/>
          </w:tcPr>
          <w:p>
            <w:r>
              <w:t>每次按要求参与</w:t>
            </w:r>
          </w:p>
        </w:tc>
      </w:tr>
      <w:tr w:rsidR="00FC61AA" w14:paraId="36CCDAFA" w14:textId="77777777" w:rsidTr="00FC61AA">
        <w:trPr>
          <w:trHeight w:val="567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C8C4D" w14:textId="77777777" w:rsidR="00FC61AA" w:rsidRDefault="00FC61AA" w:rsidP="00F705F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良好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F225E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按时完成 3/4 预习，回答正确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6330E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签到满 8 次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1A828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访问满 240 次</w:t>
            </w:r>
          </w:p>
        </w:tc>
        <w:tc>
          <w:tcPr>
            <w:tcW w:type="dxa" w:w="1872"/>
          </w:tcPr>
          <w:p>
            <w:r>
              <w:t>未参与不超过 2 次</w:t>
            </w:r>
          </w:p>
        </w:tc>
      </w:tr>
      <w:tr w:rsidR="00FC61AA" w14:paraId="3EE30995" w14:textId="77777777" w:rsidTr="00FC61AA">
        <w:trPr>
          <w:trHeight w:val="567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9777E" w14:textId="77777777" w:rsidR="00FC61AA" w:rsidRDefault="00FC61AA" w:rsidP="00F705F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中等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A1256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按时完成 2/4 预习，回答正确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E46EE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签到满 6 次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40290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访问满 180 次</w:t>
            </w:r>
          </w:p>
        </w:tc>
        <w:tc>
          <w:tcPr>
            <w:tcW w:type="dxa" w:w="1872"/>
          </w:tcPr>
          <w:p>
            <w:r>
              <w:t>未参与不超过 4 次</w:t>
            </w:r>
          </w:p>
        </w:tc>
      </w:tr>
      <w:tr w:rsidR="00FC61AA" w14:paraId="35AC2349" w14:textId="77777777" w:rsidTr="00FC61AA">
        <w:trPr>
          <w:trHeight w:val="567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3669B" w14:textId="77777777" w:rsidR="00FC61AA" w:rsidRDefault="00FC61AA" w:rsidP="00F705F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及格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41B1A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按时完成 1/4 预习，回答正确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0A9A2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签到满 4 次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888FE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访问满 120 次</w:t>
            </w:r>
          </w:p>
        </w:tc>
        <w:tc>
          <w:tcPr>
            <w:tcW w:type="dxa" w:w="1872"/>
          </w:tcPr>
          <w:p>
            <w:r>
              <w:t>未参与不超过 6 次</w:t>
            </w:r>
          </w:p>
        </w:tc>
      </w:tr>
      <w:tr w:rsidR="00FC61AA" w14:paraId="053DED7B" w14:textId="77777777" w:rsidTr="00FC61AA">
        <w:trPr>
          <w:trHeight w:val="567"/>
        </w:trPr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2650A" w14:textId="77777777" w:rsidR="00FC61AA" w:rsidRDefault="00FC61AA" w:rsidP="00F705F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不及格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AE8FA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未按时完成 1/4 预习，或回答不正确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8AF6F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签到未满 4 次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F35C1" w14:textId="77777777" w:rsidR="00FC61AA" w:rsidRDefault="00FC61AA" w:rsidP="00F705F8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访问不满 120 次</w:t>
            </w:r>
          </w:p>
        </w:tc>
        <w:tc>
          <w:tcPr>
            <w:tcW w:type="dxa" w:w="1872"/>
          </w:tcPr>
          <w:p>
            <w:r>
              <w:t>未按要求参与</w:t>
            </w:r>
          </w:p>
        </w:tc>
      </w:tr>
    </w:tbl>
    <w:p w14:paraId="33CC3C49" w14:textId="77777777" w:rsidR="00FC61AA" w:rsidRDefault="00FC61AA" w:rsidP="002E6080">
      <w:pPr>
        <w:spacing w:line="360" w:lineRule="auto"/>
        <w:jc w:val="left"/>
        <w:rPr>
          <w:rFonts w:ascii="宋体" w:hAnsi="宋体" w:cs="宋体" w:hint="eastAsia"/>
          <w:szCs w:val="21"/>
        </w:rPr>
      </w:pPr>
    </w:p>
    <w:p w14:paraId="3D3183A1" w14:textId="77777777" w:rsidR="002E6080" w:rsidRPr="002E6080" w:rsidRDefault="002E6080" w:rsidP="002E6080">
      <w:pPr>
        <w:spacing w:line="360" w:lineRule="auto"/>
        <w:ind w:firstLine="420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线上任务均设有截止日期，过期后无法提交。</w:t>
      </w:r>
    </w:p>
    <w:p w14:paraId="2F93796D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（1）线上预习，内容为核对AI给出的结论与代码（核对引用是否存在、核对运行时事实、区分原理与实现、拿原则与规范作依据），每次实验前完成，</w:t>
      </w:r>
      <w:r>
        <w:rPr>
          <w:rFonts w:ascii="宋体" w:hAnsi="宋体" w:cs="宋体" w:hint="eastAsia"/>
          <w:szCs w:val="21"/>
        </w:rPr>
        <w:t>采用客观题，</w:t>
      </w:r>
      <w:r>
        <w:rPr>
          <w:rFonts w:ascii="宋体" w:hAnsi="宋体" w:cs="宋体"/>
          <w:szCs w:val="21"/>
        </w:rPr>
        <w:t>系统自动判分，未做计零分，总分取平均分；</w:t>
      </w:r>
    </w:p>
    <w:p w14:paraId="4AEAB8B4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（2）签到，理论课与实验课均以投票答题计到场：每次课就本次内容出一道小题，答对计该次签到；签到 1 次计 1 分，10 次以上为满分；</w:t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>
        <w:rPr>
          <w:rFonts w:ascii="宋体" w:hAnsi="宋体" w:cs="宋体" w:hint="eastAsia"/>
          <w:szCs w:val="21"/>
        </w:rPr>
      </w:r>
    </w:p>
    <w:p w14:paraId="29BCC18F" w14:textId="77777777" w:rsidR="00195000" w:rsidRPr="00195000" w:rsidRDefault="00000000" w:rsidP="00195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（3）课程网站访问，300 次及以上得满分，次数不足按比例扣分；</w:t>
      </w:r>
    </w:p>
    <w:p w14:paraId="29BCC18F" w14:textId="77777777" w:rsidR="00195000" w:rsidRPr="00195000" w:rsidRDefault="00000000" w:rsidP="00195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（4）课堂演示，实验课开头不超过 15 分钟，从最近一次作业终评的前 30% 与后 30% 中选取学生实名演示；参与演示与投票即计该次，被选中上台演示者按讲清楚、有依据、验证过三项评分标准评分。</w:t>
      </w:r>
    </w:p>
    <w:p w14:paraId="495A6191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作品讲解是项目实践的主要形式：每次作业提交不超过 2 分钟的录屏与一页说明，按讲清楚、有依据、验证过三项评分标准评分，见表 5；自评、教师评分与同学投票使用同一套标准，被选中现场演示的学生，该次演示成绩由教师评分与同学投票各占一半。</w:t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  <w:r>
        <w:rPr>
          <w:rFonts w:ascii="宋体" w:hAnsi="宋体" w:cs="宋体" w:hint="eastAsia"/>
          <w:szCs w:val="21"/>
        </w:rPr>
      </w:r>
      <w:r>
        <w:rPr>
          <w:rFonts w:ascii="宋体" w:hAnsi="宋体" w:cs="宋体"/>
          <w:szCs w:val="21"/>
        </w:rPr>
      </w:r>
    </w:p>
    <w:p w14:paraId="2B5DD09E" w14:textId="77777777" w:rsidR="00195000" w:rsidRPr="00D221BF" w:rsidRDefault="00D221BF" w:rsidP="00D221BF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Open Sans" w:hAnsi="Open Sans" w:cs="Open Sans"/>
          <w:color w:val="333333"/>
          <w:shd w:val="clear" w:color="auto" w:fill="FFFFFF"/>
        </w:rPr>
        <w:t>作品讲解、自评、教师评分与同学投票使用同一套标准。评分标准：讲清楚、有依据、验证过，具体地：①讲清楚：观察现象、分析问题、拆分问题，说清向AI提了什么问题，并给出 文件:行号，能说出调用者或数据流；②有依据：说明评价设计方案所依据的原则、标准与规范，不同方案取舍的理由，以及对AI产出采纳、部分采纳或驳回的依据；③验证过：用断点、代码、执行记录、测试记录核实AI的答案是否真实可信，说明证明了什么、没有证明什么。</w:t>
      </w:r>
      <w:r>
        <w:rPr>
          <w:rFonts w:ascii="Open Sans" w:hAnsi="Open Sans" w:cs="Open Sans"/>
          <w:color w:val="333333"/>
          <w:shd w:val="clear" w:color="auto" w:fill="FFFFFF"/>
        </w:rPr>
      </w:r>
      <w:r>
        <w:rPr>
          <w:rFonts w:ascii="Open Sans" w:hAnsi="Open Sans" w:cs="Open Sans"/>
          <w:color w:val="333333"/>
          <w:shd w:val="clear" w:color="auto" w:fill="FFFFFF"/>
        </w:rPr>
      </w:r>
      <w:r>
        <w:rPr>
          <w:rFonts w:ascii="Open Sans" w:hAnsi="Open Sans" w:cs="Open Sans" w:hint="eastAsia"/>
          <w:color w:val="333333"/>
          <w:shd w:val="clear" w:color="auto" w:fill="FFFFFF"/>
        </w:rPr>
      </w:r>
      <w:r w:rsidRPr="00D221BF">
        <w:rPr>
          <w:rFonts w:ascii="宋体" w:hAnsi="宋体" w:cs="宋体"/>
          <w:szCs w:val="21"/>
        </w:rPr>
      </w:r>
    </w:p>
    <w:p w14:paraId="4919082D" w14:textId="77777777" w:rsidR="00195000" w:rsidRPr="00195000" w:rsidRDefault="00195000" w:rsidP="00195000">
      <w:pPr>
        <w:spacing w:line="360" w:lineRule="auto"/>
        <w:jc w:val="center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 xml:space="preserve">表 </w:t>
      </w:r>
      <w:r>
        <w:rPr>
          <w:rFonts w:ascii="宋体" w:hAnsi="宋体" w:cs="宋体" w:hint="eastAsia"/>
          <w:b/>
          <w:bCs/>
          <w:szCs w:val="21"/>
        </w:rPr>
        <w:t>5</w:t>
      </w:r>
      <w:r>
        <w:rPr>
          <w:rFonts w:ascii="宋体" w:hAnsi="宋体" w:cs="宋体"/>
          <w:b/>
          <w:bCs/>
          <w:szCs w:val="21"/>
        </w:rPr>
        <w:t xml:space="preserve"> </w:t>
      </w:r>
      <w:r>
        <w:rPr>
          <w:rFonts w:ascii="宋体" w:hAnsi="宋体" w:cs="宋体" w:hint="eastAsia"/>
          <w:b/>
          <w:bCs/>
          <w:szCs w:val="21"/>
        </w:rPr>
        <w:t>作品讲解</w:t>
      </w:r>
      <w:r>
        <w:rPr>
          <w:rFonts w:ascii="宋体" w:hAnsi="宋体" w:cs="宋体"/>
          <w:b/>
          <w:bCs/>
          <w:szCs w:val="21"/>
        </w:rPr>
        <w:t>评分标准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2704"/>
        <w:gridCol w:w="2704"/>
        <w:gridCol w:w="2705"/>
      </w:tblGrid>
      <w:tr w:rsidR="00195000" w:rsidRPr="00195000" w14:paraId="66D2BC48" w14:textId="77777777">
        <w:trPr>
          <w:trHeight w:val="508"/>
        </w:trPr>
        <w:tc>
          <w:tcPr>
            <w:tcW w:w="959" w:type="dxa"/>
            <w:vAlign w:val="center"/>
            <w:hideMark/>
          </w:tcPr>
          <w:p w14:paraId="605B8AD3" w14:textId="77777777" w:rsidR="00195000" w:rsidRDefault="00195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等级</w:t>
            </w:r>
          </w:p>
        </w:tc>
        <w:tc>
          <w:tcPr>
            <w:tcW w:w="2704" w:type="dxa"/>
            <w:vAlign w:val="center"/>
            <w:hideMark/>
          </w:tcPr>
          <w:p w14:paraId="32E9B0BF" w14:textId="77777777" w:rsidR="00195000" w:rsidRDefault="00195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讲清楚</w:t>
            </w:r>
          </w:p>
        </w:tc>
        <w:tc>
          <w:tcPr>
            <w:tcW w:w="2704" w:type="dxa"/>
            <w:vAlign w:val="center"/>
            <w:hideMark/>
          </w:tcPr>
          <w:p w14:paraId="4A2E5F09" w14:textId="77777777" w:rsidR="00195000" w:rsidRDefault="00195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有依据</w:t>
            </w:r>
          </w:p>
        </w:tc>
        <w:tc>
          <w:tcPr>
            <w:tcW w:w="2705" w:type="dxa"/>
            <w:vAlign w:val="center"/>
            <w:hideMark/>
          </w:tcPr>
          <w:p w14:paraId="7000B954" w14:textId="77777777" w:rsidR="00195000" w:rsidRDefault="00195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验证过</w:t>
            </w:r>
          </w:p>
        </w:tc>
      </w:tr>
      <w:tr w:rsidR="00195000" w:rsidRPr="00195000" w14:paraId="4F84AEFD" w14:textId="77777777">
        <w:tc>
          <w:tcPr>
            <w:tcW w:w="959" w:type="dxa"/>
            <w:vAlign w:val="center"/>
            <w:hideMark/>
          </w:tcPr>
          <w:p w14:paraId="3D8DFE3B" w14:textId="77777777" w:rsidR="00195000" w:rsidRPr="00195000" w:rsidRDefault="00195000">
            <w:pPr>
              <w:jc w:val="center"/>
            </w:pPr>
            <w:r>
              <w:rPr>
                <w:rFonts w:hint="eastAsia"/>
              </w:rPr>
              <w:t>优秀</w:t>
            </w:r>
          </w:p>
        </w:tc>
        <w:tc>
          <w:tcPr>
            <w:tcW w:w="2704" w:type="dxa"/>
            <w:vAlign w:val="center"/>
            <w:hideMark/>
          </w:tcPr>
          <w:p w14:paraId="0B5F02BD" w14:textId="77777777" w:rsidR="00195000" w:rsidRPr="00195000" w:rsidRDefault="00195000" w:rsidP="00195000">
            <w:r>
              <w:t>用自己的话讲清观察到的现象、分析出的问题与拆分方式，能说出调用者或数据流</w:t>
            </w:r>
          </w:p>
        </w:tc>
        <w:tc>
          <w:tcPr>
            <w:tcW w:w="2704" w:type="dxa"/>
            <w:vAlign w:val="center"/>
            <w:hideMark/>
          </w:tcPr>
          <w:p w14:paraId="56F8D650" w14:textId="77777777" w:rsidR="00195000" w:rsidRPr="00195000" w:rsidRDefault="00195000" w:rsidP="00195000">
            <w:r>
              <w:t>给出评价所依据的原则、标准与取舍理由，并给出 文件:行号</w:t>
            </w:r>
            <w:r>
              <w:t xml:space="preserve"/>
            </w:r>
            <w:r>
              <w:t/>
            </w:r>
            <w:r>
              <w:t/>
            </w:r>
            <w:r>
              <w:t/>
            </w:r>
          </w:p>
        </w:tc>
        <w:tc>
          <w:tcPr>
            <w:tcW w:w="2705" w:type="dxa"/>
            <w:vAlign w:val="center"/>
            <w:hideMark/>
          </w:tcPr>
          <w:p w14:paraId="2342AA1C" w14:textId="77777777" w:rsidR="00195000" w:rsidRPr="00195000" w:rsidRDefault="00195000" w:rsidP="00195000">
            <w:r>
              <w:t>用断点、代码、执行记录或测试记录核实AI的答案，说明证明了什么</w:t>
            </w:r>
          </w:p>
        </w:tc>
      </w:tr>
      <w:tr w:rsidR="00195000" w:rsidRPr="00195000" w14:paraId="3642AE84" w14:textId="77777777">
        <w:trPr>
          <w:trHeight w:val="724"/>
        </w:trPr>
        <w:tc>
          <w:tcPr>
            <w:tcW w:w="959" w:type="dxa"/>
            <w:vAlign w:val="center"/>
            <w:hideMark/>
          </w:tcPr>
          <w:p w14:paraId="303A104E" w14:textId="77777777" w:rsidR="00195000" w:rsidRPr="00195000" w:rsidRDefault="00195000">
            <w:pPr>
              <w:jc w:val="center"/>
            </w:pPr>
            <w:r>
              <w:rPr>
                <w:rFonts w:hint="eastAsia"/>
              </w:rPr>
              <w:t>合格</w:t>
            </w:r>
          </w:p>
        </w:tc>
        <w:tc>
          <w:tcPr>
            <w:tcW w:w="2704" w:type="dxa"/>
            <w:vAlign w:val="center"/>
            <w:hideMark/>
          </w:tcPr>
          <w:p w14:paraId="3E90457F" w14:textId="77777777" w:rsidR="00195000" w:rsidRPr="00195000" w:rsidRDefault="00195000" w:rsidP="00195000">
            <w:r>
              <w:t>需要看稿或经提示才讲清</w:t>
            </w:r>
          </w:p>
        </w:tc>
        <w:tc>
          <w:tcPr>
            <w:tcW w:w="2704" w:type="dxa"/>
            <w:vAlign w:val="center"/>
            <w:hideMark/>
          </w:tcPr>
          <w:p w14:paraId="3FC6E5B7" w14:textId="77777777" w:rsidR="00195000" w:rsidRPr="00195000" w:rsidRDefault="00195000" w:rsidP="00195000">
            <w:r>
              <w:t>有原则，没有证据</w:t>
            </w:r>
          </w:p>
        </w:tc>
        <w:tc>
          <w:tcPr>
            <w:tcW w:w="2705" w:type="dxa"/>
            <w:vAlign w:val="center"/>
            <w:hideMark/>
          </w:tcPr>
          <w:p w14:paraId="4C676962" w14:textId="77777777" w:rsidR="00195000" w:rsidRPr="00195000" w:rsidRDefault="00195000" w:rsidP="00195000">
            <w:r>
              <w:t>有记录但没说明证明了什么</w:t>
            </w:r>
          </w:p>
        </w:tc>
      </w:tr>
      <w:tr w:rsidR="00195000" w:rsidRPr="00195000" w14:paraId="1B699266" w14:textId="77777777">
        <w:trPr>
          <w:trHeight w:val="706"/>
        </w:trPr>
        <w:tc>
          <w:tcPr>
            <w:tcW w:w="959" w:type="dxa"/>
            <w:vAlign w:val="center"/>
            <w:hideMark/>
          </w:tcPr>
          <w:p w14:paraId="372DD698" w14:textId="77777777" w:rsidR="00195000" w:rsidRPr="00195000" w:rsidRDefault="00195000">
            <w:pPr>
              <w:jc w:val="center"/>
            </w:pPr>
            <w:r>
              <w:rPr>
                <w:rFonts w:hint="eastAsia"/>
              </w:rPr>
              <w:t>不及格</w:t>
            </w:r>
          </w:p>
        </w:tc>
        <w:tc>
          <w:tcPr>
            <w:tcW w:w="2704" w:type="dxa"/>
            <w:vAlign w:val="center"/>
            <w:hideMark/>
          </w:tcPr>
          <w:p w14:paraId="748E5A7C" w14:textId="77777777" w:rsidR="00195000" w:rsidRPr="00195000" w:rsidRDefault="00195000" w:rsidP="00195000">
            <w:r>
              <w:t>只能复述AI的话或讲不出</w:t>
            </w:r>
          </w:p>
        </w:tc>
        <w:tc>
          <w:tcPr>
            <w:tcW w:w="2704" w:type="dxa"/>
            <w:vAlign w:val="center"/>
            <w:hideMark/>
          </w:tcPr>
          <w:p w14:paraId="14323C03" w14:textId="77777777" w:rsidR="00195000" w:rsidRPr="00195000" w:rsidRDefault="00195000" w:rsidP="00195000">
            <w:r>
              <w:t>没有依据</w:t>
            </w:r>
          </w:p>
        </w:tc>
        <w:tc>
          <w:tcPr>
            <w:tcW w:w="2705" w:type="dxa"/>
            <w:vAlign w:val="center"/>
            <w:hideMark/>
          </w:tcPr>
          <w:p w14:paraId="66350765" w14:textId="77777777" w:rsidR="00195000" w:rsidRPr="00195000" w:rsidRDefault="00195000" w:rsidP="00195000">
            <w:r>
              <w:t>没有核实，或只说"AI说对了"</w:t>
            </w:r>
            <w:r>
              <w:t/>
            </w:r>
            <w:r>
              <w:t/>
            </w:r>
            <w:r>
              <w:t/>
            </w:r>
          </w:p>
        </w:tc>
      </w:tr>
    </w:tbl>
    <w:p w14:paraId="3C220B54" w14:textId="77777777" w:rsidR="00195000" w:rsidRPr="00195000" w:rsidRDefault="00195000" w:rsidP="00195000">
      <w:pPr>
        <w:spacing w:line="360" w:lineRule="auto"/>
        <w:jc w:val="left"/>
        <w:rPr>
          <w:rFonts w:ascii="宋体" w:hAnsi="宋体" w:cs="宋体" w:hint="eastAsia"/>
          <w:szCs w:val="21"/>
        </w:rPr>
      </w:pPr>
    </w:p>
    <w:p w14:paraId="011958CE" w14:textId="77777777" w:rsidR="00871B2D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b/>
          <w:bCs/>
          <w:szCs w:val="21"/>
        </w:rPr>
        <w:t>3．AI使用与学术诚信规范</w:t>
      </w:r>
    </w:p>
    <w:p w14:paraId="44708EA8" w14:textId="77777777" w:rsidR="00871B2D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允许并鼓励在项目实践中使用生成式AI工具，但须遵守：</w:t>
      </w:r>
    </w:p>
    <w:p w14:paraId="2D1DA93C" w14:textId="77777777" w:rsidR="00871B2D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（1）在提交物中标注使用了AI的部分及所用工具；</w:t>
      </w:r>
    </w:p>
    <w:p w14:paraId="65F23ECF" w14:textId="77777777" w:rsidR="00871B2D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（2）能够向教师解释AI产出的每一处内容，答辩时随机抽查讲解；</w:t>
      </w:r>
    </w:p>
    <w:p w14:paraId="19606724" w14:textId="77777777" w:rsidR="00871B2D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（3）对提交物的正确性与质量负全部责任；</w:t>
      </w:r>
    </w:p>
    <w:p w14:paraId="22617EB0" w14:textId="77777777" w:rsidR="00871B2D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（4）作品讲解的录屏须由本人完成，并演示核实AI答案的过程（断点、执行记录或测试运行）。</w:t>
      </w:r>
    </w:p>
    <w:p w14:paraId="1145D8AB" w14:textId="77777777" w:rsidR="00871B2D" w:rsidRDefault="00871B2D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（5）</w:t>
      </w:r>
      <w:r>
        <w:rPr>
          <w:rFonts w:ascii="宋体" w:hAnsi="宋体" w:cs="宋体"/>
          <w:szCs w:val="21"/>
        </w:rPr>
        <w:t>AI检测器的结论不作为认定违规的依据，核验依靠作品讲解、现场演示和期末独立展示。</w:t>
      </w:r>
    </w:p>
    <w:p w14:paraId="3F95CA79" w14:textId="77777777" w:rsidR="00204DE4" w:rsidRDefault="00871B2D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（6）</w:t>
      </w:r>
      <w:r>
        <w:rPr>
          <w:rFonts w:ascii="宋体" w:hAnsi="宋体" w:cs="宋体"/>
          <w:szCs w:val="21"/>
        </w:rPr>
        <w:t>未标注使用AI、无法解释产出内容或以AI产出冒充本人完成的，按学术不诚信处理。</w:t>
      </w:r>
    </w:p>
    <w:p w14:paraId="70856031" w14:textId="77777777" w:rsidR="00204DE4" w:rsidRPr="002C4561" w:rsidRDefault="00000000" w:rsidP="002C4561">
      <w:pPr>
        <w:pStyle w:val="3"/>
        <w:keepNext w:val="0"/>
        <w:keepLines w:val="0"/>
        <w:spacing w:before="0" w:after="0" w:line="360" w:lineRule="auto"/>
        <w:rPr>
          <w:rFonts w:ascii="宋体" w:hAnsi="宋体" w:cs="宋体" w:hint="eastAsia"/>
          <w:bCs w:val="0"/>
          <w:sz w:val="21"/>
          <w:szCs w:val="21"/>
        </w:rPr>
      </w:pPr>
      <w:r w:rsidRPr="002C4561">
        <w:rPr>
          <w:rFonts w:ascii="宋体" w:hAnsi="宋体" w:cs="宋体"/>
          <w:bCs w:val="0"/>
          <w:sz w:val="21"/>
          <w:szCs w:val="21"/>
        </w:rPr>
        <w:t>九、教材及参考书</w:t>
      </w:r>
    </w:p>
    <w:p w14:paraId="47C828A5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1.教材与专著：</w:t>
      </w:r>
    </w:p>
    <w:p w14:paraId="64CC0AB2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[1] 董威，文艳军，陈振邦. 软件设计与体系结构[M]. 2版. 北京：高等教育出版社，2017. ISBN 9787040486308.（选用教材）</w:t>
      </w:r>
    </w:p>
    <w:p w14:paraId="02C336D2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[2] Martin R C. 敏捷软件开发：原则、模式与实践[M]. 邓辉，译. 北京：清华大学出版社，2003.</w:t>
      </w:r>
    </w:p>
    <w:p w14:paraId="161AB5D6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[3] Gamma E, Helm R, Johnson R, Vlissides J. 设计模式：可复用面向对象软件的基础[M]. 李英军，马晓星，蔡敏，刘建中，译. 北京：机械工业出版社，2000.</w:t>
      </w:r>
    </w:p>
    <w:p w14:paraId="19BE9848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[4] Fowler M. 重构：改善既有代码的设计（第2版）[M]. 熊节，林从羽，译. 北京：人民邮电出版社，2019.</w:t>
      </w:r>
    </w:p>
    <w:p w14:paraId="3FE4BBDA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[5] Kerievsky J. 重构与模式（修订版）[M]. 杨光，刘基诚，译. 北京：人民邮电出版社，2013.</w:t>
      </w:r>
    </w:p>
    <w:p w14:paraId="45076ECA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[6] Feathers M C. 修改代码的艺术[M]. 刘未鹏，译. 北京：人民邮电出版社，2007.</w:t>
      </w:r>
    </w:p>
    <w:p w14:paraId="493217FE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[7] Fowler M. 企业应用架构模式[M]. 王怀民，周斌，译. 北京：机械工业出版社，2010.</w:t>
      </w:r>
    </w:p>
    <w:p w14:paraId="21CF5899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lastRenderedPageBreak/>
        <w:t>[8] Ford N, Parsons R, Kua P. 演进式架构[M]. 周训杰，译. 北京：人民邮电出版社，2019.</w:t>
      </w:r>
    </w:p>
    <w:p w14:paraId="2A869995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[9] Evans E. 领域驱动设计：软件核心复杂性应对之道（修订版）[M]. 赵俐，盛海艳，刘霞，译. 北京：人民邮电出版社，2016.</w:t>
      </w:r>
    </w:p>
    <w:p w14:paraId="08BEC538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[10] Vernon V. 实现领域驱动设计[M]. 滕云，译. 北京：电子工业出版社，2014.</w:t>
      </w:r>
    </w:p>
    <w:p w14:paraId="19A0B1E3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[11] Newman S. 微服务设计[M]. 崔力强，张骏，译. 北京：人民邮电出版社，2016.</w:t>
      </w:r>
    </w:p>
    <w:p w14:paraId="44D52250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[12] Cwalina K, Abrams B. .NET设计规范：约定、惯用法与模式（第2版）[M]. 葛子昂，译. 北京：人民邮电出版社，2010.</w:t>
      </w:r>
    </w:p>
    <w:p w14:paraId="3F923087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[13] Tulach J. 软件框架设计的艺术[M]. 王磊，朱兴，译. 北京：人民邮电出版社，2011.</w:t>
      </w:r>
    </w:p>
    <w:p w14:paraId="665C803C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[14] Kästner C. Machine Learning in Production: From Models to Products[M]. Cambridge, MA: MIT Press, 2025. 在线全文：https://mlip-cmu.github.io/book/.（Architecture与Planning for Mistakes章节对应第三章）</w:t>
      </w:r>
    </w:p>
    <w:p w14:paraId="05B06BCC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[15] Washizaki H. Guide to the Software Engineering Body of Knowledge (SWEBOK Guide), Version 4.0[M]. IEEE Computer Society, 2024. https://www.swebok.org.</w:t>
      </w:r>
    </w:p>
    <w:p w14:paraId="5C241719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2.国家标准与国际标准：</w:t>
      </w:r>
    </w:p>
    <w:p w14:paraId="6F96F771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[16] GB/T 25000.10-2016 系统与软件工程 系统与软件质量要求和评价（SQuaRE） 第10部分：系统与软件质量模型[S].</w:t>
      </w:r>
    </w:p>
    <w:p w14:paraId="0D9F9055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[17] GB/T 8566-2022 系统与软件工程 软件生存周期过程[S].</w:t>
      </w:r>
    </w:p>
    <w:p w14:paraId="3D70BE1B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[18] GB/T 8567-2006 计算机软件文档编制规范[S].</w:t>
      </w:r>
    </w:p>
    <w:p w14:paraId="2939F89D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[19] ISO/IEC 25010:2023 Systems and software engineering—Systems and software Quality Requirements and Evaluation (SQuaRE)—Product quality model[S].</w:t>
      </w:r>
    </w:p>
    <w:p w14:paraId="30035A9B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[20] ISO/IEC/IEEE 12207:2026 Systems and software engineering—Software life cycle processes[S].（代替2026年4月29日撤回的12207:2017）</w:t>
      </w:r>
    </w:p>
    <w:p w14:paraId="0BB7AF4C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[21] Mell P, Grance T. The NIST Definition of Cloud Computing: NIST SP 800-145[S]. Gaithersburg: NIST, 2011. DOI: 10.6028/NIST.SP.800-145.</w:t>
      </w:r>
    </w:p>
    <w:p w14:paraId="20CCB8EC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3.论文：</w:t>
      </w:r>
    </w:p>
    <w:p w14:paraId="68DF060E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[22] Parnas D L. On the criteria to be used in decomposing systems into modules[J]. Communications of the ACM, 1972, 15(12): 1053-1058. DOI: 10.1145/361598.361623.</w:t>
      </w:r>
    </w:p>
    <w:p w14:paraId="4EF83C7F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[23] Lehman M M. Programs, life cycles, and laws of software evolution[J]. </w:t>
      </w:r>
      <w:r>
        <w:rPr>
          <w:rFonts w:ascii="宋体" w:hAnsi="宋体" w:cs="宋体"/>
          <w:szCs w:val="21"/>
        </w:rPr>
        <w:lastRenderedPageBreak/>
        <w:t>Proceedings of the IEEE, 1980, 68(9): 1060-1076. DOI: 10.1109/PROC.1980.11805.</w:t>
      </w:r>
    </w:p>
    <w:p w14:paraId="2435C62E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[24] Chikofsky E J, Cross J H. Reverse engineering and design recovery: a taxonomy[J]. IEEE Software, 1990, 7(1): 13-17. DOI: 10.1109/52.43044.</w:t>
      </w:r>
    </w:p>
    <w:p w14:paraId="3E0097B8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[25] Kruchten P. Architectural blueprints—the “4+1” view model of software architecture[J]. IEEE Software, 1995, 12(6): 42-50. DOI: 10.1109/52.469759.</w:t>
      </w:r>
    </w:p>
    <w:p w14:paraId="37C952D9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[26] Bennett K H, Rajlich V T. Software maintenance and evolution: a roadmap[C]//Proceedings of the Conference on the Future of Software Engineering. 2000: 73-87. DOI: 10.1145/336512.336534.</w:t>
      </w:r>
    </w:p>
    <w:p w14:paraId="417C22FA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[27] Le D M, Behnamghader P, Garcia J, et al. An empirical study of architectural change in open-source software systems[C]//Proceedings of the 12th Working Conference on Mining Software Repositories (MSR 2015). 2015: 235-245. DOI: 10.1109/MSR.2015.29.</w:t>
      </w:r>
    </w:p>
    <w:p w14:paraId="5256A9FC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[28] Lenarduzzi V, Lomio F, Saarimäki N, Taibi D. Does migrating a monolithic system to microservices decrease the technical debt?[J]. Journal of Systems and Software, 2020, 169: 110710. DOI: 10.1016/j.jss.2020.110710.</w:t>
      </w:r>
    </w:p>
    <w:p w14:paraId="61C4083B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[29] White J, Fu Q, Hays S, et al. A prompt pattern catalog to enhance prompt engineering with ChatGPT[EB/OL]. arXiv: 2302.11382, 2023.</w:t>
      </w:r>
    </w:p>
    <w:p w14:paraId="387C978D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[30] Suh H, Tafreshipour M, Li J, Bhattiprolu A, Ahmed I. An empirical study on automatically detecting AI-generated source code: how far are we?[C]//Proceedings of the 47th International Conference on Software Engineering (ICSE 2025). 2025. arXiv: 2411.04299.</w:t>
      </w:r>
    </w:p>
    <w:p w14:paraId="1ECEC714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4.线上资源：</w:t>
      </w:r>
    </w:p>
    <w:p w14:paraId="7DB80F59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[31] 阿里巴巴集团. Java开发手册（黄山版）[EB/OL]. 2022. https://github.com/alibaba/p3c.</w:t>
      </w:r>
    </w:p>
    <w:p w14:paraId="1931B54E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[32] Google. Google Java Style Guide[EB/OL]. https://google.github.io/styleguide/javaguide.html.</w:t>
      </w:r>
    </w:p>
    <w:p w14:paraId="23054170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[33] Google. Google Engineering Practices: Code Review[EB/OL]. https://google.github.io/eng-practices/review/.</w:t>
      </w:r>
    </w:p>
    <w:p w14:paraId="1BAC1FD6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[34] Microsoft. Microsoft REST API Guidelines[EB/OL]. https://github.com/microsoft/api-guidelines.</w:t>
      </w:r>
    </w:p>
    <w:p w14:paraId="354E066C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[35] Conventional Commits. Conventional Commits 1.0.0[EB/OL]. </w:t>
      </w:r>
      <w:r>
        <w:rPr>
          <w:rFonts w:ascii="宋体" w:hAnsi="宋体" w:cs="宋体"/>
          <w:szCs w:val="21"/>
        </w:rPr>
        <w:lastRenderedPageBreak/>
        <w:t>https://www.conventionalcommits.org/en/v1.0.0/.</w:t>
      </w:r>
    </w:p>
    <w:p w14:paraId="0D59211F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[36] Fowler M. GUI Architectures[EB/OL]. 2006. https://martinfowler.com/eaaDev/uiArchs.html.</w:t>
      </w:r>
    </w:p>
    <w:p w14:paraId="2F586B78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[37] Fowler M. Inversion of Control Containers and the Dependency Injection pattern[EB/OL]. 2004. https://martinfowler.com/articles/injection.html.</w:t>
      </w:r>
    </w:p>
    <w:p w14:paraId="6E1F9FD3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[38] Microsoft. Model-View-ViewModel (Enterprise Application Patterns Using .NET MAUI)[EB/OL]. https://learn.microsoft.com/en-us/dotnet/architecture/maui/mvvm.</w:t>
      </w:r>
    </w:p>
    <w:p w14:paraId="4E435B8F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[39] Spring. Spring Framework Reference: Dependency Injection[EB/OL]. https://docs.spring.io/spring-framework/reference/core/beans/dependencies/factory-collaborators.html.</w:t>
      </w:r>
    </w:p>
    <w:p w14:paraId="091C6B2C" w14:textId="77777777" w:rsidR="00204DE4" w:rsidRDefault="00204DE4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[40] Carnegie Mellon University. Machine Learning in Production: 课程讲义、幻灯片与教材全文[EB/OL]. https://mlip-cmu.github.io/；教材章节 https://mlip-cmu.github.io/book/. CC协议开源，对应第三章。</w:t>
      </w:r>
    </w:p>
    <w:p w14:paraId="224831E1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[41] Stanford University. CS 329S: Machine Learning Systems Design [EB/OL]. https://stanford-cs329s.github.io/syllabus.html.</w:t>
      </w:r>
    </w:p>
    <w:p w14:paraId="46AE55BC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[42] Vanderbilt University. Prompt Engineering for ChatGPT[EB/OL]. Coursera. https://www.coursera.org/learn/prompt-engineering.</w:t>
      </w:r>
    </w:p>
    <w:p w14:paraId="291BF4B3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[43] UC Berkeley. Large Language Model Agents[EB/OL]. https://llmagents-learning.org/.（系列课程现迁至 https://agenticai-learning.org/）</w:t>
      </w:r>
    </w:p>
    <w:p w14:paraId="308743FB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[44] Northeastern University CS4530. Policy on Use of AI (Spring 2026)[EB/OL]. https://neu-se.github.io/CS4530-Spring-2026/policies/ai.</w:t>
      </w:r>
    </w:p>
    <w:p w14:paraId="5047BC90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[45] macrozheng. mall[CP/OL]. https://github.com/macrozheng/mall. 棕地项目。</w:t>
      </w:r>
    </w:p>
    <w:p w14:paraId="6B19CBFB" w14:textId="6CC766DE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 xml:space="preserve">[46] macrozheng. mall-swarm[CP/OL]. </w:t>
      </w:r>
      <w:r w:rsidR="00204DE4" w:rsidRPr="00E878EB">
        <w:rPr>
          <w:rFonts w:ascii="宋体" w:hAnsi="宋体" w:cs="宋体"/>
          <w:szCs w:val="21"/>
        </w:rPr>
        <w:t>https://github.com/macrozheng/mall-swarm</w:t>
      </w:r>
      <w:r>
        <w:rPr>
          <w:rFonts w:ascii="宋体" w:hAnsi="宋体" w:cs="宋体"/>
          <w:szCs w:val="21"/>
        </w:rPr>
        <w:t>. 棕地项目的系统演化案例。</w:t>
      </w:r>
    </w:p>
    <w:p w14:paraId="57B35D0F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[47] 课程组. AI协作与产出验收规范[Z]. 课程讲义附录.</w:t>
      </w:r>
    </w:p>
    <w:p w14:paraId="57B35D0F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[48] 课程组. mall／mall-swarm 产品拆解[Z]. 课程读物.</w:t>
      </w:r>
    </w:p>
    <w:p w14:paraId="57B35D0F" w14:textId="77777777" w:rsidR="00204DE4" w:rsidRDefault="00000000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szCs w:val="21"/>
        </w:rPr>
        <w:t>[49] Nygard M. Documenting Architecture Decisions[EB/OL]. 2011. https://cognitect.com/blog/2011/11/15/documenting-architecture-decisions</w:t>
      </w:r>
    </w:p>
    <w:p w14:paraId="1705F27A" w14:textId="77777777" w:rsidR="00D72211" w:rsidRDefault="00D72211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</w:p>
    <w:p w14:paraId="5A33E69E" w14:textId="77777777" w:rsidR="00D72211" w:rsidRDefault="00D72211">
      <w:pPr>
        <w:spacing w:line="360" w:lineRule="auto"/>
        <w:ind w:firstLine="421"/>
        <w:jc w:val="left"/>
        <w:rPr>
          <w:rFonts w:ascii="宋体" w:hAnsi="宋体" w:cs="宋体" w:hint="eastAsia"/>
          <w:szCs w:val="21"/>
        </w:rPr>
      </w:pPr>
    </w:p>
    <w:p w14:paraId="1423335D" w14:textId="77777777" w:rsidR="00204DE4" w:rsidRDefault="00000000">
      <w:pPr>
        <w:spacing w:line="360" w:lineRule="auto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/>
          <w:b/>
          <w:bCs/>
          <w:szCs w:val="21"/>
        </w:rPr>
        <w:t xml:space="preserve">             系室：</w:t>
      </w:r>
      <w:r>
        <w:rPr>
          <w:rFonts w:ascii="宋体" w:hAnsi="宋体" w:cs="宋体"/>
          <w:szCs w:val="21"/>
        </w:rPr>
        <w:t xml:space="preserve">软件工程系            </w:t>
      </w:r>
      <w:r>
        <w:rPr>
          <w:rFonts w:ascii="宋体" w:hAnsi="宋体" w:cs="宋体"/>
          <w:b/>
          <w:bCs/>
          <w:szCs w:val="21"/>
        </w:rPr>
        <w:t>执笔人</w:t>
      </w:r>
      <w:r>
        <w:rPr>
          <w:rFonts w:ascii="宋体" w:hAnsi="宋体" w:cs="宋体"/>
          <w:szCs w:val="21"/>
        </w:rPr>
        <w:t xml:space="preserve">：李萌        </w:t>
      </w:r>
      <w:r>
        <w:rPr>
          <w:rFonts w:ascii="宋体" w:hAnsi="宋体" w:cs="宋体"/>
          <w:b/>
          <w:bCs/>
          <w:szCs w:val="21"/>
        </w:rPr>
        <w:t>系室审核人：</w:t>
      </w:r>
      <w:r>
        <w:rPr>
          <w:rFonts w:ascii="宋体" w:hAnsi="宋体" w:cs="宋体"/>
          <w:szCs w:val="21"/>
        </w:rPr>
        <w:t>蒋良卫</w:t>
      </w:r>
    </w:p>
    <w:p w14:paraId="257622D8" w14:textId="77777777" w:rsidR="00204DE4" w:rsidRDefault="00204DE4">
      <w:pPr>
        <w:spacing w:line="360" w:lineRule="auto"/>
        <w:ind w:right="840"/>
        <w:rPr>
          <w:rFonts w:ascii="宋体" w:hAnsi="宋体" w:cs="宋体" w:hint="eastAsia"/>
          <w:szCs w:val="21"/>
        </w:rPr>
      </w:pPr>
    </w:p>
    <w:sectPr w:rsidR="00204DE4">
      <w:headerReference w:type="default" r:id="rId8"/>
      <w:pgSz w:w="11906" w:h="16838"/>
      <w:pgMar w:top="1440" w:right="1134" w:bottom="1440" w:left="1797" w:header="851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CBB8F" w14:textId="77777777" w:rsidR="00C01362" w:rsidRDefault="00C01362">
      <w:r>
        <w:separator/>
      </w:r>
    </w:p>
  </w:endnote>
  <w:endnote w:type="continuationSeparator" w:id="0">
    <w:p w14:paraId="3A39B1C8" w14:textId="77777777" w:rsidR="00C01362" w:rsidRDefault="00C01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ans"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隶二简体;宋体">
    <w:panose1 w:val="00000000000000000000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4FFBF" w14:textId="77777777" w:rsidR="00C01362" w:rsidRDefault="00C01362">
      <w:r>
        <w:separator/>
      </w:r>
    </w:p>
  </w:footnote>
  <w:footnote w:type="continuationSeparator" w:id="0">
    <w:p w14:paraId="4EE0D726" w14:textId="77777777" w:rsidR="00C01362" w:rsidRDefault="00C01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4CDB6" w14:textId="77777777" w:rsidR="00204DE4" w:rsidRDefault="00204DE4">
    <w:pPr>
      <w:pStyle w:val="ae"/>
      <w:pBdr>
        <w:bottom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83F42"/>
    <w:multiLevelType w:val="multilevel"/>
    <w:tmpl w:val="2DB8475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7668653">
    <w:abstractNumId w:val="0"/>
  </w:num>
  <w:num w:numId="2" w16cid:durableId="972910056">
    <w:abstractNumId w:val="0"/>
  </w:num>
  <w:num w:numId="3" w16cid:durableId="629635114">
    <w:abstractNumId w:val="0"/>
  </w:num>
  <w:num w:numId="4" w16cid:durableId="284820666">
    <w:abstractNumId w:val="0"/>
  </w:num>
  <w:num w:numId="5" w16cid:durableId="1612011112">
    <w:abstractNumId w:val="0"/>
  </w:num>
  <w:num w:numId="6" w16cid:durableId="882060189">
    <w:abstractNumId w:val="0"/>
  </w:num>
  <w:num w:numId="7" w16cid:durableId="231283067">
    <w:abstractNumId w:val="0"/>
  </w:num>
  <w:num w:numId="8" w16cid:durableId="162484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noLeading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3NzUzNDAztDSzMDRT0lEKTi0uzszPAykwNKgFAOQb2hQtAAAA"/>
    <w:docVar w:name="commondata" w:val="eyJoZGlkIjoiZDkzYzZkNDRlZDllNjdlNTFlNDRjOWFlMDM3NGQyOTAifQ=="/>
  </w:docVars>
  <w:rsids>
    <w:rsidRoot w:val="00204DE4"/>
    <w:rsid w:val="00004868"/>
    <w:rsid w:val="000210AA"/>
    <w:rsid w:val="0003407A"/>
    <w:rsid w:val="00182E2C"/>
    <w:rsid w:val="00195000"/>
    <w:rsid w:val="00204DE4"/>
    <w:rsid w:val="002128BF"/>
    <w:rsid w:val="0022529C"/>
    <w:rsid w:val="0027398D"/>
    <w:rsid w:val="002C4561"/>
    <w:rsid w:val="002E2931"/>
    <w:rsid w:val="002E6080"/>
    <w:rsid w:val="002F7841"/>
    <w:rsid w:val="003518D1"/>
    <w:rsid w:val="00433119"/>
    <w:rsid w:val="00442FE9"/>
    <w:rsid w:val="004C6828"/>
    <w:rsid w:val="00595385"/>
    <w:rsid w:val="005B5556"/>
    <w:rsid w:val="00640064"/>
    <w:rsid w:val="0064720F"/>
    <w:rsid w:val="00657074"/>
    <w:rsid w:val="006608EF"/>
    <w:rsid w:val="006768BA"/>
    <w:rsid w:val="00686F52"/>
    <w:rsid w:val="006927BD"/>
    <w:rsid w:val="006C75D0"/>
    <w:rsid w:val="006E3B1B"/>
    <w:rsid w:val="006F7B5F"/>
    <w:rsid w:val="007420F2"/>
    <w:rsid w:val="00794116"/>
    <w:rsid w:val="007D43CC"/>
    <w:rsid w:val="00851A1B"/>
    <w:rsid w:val="0085471C"/>
    <w:rsid w:val="00871B2D"/>
    <w:rsid w:val="00900146"/>
    <w:rsid w:val="00901020"/>
    <w:rsid w:val="00910DF9"/>
    <w:rsid w:val="00977263"/>
    <w:rsid w:val="009D442B"/>
    <w:rsid w:val="009E6772"/>
    <w:rsid w:val="00A61D97"/>
    <w:rsid w:val="00A64D6D"/>
    <w:rsid w:val="00BA40BB"/>
    <w:rsid w:val="00C01362"/>
    <w:rsid w:val="00C64722"/>
    <w:rsid w:val="00CC7818"/>
    <w:rsid w:val="00D221BF"/>
    <w:rsid w:val="00D32BF6"/>
    <w:rsid w:val="00D6347E"/>
    <w:rsid w:val="00D72211"/>
    <w:rsid w:val="00DA3830"/>
    <w:rsid w:val="00DF41C6"/>
    <w:rsid w:val="00E46C83"/>
    <w:rsid w:val="00E878EB"/>
    <w:rsid w:val="00EA3DE2"/>
    <w:rsid w:val="00EA7055"/>
    <w:rsid w:val="00F32750"/>
    <w:rsid w:val="00FC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CC11"/>
  <w15:docId w15:val="{D24F9D3B-0C0C-154A-8784-C477AC0A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宋体" w:hAnsi="Liberation Serif" w:cs="FreeSan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numPr>
        <w:numId w:val="1"/>
      </w:numPr>
      <w:ind w:left="220"/>
      <w:outlineLvl w:val="0"/>
    </w:pPr>
    <w:rPr>
      <w:rFonts w:ascii="微软雅黑" w:eastAsia="微软雅黑" w:hAnsi="微软雅黑" w:cs="微软雅黑"/>
      <w:b/>
      <w:bCs/>
      <w:szCs w:val="21"/>
      <w:lang w:val="zh-CN" w:bidi="zh-CN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1"/>
      </w:numPr>
      <w:spacing w:line="320" w:lineRule="exact"/>
      <w:outlineLvl w:val="1"/>
    </w:pPr>
    <w:rPr>
      <w:rFonts w:ascii="Arial" w:eastAsia="方正隶二简体;宋体" w:hAnsi="Arial" w:cs="Arial"/>
      <w:bCs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1">
    <w:name w:val="标题 3 字符1"/>
    <w:qFormat/>
    <w:rPr>
      <w:b/>
      <w:bCs/>
      <w:kern w:val="2"/>
      <w:sz w:val="32"/>
      <w:szCs w:val="32"/>
      <w:lang w:val="zh-CN"/>
    </w:rPr>
  </w:style>
  <w:style w:type="character" w:customStyle="1" w:styleId="10">
    <w:name w:val="纯文本 字符1"/>
    <w:qFormat/>
    <w:rPr>
      <w:rFonts w:ascii="宋体" w:hAnsi="宋体" w:cs="Courier New"/>
      <w:kern w:val="2"/>
      <w:sz w:val="21"/>
      <w:szCs w:val="21"/>
    </w:rPr>
  </w:style>
  <w:style w:type="character" w:customStyle="1" w:styleId="a3">
    <w:name w:val="页眉 字符"/>
    <w:qFormat/>
    <w:rPr>
      <w:kern w:val="2"/>
      <w:sz w:val="18"/>
      <w:szCs w:val="18"/>
    </w:rPr>
  </w:style>
  <w:style w:type="character" w:styleId="a4">
    <w:name w:val="page number"/>
    <w:basedOn w:val="a0"/>
  </w:style>
  <w:style w:type="character" w:styleId="a5">
    <w:name w:val="FollowedHyperlink"/>
    <w:rPr>
      <w:color w:val="954F72"/>
      <w:u w:val="single"/>
    </w:rPr>
  </w:style>
  <w:style w:type="character" w:styleId="a6">
    <w:name w:val="Hyperlink"/>
    <w:rPr>
      <w:color w:val="0000FF"/>
      <w:u w:val="single"/>
    </w:rPr>
  </w:style>
  <w:style w:type="character" w:styleId="a7">
    <w:name w:val="Unresolved Mention"/>
    <w:qFormat/>
    <w:rPr>
      <w:color w:val="605E5C"/>
      <w:shd w:val="clear" w:color="auto" w:fill="E1DFDD"/>
    </w:rPr>
  </w:style>
  <w:style w:type="character" w:customStyle="1" w:styleId="30">
    <w:name w:val="标题 3 字符"/>
    <w:qFormat/>
    <w:rPr>
      <w:b/>
      <w:bCs/>
      <w:kern w:val="2"/>
      <w:sz w:val="32"/>
      <w:szCs w:val="32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8">
    <w:name w:val="Body Text"/>
    <w:basedOn w:val="a"/>
    <w:pPr>
      <w:ind w:left="220"/>
    </w:pPr>
    <w:rPr>
      <w:rFonts w:ascii="微软雅黑" w:eastAsia="微软雅黑" w:hAnsi="微软雅黑" w:cs="微软雅黑"/>
      <w:szCs w:val="21"/>
      <w:lang w:val="zh-CN" w:bidi="zh-CN"/>
    </w:rPr>
  </w:style>
  <w:style w:type="paragraph" w:styleId="a9">
    <w:name w:val="List"/>
    <w:basedOn w:val="a8"/>
    <w:rPr>
      <w:rFonts w:cs="FreeSans"/>
    </w:rPr>
  </w:style>
  <w:style w:type="paragraph" w:styleId="aa">
    <w:name w:val="caption"/>
    <w:basedOn w:val="a"/>
    <w:next w:val="a"/>
    <w:qFormat/>
    <w:rPr>
      <w:rFonts w:ascii="等线 Light" w:eastAsia="黑体" w:hAnsi="等线 Light"/>
      <w:sz w:val="20"/>
      <w:szCs w:val="20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b">
    <w:name w:val="Plain Text"/>
    <w:basedOn w:val="a"/>
    <w:qFormat/>
    <w:rPr>
      <w:rFonts w:ascii="宋体" w:hAnsi="宋体" w:cs="Courier New"/>
      <w:szCs w:val="21"/>
    </w:rPr>
  </w:style>
  <w:style w:type="paragraph" w:styleId="ac">
    <w:name w:val="Date"/>
    <w:basedOn w:val="a"/>
    <w:next w:val="a"/>
    <w:qFormat/>
    <w:pPr>
      <w:ind w:left="100"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customStyle="1" w:styleId="32">
    <w:name w:val="样式3"/>
    <w:basedOn w:val="a"/>
    <w:qFormat/>
    <w:pPr>
      <w:spacing w:before="50" w:after="50" w:line="320" w:lineRule="exact"/>
    </w:pPr>
    <w:rPr>
      <w:rFonts w:ascii="黑体" w:eastAsia="黑体" w:hAnsi="黑体" w:cs="宋体"/>
      <w:b/>
    </w:rPr>
  </w:style>
  <w:style w:type="paragraph" w:customStyle="1" w:styleId="20">
    <w:name w:val="样式2"/>
    <w:basedOn w:val="a"/>
    <w:qFormat/>
    <w:pPr>
      <w:spacing w:before="156" w:after="156" w:line="320" w:lineRule="exact"/>
    </w:pPr>
    <w:rPr>
      <w:rFonts w:eastAsia="黑体"/>
      <w:b/>
      <w:bCs/>
      <w:color w:val="000000"/>
    </w:rPr>
  </w:style>
  <w:style w:type="paragraph" w:customStyle="1" w:styleId="TableParagraph">
    <w:name w:val="Table Paragraph"/>
    <w:basedOn w:val="a"/>
    <w:qFormat/>
    <w:pPr>
      <w:spacing w:before="118"/>
    </w:pPr>
    <w:rPr>
      <w:rFonts w:ascii="微软雅黑" w:eastAsia="微软雅黑" w:hAnsi="微软雅黑" w:cs="微软雅黑"/>
      <w:lang w:val="zh-CN" w:bidi="zh-CN"/>
    </w:r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md-plain">
    <w:name w:val="md-plain"/>
    <w:basedOn w:val="a0"/>
    <w:rsid w:val="00195000"/>
  </w:style>
  <w:style w:type="character" w:styleId="HTML">
    <w:name w:val="HTML Code"/>
    <w:uiPriority w:val="99"/>
    <w:semiHidden/>
    <w:unhideWhenUsed/>
    <w:rsid w:val="00195000"/>
    <w:rPr>
      <w:rFonts w:ascii="宋体" w:eastAsia="宋体" w:hAnsi="宋体" w:cs="宋体"/>
      <w:sz w:val="24"/>
      <w:szCs w:val="24"/>
    </w:rPr>
  </w:style>
  <w:style w:type="table" w:styleId="af0">
    <w:name w:val="Table Grid"/>
    <w:basedOn w:val="a1"/>
    <w:uiPriority w:val="39"/>
    <w:rsid w:val="00195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8E5146-A0FB-EA45-9605-E36623DFE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16</Pages>
  <Words>2601</Words>
  <Characters>14828</Characters>
  <Application>Microsoft Office Word</Application>
  <DocSecurity>0</DocSecurity>
  <Lines>123</Lines>
  <Paragraphs>34</Paragraphs>
  <ScaleCrop>false</ScaleCrop>
  <Company/>
  <LinksUpToDate>false</LinksUpToDate>
  <CharactersWithSpaces>17395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lemon</cp:lastModifiedBy>
  <cp:revision>38</cp:revision>
  <cp:lastPrinted>2026-10-11T12:37:00Z</cp:lastPrinted>
  <dcterms:created xsi:type="dcterms:W3CDTF">2026-10-01T13:45:00Z</dcterms:created>
  <dcterms:modified xsi:type="dcterms:W3CDTF">2026-10-11T13:23:00Z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2019-09-23T07:14:00Z</dcterms:created>
  <dc:creator>Li RQ</dc:creator>
  <dc:description/>
  <dc:language>en-US</dc:language>
  <cp:lastModifiedBy>lemon 牛</cp:lastModifiedBy>
  <cp:lastPrinted>2019-08-26T09:39:00Z</cp:lastPrinted>
  <dcterms:modified xsi:type="dcterms:W3CDTF">2024-08-10T12:41:13Z</dcterms:modified>
  <cp:revision>193</cp:revision>
  <dc:subject/>
  <dc:title>关于组织编写本科专业课程教学大纲、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DFCD36B5DF1541358344CB1D01C95212_12</vt:lpwstr>
  </property>
  <property fmtid="{D5CDD505-2E9C-101B-9397-08002B2CF9AE}" pid="3" name="KSOProductBuildVer">
    <vt:lpwstr>2052-12.1.0.17147</vt:lpwstr>
  </property>
</Properties>
</file>