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D531" w14:textId="38401FAA" w:rsidR="009616DE" w:rsidRPr="009616DE" w:rsidRDefault="009616DE" w:rsidP="00161931">
      <w:pPr>
        <w:rPr>
          <w:sz w:val="20"/>
          <w:szCs w:val="20"/>
        </w:rPr>
      </w:pPr>
      <w:r w:rsidRPr="009616DE">
        <w:rPr>
          <w:sz w:val="20"/>
          <w:szCs w:val="20"/>
        </w:rPr>
        <w:t>Meeting Request List</w:t>
      </w:r>
      <w:r>
        <w:rPr>
          <w:sz w:val="20"/>
          <w:szCs w:val="20"/>
        </w:rPr>
        <w:t xml:space="preserve"> – Workstream 2 Technology &amp; Architecture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0"/>
        <w:gridCol w:w="4775"/>
        <w:gridCol w:w="990"/>
        <w:gridCol w:w="1975"/>
      </w:tblGrid>
      <w:tr w:rsidR="009616DE" w:rsidRPr="009616DE" w14:paraId="485249C4" w14:textId="77777777" w:rsidTr="003B7775">
        <w:tc>
          <w:tcPr>
            <w:tcW w:w="1610" w:type="dxa"/>
          </w:tcPr>
          <w:p w14:paraId="0EC9D5CC" w14:textId="4F6B468A" w:rsidR="009616DE" w:rsidRPr="003B7775" w:rsidRDefault="009616DE" w:rsidP="00161931">
            <w:pPr>
              <w:rPr>
                <w:b/>
                <w:bCs/>
                <w:sz w:val="20"/>
                <w:szCs w:val="20"/>
              </w:rPr>
            </w:pPr>
            <w:r w:rsidRPr="003B7775">
              <w:rPr>
                <w:b/>
                <w:bCs/>
                <w:sz w:val="20"/>
                <w:szCs w:val="20"/>
              </w:rPr>
              <w:t>Meeting Theme</w:t>
            </w:r>
          </w:p>
        </w:tc>
        <w:tc>
          <w:tcPr>
            <w:tcW w:w="4775" w:type="dxa"/>
          </w:tcPr>
          <w:p w14:paraId="701BA589" w14:textId="69D2D43E" w:rsidR="009616DE" w:rsidRPr="003B7775" w:rsidRDefault="00C92FE9" w:rsidP="00161931">
            <w:pPr>
              <w:rPr>
                <w:b/>
                <w:bCs/>
                <w:sz w:val="20"/>
                <w:szCs w:val="20"/>
              </w:rPr>
            </w:pPr>
            <w:r w:rsidRPr="003B7775">
              <w:rPr>
                <w:b/>
                <w:bCs/>
                <w:sz w:val="20"/>
                <w:szCs w:val="20"/>
              </w:rPr>
              <w:t xml:space="preserve">Meeting </w:t>
            </w:r>
            <w:r w:rsidR="009616DE" w:rsidRPr="003B7775">
              <w:rPr>
                <w:b/>
                <w:bCs/>
                <w:sz w:val="20"/>
                <w:szCs w:val="20"/>
              </w:rPr>
              <w:t>Topics</w:t>
            </w:r>
          </w:p>
        </w:tc>
        <w:tc>
          <w:tcPr>
            <w:tcW w:w="990" w:type="dxa"/>
          </w:tcPr>
          <w:p w14:paraId="6FAA5BF9" w14:textId="231FF3F5" w:rsidR="009616DE" w:rsidRPr="003B7775" w:rsidRDefault="009616DE" w:rsidP="00161931">
            <w:pPr>
              <w:rPr>
                <w:b/>
                <w:bCs/>
                <w:sz w:val="20"/>
                <w:szCs w:val="20"/>
              </w:rPr>
            </w:pPr>
            <w:r w:rsidRPr="003B7775"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975" w:type="dxa"/>
          </w:tcPr>
          <w:p w14:paraId="75974C2D" w14:textId="005B61BD" w:rsidR="009616DE" w:rsidRPr="003B7775" w:rsidRDefault="009616DE" w:rsidP="00161931">
            <w:pPr>
              <w:rPr>
                <w:b/>
                <w:bCs/>
                <w:sz w:val="20"/>
                <w:szCs w:val="20"/>
              </w:rPr>
            </w:pPr>
            <w:r w:rsidRPr="003B7775">
              <w:rPr>
                <w:b/>
                <w:bCs/>
                <w:sz w:val="20"/>
                <w:szCs w:val="20"/>
              </w:rPr>
              <w:t>GHX Attendees</w:t>
            </w:r>
          </w:p>
        </w:tc>
      </w:tr>
      <w:tr w:rsidR="00693432" w:rsidRPr="009616DE" w14:paraId="416B8EEC" w14:textId="77777777" w:rsidTr="003B7775">
        <w:tc>
          <w:tcPr>
            <w:tcW w:w="1610" w:type="dxa"/>
          </w:tcPr>
          <w:p w14:paraId="1CF3A68C" w14:textId="42289E07" w:rsidR="00693432" w:rsidRPr="009616DE" w:rsidRDefault="00693432" w:rsidP="00161931">
            <w:p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People: Engineering Org Structure &amp; Operating Model</w:t>
            </w:r>
          </w:p>
        </w:tc>
        <w:tc>
          <w:tcPr>
            <w:tcW w:w="4775" w:type="dxa"/>
          </w:tcPr>
          <w:p w14:paraId="5ED87522" w14:textId="77777777" w:rsidR="00693432" w:rsidRDefault="00693432" w:rsidP="00693432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Operating model across products/platforms: structure, ownership boundaries</w:t>
            </w:r>
          </w:p>
          <w:p w14:paraId="2250B8A8" w14:textId="77777777" w:rsidR="00693432" w:rsidRDefault="00693432" w:rsidP="00693432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Engineering leadership and reporting structure</w:t>
            </w:r>
          </w:p>
          <w:p w14:paraId="375659FB" w14:textId="77777777" w:rsidR="00693432" w:rsidRDefault="00693432" w:rsidP="00693432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Decision rights: architecture, roadmap, hiring, prioritization, technical standards</w:t>
            </w:r>
          </w:p>
          <w:p w14:paraId="64D65FC4" w14:textId="77777777" w:rsidR="00693432" w:rsidRDefault="00693432" w:rsidP="00693432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Cross-functional interfaces with Product, Design, Customer Success</w:t>
            </w:r>
          </w:p>
          <w:p w14:paraId="7B314787" w14:textId="77777777" w:rsidR="00693432" w:rsidRDefault="00693432" w:rsidP="00693432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693432">
              <w:rPr>
                <w:sz w:val="20"/>
                <w:szCs w:val="20"/>
              </w:rPr>
              <w:t>alent management: hiring, leveling, attrition, geographic distribution</w:t>
            </w:r>
          </w:p>
          <w:p w14:paraId="4A491BF4" w14:textId="727B31C5" w:rsidR="00693432" w:rsidRPr="00693432" w:rsidRDefault="00693432" w:rsidP="00693432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Recent and planned org changes</w:t>
            </w:r>
          </w:p>
        </w:tc>
        <w:tc>
          <w:tcPr>
            <w:tcW w:w="990" w:type="dxa"/>
          </w:tcPr>
          <w:p w14:paraId="71C24A56" w14:textId="259EE5E5" w:rsidR="00693432" w:rsidRPr="009616DE" w:rsidRDefault="00693432" w:rsidP="001619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minutes</w:t>
            </w:r>
          </w:p>
        </w:tc>
        <w:tc>
          <w:tcPr>
            <w:tcW w:w="1975" w:type="dxa"/>
          </w:tcPr>
          <w:p w14:paraId="6B2621B7" w14:textId="77777777" w:rsidR="00693432" w:rsidRDefault="00CC55C3" w:rsidP="003B7775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CJ</w:t>
            </w:r>
          </w:p>
          <w:p w14:paraId="45AAB842" w14:textId="0381075E" w:rsidR="00CC55C3" w:rsidRPr="00CC55C3" w:rsidRDefault="00CC55C3" w:rsidP="00286A4A">
            <w:pPr>
              <w:pStyle w:val="ListParagraph"/>
              <w:ind w:left="134"/>
              <w:rPr>
                <w:sz w:val="20"/>
                <w:szCs w:val="20"/>
              </w:rPr>
            </w:pPr>
          </w:p>
        </w:tc>
      </w:tr>
      <w:tr w:rsidR="00693432" w:rsidRPr="009616DE" w14:paraId="14FED5B5" w14:textId="77777777" w:rsidTr="003B7775">
        <w:tc>
          <w:tcPr>
            <w:tcW w:w="1610" w:type="dxa"/>
          </w:tcPr>
          <w:p w14:paraId="3AB23B84" w14:textId="1C7FAC2B" w:rsidR="00693432" w:rsidRPr="00693432" w:rsidRDefault="00693432" w:rsidP="00161931">
            <w:p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Execution: Engineering Practices &amp; SDLC</w:t>
            </w:r>
          </w:p>
        </w:tc>
        <w:tc>
          <w:tcPr>
            <w:tcW w:w="4775" w:type="dxa"/>
          </w:tcPr>
          <w:p w14:paraId="1468F21E" w14:textId="77777777" w:rsidR="00693432" w:rsidRDefault="00693432" w:rsidP="00693432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SDLC methodology, capacity planning, roadmap commitment process</w:t>
            </w:r>
          </w:p>
          <w:p w14:paraId="3E715B9F" w14:textId="77777777" w:rsidR="00693432" w:rsidRDefault="00693432" w:rsidP="00693432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Velocity, predictability, and unplanned/emergent work</w:t>
            </w:r>
          </w:p>
          <w:p w14:paraId="35820231" w14:textId="77777777" w:rsidR="00693432" w:rsidRDefault="00693432" w:rsidP="00693432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CI/CD, deployment cadence, and source control posture</w:t>
            </w:r>
          </w:p>
          <w:p w14:paraId="4703AA28" w14:textId="77777777" w:rsidR="00693432" w:rsidRDefault="00693432" w:rsidP="00693432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QA practices and automated test coverage</w:t>
            </w:r>
          </w:p>
          <w:p w14:paraId="62A20447" w14:textId="48001A74" w:rsidR="00693432" w:rsidRPr="00693432" w:rsidRDefault="00693432" w:rsidP="00693432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Defect management and production incident handling</w:t>
            </w:r>
          </w:p>
        </w:tc>
        <w:tc>
          <w:tcPr>
            <w:tcW w:w="990" w:type="dxa"/>
          </w:tcPr>
          <w:p w14:paraId="7C8B0303" w14:textId="545E965D" w:rsidR="00693432" w:rsidRDefault="00693432" w:rsidP="001619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 minutes</w:t>
            </w:r>
          </w:p>
        </w:tc>
        <w:tc>
          <w:tcPr>
            <w:tcW w:w="1975" w:type="dxa"/>
          </w:tcPr>
          <w:p w14:paraId="5D1F6046" w14:textId="77777777" w:rsidR="00693432" w:rsidRDefault="00CC55C3" w:rsidP="003B7775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CJ</w:t>
            </w:r>
          </w:p>
          <w:p w14:paraId="41A00733" w14:textId="77777777" w:rsidR="00CC55C3" w:rsidRDefault="00CC55C3" w:rsidP="003B7775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Bharat</w:t>
            </w:r>
          </w:p>
          <w:p w14:paraId="03F88824" w14:textId="443D5BDB" w:rsidR="00CC55C3" w:rsidRPr="00CC55C3" w:rsidRDefault="00CC55C3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Curtis</w:t>
            </w:r>
          </w:p>
          <w:p w14:paraId="0661C2A2" w14:textId="77777777" w:rsidR="00CC55C3" w:rsidRDefault="00CC55C3" w:rsidP="003B7775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Arshad</w:t>
            </w:r>
          </w:p>
          <w:p w14:paraId="7BFF8784" w14:textId="0154FB58" w:rsidR="00286A4A" w:rsidRPr="00693432" w:rsidRDefault="00286A4A" w:rsidP="003B7775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Jamie</w:t>
            </w:r>
          </w:p>
        </w:tc>
      </w:tr>
      <w:tr w:rsidR="00CC55C3" w:rsidRPr="009616DE" w14:paraId="1D2A24AE" w14:textId="77777777" w:rsidTr="003B7775">
        <w:tc>
          <w:tcPr>
            <w:tcW w:w="1610" w:type="dxa"/>
          </w:tcPr>
          <w:p w14:paraId="3BE03887" w14:textId="7962AC59" w:rsidR="00CC55C3" w:rsidRPr="00693432" w:rsidRDefault="00CC55C3" w:rsidP="00CC55C3">
            <w:p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Project Jarvis &amp; AI-Driven Developer Productivity</w:t>
            </w:r>
          </w:p>
        </w:tc>
        <w:tc>
          <w:tcPr>
            <w:tcW w:w="4775" w:type="dxa"/>
          </w:tcPr>
          <w:p w14:paraId="155FA6CE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Project Jarvis scope, vision, and operating model</w:t>
            </w:r>
          </w:p>
          <w:p w14:paraId="0A03C976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Current AI developer tooling adoption and rollout</w:t>
            </w:r>
          </w:p>
          <w:p w14:paraId="5211DDA5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Measurement framework for productivity gains</w:t>
            </w:r>
          </w:p>
          <w:p w14:paraId="23E55E59" w14:textId="0036D18E" w:rsidR="00CC55C3" w:rsidRPr="00693432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Governance, guardrails, and target-state vision for agentic SDLC</w:t>
            </w:r>
          </w:p>
        </w:tc>
        <w:tc>
          <w:tcPr>
            <w:tcW w:w="990" w:type="dxa"/>
          </w:tcPr>
          <w:p w14:paraId="316144DD" w14:textId="5BDEB377" w:rsidR="00CC55C3" w:rsidRDefault="00CC55C3" w:rsidP="00CC55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minutes</w:t>
            </w:r>
          </w:p>
        </w:tc>
        <w:tc>
          <w:tcPr>
            <w:tcW w:w="1975" w:type="dxa"/>
          </w:tcPr>
          <w:p w14:paraId="35B105BA" w14:textId="134E05C7" w:rsidR="00CC55C3" w:rsidRDefault="00CC55C3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286A4A">
              <w:rPr>
                <w:sz w:val="20"/>
                <w:szCs w:val="20"/>
              </w:rPr>
              <w:t>urtis (lead)</w:t>
            </w:r>
          </w:p>
          <w:p w14:paraId="7B9BA587" w14:textId="5FE5963B" w:rsidR="00CC55C3" w:rsidRPr="00693432" w:rsidRDefault="00286A4A" w:rsidP="00286A4A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 w:rsidRPr="00286A4A">
              <w:rPr>
                <w:sz w:val="20"/>
                <w:szCs w:val="20"/>
              </w:rPr>
              <w:t>Eric</w:t>
            </w:r>
          </w:p>
        </w:tc>
      </w:tr>
      <w:tr w:rsidR="00CC55C3" w:rsidRPr="009616DE" w14:paraId="5CBF49BF" w14:textId="77777777" w:rsidTr="003B7775">
        <w:tc>
          <w:tcPr>
            <w:tcW w:w="1610" w:type="dxa"/>
          </w:tcPr>
          <w:p w14:paraId="1D696581" w14:textId="35A9F18D" w:rsidR="00CC55C3" w:rsidRPr="00693432" w:rsidRDefault="00CC55C3" w:rsidP="00CC55C3">
            <w:p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Platform Architecture (Current State)</w:t>
            </w:r>
          </w:p>
        </w:tc>
        <w:tc>
          <w:tcPr>
            <w:tcW w:w="4775" w:type="dxa"/>
          </w:tcPr>
          <w:p w14:paraId="2D30BD5E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Logical architecture of each product or platform</w:t>
            </w:r>
          </w:p>
          <w:p w14:paraId="1B1C6528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Technology stack of each product or platform</w:t>
            </w:r>
          </w:p>
          <w:p w14:paraId="6F67BC1C" w14:textId="7D149EC8" w:rsidR="00CC55C3" w:rsidRPr="00693432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Integration patterns between products and platforms</w:t>
            </w:r>
          </w:p>
        </w:tc>
        <w:tc>
          <w:tcPr>
            <w:tcW w:w="990" w:type="dxa"/>
          </w:tcPr>
          <w:p w14:paraId="79A86B7D" w14:textId="6B043E3D" w:rsidR="00CC55C3" w:rsidRDefault="00CC55C3" w:rsidP="00CC55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 minutes</w:t>
            </w:r>
          </w:p>
        </w:tc>
        <w:tc>
          <w:tcPr>
            <w:tcW w:w="1975" w:type="dxa"/>
          </w:tcPr>
          <w:p w14:paraId="0E67918F" w14:textId="77777777" w:rsidR="00CC55C3" w:rsidRDefault="00CC55C3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CJ</w:t>
            </w:r>
          </w:p>
          <w:p w14:paraId="3647D16C" w14:textId="77777777" w:rsidR="00CC55C3" w:rsidRDefault="00CC55C3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Bharat</w:t>
            </w:r>
          </w:p>
          <w:p w14:paraId="39DF1275" w14:textId="77777777" w:rsidR="00CC55C3" w:rsidRDefault="00CC55C3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Arshad</w:t>
            </w:r>
          </w:p>
          <w:p w14:paraId="7695962A" w14:textId="77777777" w:rsidR="00286A4A" w:rsidRDefault="00286A4A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Marten</w:t>
            </w:r>
          </w:p>
          <w:p w14:paraId="4D309B36" w14:textId="4C4529BB" w:rsidR="00286A4A" w:rsidRPr="00693432" w:rsidRDefault="00286A4A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Greg Wilson</w:t>
            </w:r>
          </w:p>
        </w:tc>
      </w:tr>
      <w:tr w:rsidR="00CC55C3" w:rsidRPr="009616DE" w14:paraId="40542521" w14:textId="77777777" w:rsidTr="003B7775">
        <w:tc>
          <w:tcPr>
            <w:tcW w:w="1610" w:type="dxa"/>
          </w:tcPr>
          <w:p w14:paraId="54385CDF" w14:textId="77214644" w:rsidR="00CC55C3" w:rsidRPr="00693432" w:rsidRDefault="00CC55C3" w:rsidP="00CC55C3">
            <w:p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Platform-Enabling Services</w:t>
            </w:r>
          </w:p>
        </w:tc>
        <w:tc>
          <w:tcPr>
            <w:tcW w:w="4775" w:type="dxa"/>
          </w:tcPr>
          <w:p w14:paraId="675A6C2B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Identity, SSO, authentication, and authorization</w:t>
            </w:r>
          </w:p>
          <w:p w14:paraId="4E39DCB8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Core UI/UX shared components</w:t>
            </w:r>
          </w:p>
          <w:p w14:paraId="1EA40257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Payments, BI, and observability as shared services</w:t>
            </w:r>
          </w:p>
          <w:p w14:paraId="13C0B55D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Intelligent Process Automation (IPA) capabilities</w:t>
            </w:r>
          </w:p>
          <w:p w14:paraId="114FB2CD" w14:textId="21A6B6D4" w:rsidR="00CC55C3" w:rsidRPr="00693432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Service consumption model across pods</w:t>
            </w:r>
          </w:p>
        </w:tc>
        <w:tc>
          <w:tcPr>
            <w:tcW w:w="990" w:type="dxa"/>
          </w:tcPr>
          <w:p w14:paraId="398B2981" w14:textId="11541FF5" w:rsidR="00CC55C3" w:rsidRDefault="00CC55C3" w:rsidP="00CC55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minutes</w:t>
            </w:r>
          </w:p>
        </w:tc>
        <w:tc>
          <w:tcPr>
            <w:tcW w:w="1975" w:type="dxa"/>
          </w:tcPr>
          <w:p w14:paraId="20A8A291" w14:textId="4B2D4732" w:rsidR="00286A4A" w:rsidRDefault="00286A4A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Marten (bullets 1, 2, 4)</w:t>
            </w:r>
          </w:p>
          <w:p w14:paraId="38482A44" w14:textId="490DD686" w:rsidR="00286A4A" w:rsidRDefault="00286A4A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Tony M (bullet 3)</w:t>
            </w:r>
          </w:p>
          <w:p w14:paraId="478C06C6" w14:textId="4A078973" w:rsidR="00286A4A" w:rsidRDefault="00286A4A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Bullet 5 (unclear)</w:t>
            </w:r>
          </w:p>
          <w:p w14:paraId="2AC41B32" w14:textId="6E3998B8" w:rsidR="00CC55C3" w:rsidRPr="00693432" w:rsidRDefault="00CC55C3" w:rsidP="00286A4A">
            <w:pPr>
              <w:pStyle w:val="ListParagraph"/>
              <w:ind w:left="134"/>
              <w:rPr>
                <w:sz w:val="20"/>
                <w:szCs w:val="20"/>
              </w:rPr>
            </w:pPr>
          </w:p>
        </w:tc>
      </w:tr>
      <w:tr w:rsidR="00CC55C3" w:rsidRPr="009616DE" w14:paraId="4C20159C" w14:textId="77777777" w:rsidTr="003B7775">
        <w:tc>
          <w:tcPr>
            <w:tcW w:w="1610" w:type="dxa"/>
          </w:tcPr>
          <w:p w14:paraId="513CA5F3" w14:textId="790664AF" w:rsidR="00CC55C3" w:rsidRPr="00693432" w:rsidRDefault="00CC55C3" w:rsidP="00CC55C3">
            <w:p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Tech Debt Management</w:t>
            </w:r>
          </w:p>
        </w:tc>
        <w:tc>
          <w:tcPr>
            <w:tcW w:w="4775" w:type="dxa"/>
          </w:tcPr>
          <w:p w14:paraId="392FCFF0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Tech debt register: structure, ownership, and prioritization</w:t>
            </w:r>
          </w:p>
          <w:p w14:paraId="55530123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Current debt load and trends by product/platform</w:t>
            </w:r>
          </w:p>
          <w:p w14:paraId="0D6EB05D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Remediation investment plan and capacity allocation</w:t>
            </w:r>
          </w:p>
          <w:p w14:paraId="278A750B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EOL/EOS commitments and sunset roadmap</w:t>
            </w:r>
          </w:p>
          <w:p w14:paraId="1EB73B30" w14:textId="22A8246F" w:rsidR="00CC55C3" w:rsidRPr="00693432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Vulnerability and third-party dependency remediation</w:t>
            </w:r>
          </w:p>
        </w:tc>
        <w:tc>
          <w:tcPr>
            <w:tcW w:w="990" w:type="dxa"/>
          </w:tcPr>
          <w:p w14:paraId="76666718" w14:textId="7C22D9F6" w:rsidR="00CC55C3" w:rsidRDefault="00CC55C3" w:rsidP="00CC55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minutes</w:t>
            </w:r>
          </w:p>
        </w:tc>
        <w:tc>
          <w:tcPr>
            <w:tcW w:w="1975" w:type="dxa"/>
          </w:tcPr>
          <w:p w14:paraId="3D3B63D6" w14:textId="77777777" w:rsidR="00286A4A" w:rsidRDefault="00286A4A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  <w:p w14:paraId="518DE892" w14:textId="7F6AA08A" w:rsidR="00CC55C3" w:rsidRPr="00693432" w:rsidRDefault="00CC55C3" w:rsidP="00286A4A">
            <w:pPr>
              <w:pStyle w:val="ListParagraph"/>
              <w:ind w:left="134"/>
              <w:rPr>
                <w:sz w:val="20"/>
                <w:szCs w:val="20"/>
              </w:rPr>
            </w:pPr>
          </w:p>
        </w:tc>
      </w:tr>
      <w:tr w:rsidR="00CC55C3" w:rsidRPr="009616DE" w14:paraId="3A5C3C7C" w14:textId="77777777" w:rsidTr="003B7775">
        <w:tc>
          <w:tcPr>
            <w:tcW w:w="1610" w:type="dxa"/>
          </w:tcPr>
          <w:p w14:paraId="191A3976" w14:textId="7F893FAE" w:rsidR="00CC55C3" w:rsidRPr="00693432" w:rsidRDefault="00CC55C3" w:rsidP="00CC55C3">
            <w:p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Reliability &amp; Serviceability</w:t>
            </w:r>
          </w:p>
        </w:tc>
        <w:tc>
          <w:tcPr>
            <w:tcW w:w="4775" w:type="dxa"/>
          </w:tcPr>
          <w:p w14:paraId="2BDF0AB5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Cloud footprint, hosting topology patterns, and capacity model</w:t>
            </w:r>
          </w:p>
          <w:p w14:paraId="5532877D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Performance engineering and SLA/availability history</w:t>
            </w:r>
          </w:p>
          <w:p w14:paraId="0425DF9C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Disaster recovery posture and incident response</w:t>
            </w:r>
          </w:p>
          <w:p w14:paraId="1E1B1BD7" w14:textId="3C001C3E" w:rsidR="00CC55C3" w:rsidRPr="00693432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693432">
              <w:rPr>
                <w:sz w:val="20"/>
                <w:szCs w:val="20"/>
              </w:rPr>
              <w:t>ost management and optimization</w:t>
            </w:r>
          </w:p>
        </w:tc>
        <w:tc>
          <w:tcPr>
            <w:tcW w:w="990" w:type="dxa"/>
          </w:tcPr>
          <w:p w14:paraId="1107D4E2" w14:textId="328CE401" w:rsidR="00CC55C3" w:rsidRDefault="00CC55C3" w:rsidP="00CC55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 minutes</w:t>
            </w:r>
          </w:p>
        </w:tc>
        <w:tc>
          <w:tcPr>
            <w:tcW w:w="1975" w:type="dxa"/>
          </w:tcPr>
          <w:p w14:paraId="192DD11F" w14:textId="77777777" w:rsidR="00286A4A" w:rsidRDefault="00286A4A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Arshad</w:t>
            </w:r>
          </w:p>
          <w:p w14:paraId="747EAA68" w14:textId="0DBC4B6F" w:rsidR="00CC55C3" w:rsidRPr="00693432" w:rsidRDefault="00CC55C3" w:rsidP="00286A4A">
            <w:pPr>
              <w:pStyle w:val="ListParagraph"/>
              <w:ind w:left="134"/>
              <w:rPr>
                <w:sz w:val="20"/>
                <w:szCs w:val="20"/>
              </w:rPr>
            </w:pPr>
          </w:p>
        </w:tc>
      </w:tr>
      <w:tr w:rsidR="00CC55C3" w:rsidRPr="009616DE" w14:paraId="4357A492" w14:textId="77777777" w:rsidTr="003B7775">
        <w:tc>
          <w:tcPr>
            <w:tcW w:w="1610" w:type="dxa"/>
          </w:tcPr>
          <w:p w14:paraId="248B8923" w14:textId="1451589F" w:rsidR="00CC55C3" w:rsidRPr="00693432" w:rsidRDefault="00CC55C3" w:rsidP="00CC55C3">
            <w:p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lastRenderedPageBreak/>
              <w:t>Security &amp; Compliance</w:t>
            </w:r>
          </w:p>
        </w:tc>
        <w:tc>
          <w:tcPr>
            <w:tcW w:w="4775" w:type="dxa"/>
          </w:tcPr>
          <w:p w14:paraId="087EB87A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Security organization, architecture, and access posture</w:t>
            </w:r>
          </w:p>
          <w:p w14:paraId="448613C4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Vulnerability management, threat detection, and incident response</w:t>
            </w:r>
          </w:p>
          <w:p w14:paraId="19D0D0DA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Application security and shift-left practices in the SDLC</w:t>
            </w:r>
          </w:p>
          <w:p w14:paraId="293A9F5D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Certifications, audits, and program cadence</w:t>
            </w:r>
          </w:p>
          <w:p w14:paraId="6DCE205E" w14:textId="77777777" w:rsidR="00CC55C3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HIPAA, GDPR, and privacy posture (including data residency and cross-border controls)</w:t>
            </w:r>
          </w:p>
          <w:p w14:paraId="1818C7D4" w14:textId="43068FF9" w:rsidR="00CC55C3" w:rsidRPr="00693432" w:rsidRDefault="00CC55C3" w:rsidP="00CC55C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693432">
              <w:rPr>
                <w:sz w:val="20"/>
                <w:szCs w:val="20"/>
              </w:rPr>
              <w:t>How compliance constrains architecture and roadmap</w:t>
            </w:r>
          </w:p>
        </w:tc>
        <w:tc>
          <w:tcPr>
            <w:tcW w:w="990" w:type="dxa"/>
          </w:tcPr>
          <w:p w14:paraId="09B6C7C4" w14:textId="24B29A0F" w:rsidR="00CC55C3" w:rsidRDefault="00CC55C3" w:rsidP="00CC55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minutes</w:t>
            </w:r>
          </w:p>
        </w:tc>
        <w:tc>
          <w:tcPr>
            <w:tcW w:w="1975" w:type="dxa"/>
          </w:tcPr>
          <w:p w14:paraId="5498A18D" w14:textId="77777777" w:rsidR="00CC55C3" w:rsidRDefault="00286A4A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Thien</w:t>
            </w:r>
          </w:p>
          <w:p w14:paraId="27E12AE6" w14:textId="77777777" w:rsidR="00286A4A" w:rsidRDefault="00286A4A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Tony </w:t>
            </w:r>
          </w:p>
          <w:p w14:paraId="441A6313" w14:textId="412A7BA4" w:rsidR="00286A4A" w:rsidRPr="00693432" w:rsidRDefault="00286A4A" w:rsidP="00CC55C3">
            <w:pPr>
              <w:pStyle w:val="ListParagraph"/>
              <w:numPr>
                <w:ilvl w:val="0"/>
                <w:numId w:val="10"/>
              </w:numPr>
              <w:ind w:left="13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Arshad</w:t>
            </w:r>
          </w:p>
        </w:tc>
      </w:tr>
    </w:tbl>
    <w:p w14:paraId="54A098DA" w14:textId="72CD05D1" w:rsidR="00161931" w:rsidRPr="009616DE" w:rsidRDefault="00161931" w:rsidP="00693432">
      <w:pPr>
        <w:rPr>
          <w:sz w:val="20"/>
          <w:szCs w:val="20"/>
        </w:rPr>
      </w:pPr>
    </w:p>
    <w:sectPr w:rsidR="00161931" w:rsidRPr="009616DE" w:rsidSect="00091F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247C"/>
    <w:multiLevelType w:val="hybridMultilevel"/>
    <w:tmpl w:val="BB2AE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B77D8"/>
    <w:multiLevelType w:val="hybridMultilevel"/>
    <w:tmpl w:val="EE48C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F6665"/>
    <w:multiLevelType w:val="hybridMultilevel"/>
    <w:tmpl w:val="E608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A31F4"/>
    <w:multiLevelType w:val="hybridMultilevel"/>
    <w:tmpl w:val="3F98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F2088"/>
    <w:multiLevelType w:val="hybridMultilevel"/>
    <w:tmpl w:val="68726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06381"/>
    <w:multiLevelType w:val="hybridMultilevel"/>
    <w:tmpl w:val="4CEA1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367B5"/>
    <w:multiLevelType w:val="hybridMultilevel"/>
    <w:tmpl w:val="D6426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D092E"/>
    <w:multiLevelType w:val="hybridMultilevel"/>
    <w:tmpl w:val="C0EEE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63D22"/>
    <w:multiLevelType w:val="hybridMultilevel"/>
    <w:tmpl w:val="E33C0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D3CE6"/>
    <w:multiLevelType w:val="hybridMultilevel"/>
    <w:tmpl w:val="1696F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692609">
    <w:abstractNumId w:val="6"/>
  </w:num>
  <w:num w:numId="2" w16cid:durableId="1093017921">
    <w:abstractNumId w:val="8"/>
  </w:num>
  <w:num w:numId="3" w16cid:durableId="1638756500">
    <w:abstractNumId w:val="3"/>
  </w:num>
  <w:num w:numId="4" w16cid:durableId="68776847">
    <w:abstractNumId w:val="1"/>
  </w:num>
  <w:num w:numId="5" w16cid:durableId="1219197678">
    <w:abstractNumId w:val="7"/>
  </w:num>
  <w:num w:numId="6" w16cid:durableId="301859534">
    <w:abstractNumId w:val="5"/>
  </w:num>
  <w:num w:numId="7" w16cid:durableId="186454901">
    <w:abstractNumId w:val="0"/>
  </w:num>
  <w:num w:numId="8" w16cid:durableId="1675035348">
    <w:abstractNumId w:val="2"/>
  </w:num>
  <w:num w:numId="9" w16cid:durableId="1303193908">
    <w:abstractNumId w:val="9"/>
  </w:num>
  <w:num w:numId="10" w16cid:durableId="1124037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31"/>
    <w:rsid w:val="00091F69"/>
    <w:rsid w:val="00161931"/>
    <w:rsid w:val="00241E27"/>
    <w:rsid w:val="00286A4A"/>
    <w:rsid w:val="003B7775"/>
    <w:rsid w:val="003C481F"/>
    <w:rsid w:val="00467F7E"/>
    <w:rsid w:val="005816E7"/>
    <w:rsid w:val="00693432"/>
    <w:rsid w:val="00777507"/>
    <w:rsid w:val="007E2717"/>
    <w:rsid w:val="009616DE"/>
    <w:rsid w:val="00963615"/>
    <w:rsid w:val="00A83E7D"/>
    <w:rsid w:val="00C92FE9"/>
    <w:rsid w:val="00CC55C3"/>
    <w:rsid w:val="00E9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CB6F"/>
  <w15:chartTrackingRefBased/>
  <w15:docId w15:val="{C7CE27D9-C526-F740-8C2D-DCBDB153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9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1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2088fe-3969-4873-ac0d-dc9f122866b9}" enabled="0" method="" siteId="{3c2088fe-3969-4873-ac0d-dc9f122866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403</Words>
  <Characters>2298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Lim</dc:creator>
  <cp:keywords/>
  <dc:description/>
  <cp:lastModifiedBy>Jamie Collins</cp:lastModifiedBy>
  <cp:revision>2</cp:revision>
  <dcterms:created xsi:type="dcterms:W3CDTF">2026-05-01T20:16:00Z</dcterms:created>
  <dcterms:modified xsi:type="dcterms:W3CDTF">2026-05-01T20:16:00Z</dcterms:modified>
</cp:coreProperties>
</file>