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ind w:firstLine="0"/>
        <w:jc w:val="center"/>
      </w:pPr>
      <w:r>
        <w:rPr>
          <w:rFonts w:ascii="Times New Roman" w:hAnsi="Times New Roman" w:eastAsia="黑体" w:cs="Times New Roman"/>
          <w:b/>
          <w:i w:val="0"/>
          <w:color w:val="1F3A5F"/>
          <w:sz w:val="24"/>
        </w:rPr>
        <w:t>方法论研究</w:t>
      </w:r>
    </w:p>
    <w:p>
      <w:pPr>
        <w:spacing w:after="80" w:before="0" w:line="276" w:lineRule="auto"/>
        <w:ind w:firstLine="0"/>
        <w:jc w:val="center"/>
      </w:pPr>
      <w:r>
        <w:rPr>
          <w:rFonts w:ascii="Times New Roman" w:hAnsi="Times New Roman" w:eastAsia="黑体" w:cs="Times New Roman"/>
          <w:b/>
          <w:i w:val="0"/>
          <w:color w:val="1F3A5F"/>
          <w:sz w:val="44"/>
        </w:rPr>
        <w:t>A股个股主力行为画像</w:t>
      </w:r>
    </w:p>
    <w:p>
      <w:pPr>
        <w:spacing w:after="200" w:before="0" w:line="276" w:lineRule="auto"/>
        <w:ind w:firstLine="0"/>
        <w:jc w:val="center"/>
      </w:pPr>
      <w:r>
        <w:rPr>
          <w:rFonts w:ascii="Times New Roman" w:hAnsi="Times New Roman" w:eastAsia="黑体" w:cs="Times New Roman"/>
          <w:b w:val="0"/>
          <w:i w:val="0"/>
          <w:color w:val="1F3A5F"/>
          <w:sz w:val="28"/>
        </w:rPr>
        <w:t>从匿名 Level-2 逐笔数据描述执行形态的边界</w:t>
      </w:r>
    </w:p>
    <w:p>
      <w:pPr>
        <w:spacing w:after="40" w:before="0" w:line="276" w:lineRule="auto"/>
        <w:ind w:firstLine="0"/>
        <w:jc w:val="center"/>
      </w:pPr>
      <w:r>
        <w:rPr>
          <w:rFonts w:ascii="Times New Roman" w:hAnsi="Times New Roman" w:eastAsia="宋体" w:cs="Times New Roman"/>
          <w:b w:val="0"/>
          <w:i w:val="0"/>
          <w:color w:val="555555"/>
          <w:sz w:val="22"/>
        </w:rPr>
        <w:t>2026年10月16日</w:t>
      </w:r>
    </w:p>
    <w:p>
      <w:pPr>
        <w:spacing w:after="240" w:before="0" w:line="276" w:lineRule="auto"/>
        <w:ind w:firstLine="0"/>
        <w:jc w:val="center"/>
      </w:pPr>
      <w:r>
        <w:rPr>
          <w:rFonts w:ascii="Times New Roman" w:hAnsi="Times New Roman" w:eastAsia="宋体" w:cs="Times New Roman"/>
          <w:b w:val="0"/>
          <w:i w:val="0"/>
          <w:color w:val="555555"/>
          <w:sz w:val="21"/>
        </w:rPr>
        <w:t>本文只描述“谁在动”这个问法在匿名行情下能回答到哪一步。它不预测涨跌，不给出买卖指令，也不提供隐藏委托或规避监测的做法。</w:t>
      </w:r>
    </w:p>
    <w:p>
      <w:pPr>
        <w:pStyle w:val="Heading1"/>
        <w:keepNext/>
        <w:spacing w:before="320" w:after="160" w:line="276" w:lineRule="auto"/>
        <w:ind w:firstLine="0"/>
      </w:pPr>
      <w:r>
        <w:rPr>
          <w:rFonts w:ascii="Times New Roman" w:hAnsi="Times New Roman" w:eastAsia="黑体" w:cs="Times New Roman"/>
          <w:b/>
          <w:i w:val="0"/>
          <w:color w:val="1F3A5F"/>
          <w:sz w:val="32"/>
        </w:rPr>
        <w:t>阅读说明</w:t>
      </w:r>
    </w:p>
    <w:p>
      <w:pPr>
        <w:spacing w:after="160" w:before="0" w:line="276" w:lineRule="auto"/>
        <w:ind w:firstLine="420"/>
      </w:pPr>
      <w:r>
        <w:rPr>
          <w:rFonts w:ascii="Times New Roman" w:hAnsi="Times New Roman" w:eastAsia="宋体" w:cs="Times New Roman"/>
          <w:b w:val="0"/>
          <w:i w:val="0"/>
          <w:color w:val="1A1A1A"/>
          <w:sz w:val="24"/>
        </w:rPr>
        <w:t>研究对象是中国 A 股个股上机构或大资金的执行形态。可用材料假定为 Level-2 逐笔委托（含委托与撤单、买卖方向、价格、数量、毫秒时间戳）、逐笔成交（含主动买卖标志，以及可归组的叫买序号、叫卖序号）和多档盘口事件。目标是把“流量怎样运动”写成可复核的统计描述。</w:t>
      </w:r>
    </w:p>
    <w:p>
      <w:pPr>
        <w:spacing w:after="160" w:before="0" w:line="276" w:lineRule="auto"/>
        <w:ind w:firstLine="420"/>
      </w:pPr>
      <w:r>
        <w:rPr>
          <w:rFonts w:ascii="Times New Roman" w:hAnsi="Times New Roman" w:eastAsia="宋体" w:cs="Times New Roman"/>
          <w:b w:val="0"/>
          <w:i w:val="0"/>
          <w:color w:val="1A1A1A"/>
          <w:sz w:val="24"/>
        </w:rPr>
        <w:t>证据在文中分成三档。“已确立”指该统计事实在所引文献的样本和识别条件下成立。“有争议”指原始论文与后续检验结论不一致，或关键参数一换结论就变。“待验证”指机制在其他市场或理论中说得通，但用匿名 A 股行情识别主体这件事还没有被同样的识别条件证实。等级描述的是统计量本身，不是“用它认出主力”。</w:t>
      </w:r>
    </w:p>
    <w:tbl>
      <w:tblPr>
        <w:tblW w:type="dxa" w:w="9360"/>
        <w:jc w:val="center"/>
        <w:tblLayout w:type="fixed"/>
        <w:tblLook w:firstColumn="1" w:firstRow="1" w:lastColumn="0" w:lastRow="0" w:noHBand="0" w:noVBand="1" w:val="04A0"/>
        <w:tblBorders>
          <w:top w:val="single" w:sz="4" w:space="0" w:color="C4A574"/>
          <w:left w:val="single" w:sz="4" w:space="0" w:color="C4A574"/>
          <w:bottom w:val="single" w:sz="4" w:space="0" w:color="C4A574"/>
          <w:right w:val="single" w:sz="4" w:space="0" w:color="C4A574"/>
          <w:insideH w:val="single" w:sz="4" w:space="0" w:color="C4A574"/>
          <w:insideV w:val="single" w:sz="4" w:space="0" w:color="C4A574"/>
        </w:tblBorders>
      </w:tblPr>
      <w:tblGrid>
        <w:gridCol w:w="9360"/>
      </w:tblGrid>
      <w:tr>
        <w:tc>
          <w:tcPr>
            <w:tcW w:type="dxa" w:w="9360"/>
            <w:shd w:val="clear" w:color="auto" w:fill="FBF6EE"/>
            <w:tcMar>
              <w:top w:w="80" w:type="dxa"/>
              <w:bottom w:w="80" w:type="dxa"/>
              <w:left w:w="120" w:type="dxa"/>
              <w:right w:w="120" w:type="dxa"/>
            </w:tcMar>
          </w:tcPr>
          <w:p>
            <w:pPr>
              <w:spacing w:after="40" w:before="0"/>
              <w:ind w:firstLine="0"/>
            </w:pPr>
            <w:r/>
            <w:r>
              <w:rPr>
                <w:rFonts w:ascii="Times New Roman" w:hAnsi="Times New Roman" w:eastAsia="黑体" w:cs="Times New Roman"/>
                <w:b/>
                <w:i w:val="0"/>
                <w:color w:val="1F3A5F"/>
                <w:sz w:val="22"/>
              </w:rPr>
              <w:t>两条不能当作公理的前提</w:t>
            </w:r>
          </w:p>
          <w:p>
            <w:pPr>
              <w:spacing w:after="0" w:before="40" w:line="276" w:lineRule="auto"/>
              <w:ind w:firstLine="0"/>
            </w:pPr>
            <w:r>
              <w:rPr>
                <w:rFonts w:ascii="Times New Roman" w:hAnsi="Times New Roman" w:eastAsia="宋体" w:cs="Times New Roman"/>
                <w:b w:val="0"/>
                <w:i w:val="0"/>
                <w:color w:val="1A1A1A"/>
                <w:sz w:val="21"/>
              </w:rPr>
              <w:t>金额大单不是主力的定义。Kyle（1985）说明大额知情交易者有动机把委托拆开；Barclay 与 Warner（1993）在纽约证券交易所样本里看到，累计价格变化主要来自中等规模成交。20万至50万元是行情软件的展示门槛。另一句“2021年之后小单中机构占比超过50%”，在本次核对的学术文献和可对上的成交占比里没有对应统计。能对上的是另一口径：机构成交占全市场成交大约三成，程序化或量化约占一成到三成，各来源口径不同。</w:t>
            </w:r>
          </w:p>
        </w:tc>
      </w:tr>
    </w:tbl>
    <w:p>
      <w:pPr>
        <w:spacing w:after="80"/>
      </w:pPr>
    </w:p>
    <w:p>
      <w:pPr>
        <w:pStyle w:val="Heading1"/>
        <w:keepNext/>
        <w:spacing w:before="320" w:after="160" w:line="276" w:lineRule="auto"/>
        <w:ind w:firstLine="0"/>
      </w:pPr>
      <w:r>
        <w:rPr>
          <w:rFonts w:ascii="Times New Roman" w:hAnsi="Times New Roman" w:eastAsia="黑体" w:cs="Times New Roman"/>
          <w:b/>
          <w:i w:val="0"/>
          <w:color w:val="1F3A5F"/>
          <w:sz w:val="32"/>
        </w:rPr>
        <w:t>一、结论先说在前面</w:t>
      </w:r>
    </w:p>
    <w:p>
      <w:pPr>
        <w:spacing w:after="160" w:before="0" w:line="276" w:lineRule="auto"/>
        <w:ind w:firstLine="420"/>
      </w:pPr>
      <w:r>
        <w:rPr>
          <w:rFonts w:ascii="Times New Roman" w:hAnsi="Times New Roman" w:eastAsia="宋体" w:cs="Times New Roman"/>
          <w:b w:val="0"/>
          <w:i w:val="0"/>
          <w:color w:val="1A1A1A"/>
          <w:sz w:val="24"/>
        </w:rPr>
        <w:t>公开 Level-2 能描述的是某一段匿名流量怎样运动，不能点名某一家机构。七条常被并列的指纹里，成交符号的长记忆，以及最优档订单流不平衡（OFI）与短窗价格变化的线性关系，是已经确立的统计事实。订单流毒性指标 VPIN，以及“冲击曲线的指数一定是二分之一”，仍有争议。撤单时点、下单间隔和子单规模能否认出拆单主体，属于待验证。</w:t>
      </w:r>
    </w:p>
    <w:p>
      <w:pPr>
        <w:spacing w:after="160" w:before="0" w:line="276" w:lineRule="auto"/>
        <w:ind w:firstLine="420"/>
      </w:pPr>
      <w:r>
        <w:rPr>
          <w:rFonts w:ascii="Times New Roman" w:hAnsi="Times New Roman" w:eastAsia="宋体" w:cs="Times New Roman"/>
          <w:b w:val="0"/>
          <w:i w:val="0"/>
          <w:color w:val="1A1A1A"/>
          <w:sz w:val="24"/>
        </w:rPr>
        <w:t>更要紧的是，OFI、VPIN、同向占比和累积冲击大多是同一串带符号成交的不同写法。七条里数出四条同时报警，经常只是同一事实被记录了四遍。股票—交易日层面若要说“这段连续竞价里存在拆单式执行”，至少要有一条来自时间结构或非常规规模结构的证据，再加一条超过“只是跟着收益同向”的持续性证据，并且样本不落在集合竞价或涨跌停封板。叫买序号和叫卖序号只能把同一笔交易所委托的多次成交归到一起。</w:t>
      </w:r>
    </w:p>
    <w:p>
      <w:pPr>
        <w:pStyle w:val="Heading1"/>
        <w:keepNext/>
        <w:spacing w:before="320" w:after="160" w:line="276" w:lineRule="auto"/>
        <w:ind w:firstLine="0"/>
      </w:pPr>
      <w:r>
        <w:rPr>
          <w:rFonts w:ascii="Times New Roman" w:hAnsi="Times New Roman" w:eastAsia="黑体" w:cs="Times New Roman"/>
          <w:b/>
          <w:i w:val="0"/>
          <w:color w:val="1F3A5F"/>
          <w:sz w:val="32"/>
        </w:rPr>
        <w:t>二、七条行为指纹</w:t>
      </w:r>
    </w:p>
    <w:p>
      <w:pPr>
        <w:spacing w:after="160" w:before="0" w:line="276" w:lineRule="auto"/>
        <w:ind w:firstLine="420"/>
      </w:pPr>
      <w:r>
        <w:rPr>
          <w:rFonts w:ascii="Times New Roman" w:hAnsi="Times New Roman" w:eastAsia="宋体" w:cs="Times New Roman"/>
          <w:b w:val="0"/>
          <w:i w:val="0"/>
          <w:color w:val="1A1A1A"/>
          <w:sz w:val="24"/>
        </w:rPr>
        <w:t>每条指纹按同一顺序书写：机制、所需字段、核心假设、已知局限与误报。字段名按沪深 Level-2 的常见内容描述，不绑定某一家数据商的列名。</w:t>
      </w:r>
    </w:p>
    <w:p>
      <w:pPr>
        <w:pStyle w:val="Heading2"/>
        <w:keepNext/>
        <w:spacing w:before="240" w:after="120" w:line="276" w:lineRule="auto"/>
        <w:ind w:firstLine="0"/>
      </w:pPr>
      <w:r>
        <w:rPr>
          <w:rFonts w:ascii="Times New Roman" w:hAnsi="Times New Roman" w:eastAsia="黑体" w:cs="Times New Roman"/>
          <w:b/>
          <w:i w:val="0"/>
          <w:color w:val="1F3A5F"/>
          <w:sz w:val="28"/>
        </w:rPr>
        <w:t>2.1  撤单时点分布</w:t>
      </w:r>
    </w:p>
    <w:p>
      <w:pPr>
        <w:spacing w:after="160" w:before="0" w:line="276" w:lineRule="auto"/>
        <w:ind w:firstLine="420"/>
      </w:pPr>
      <w:r>
        <w:rPr>
          <w:rFonts w:ascii="Times New Roman" w:hAnsi="Times New Roman" w:eastAsia="宋体" w:cs="Times New Roman"/>
          <w:b/>
          <w:i w:val="0"/>
          <w:color w:val="1A1A1A"/>
          <w:sz w:val="24"/>
        </w:rPr>
        <w:t>证据等级：</w:t>
      </w:r>
      <w:r>
        <w:rPr>
          <w:rFonts w:ascii="Times New Roman" w:hAnsi="Times New Roman" w:eastAsia="宋体" w:cs="Times New Roman"/>
          <w:b w:val="0"/>
          <w:i w:val="0"/>
          <w:color w:val="1A1A1A"/>
          <w:sz w:val="24"/>
        </w:rPr>
        <w:t>待验证。</w:t>
      </w:r>
    </w:p>
    <w:p>
      <w:pPr>
        <w:spacing w:after="160" w:before="0" w:line="276" w:lineRule="auto"/>
        <w:ind w:firstLine="420"/>
      </w:pPr>
      <w:r>
        <w:rPr>
          <w:rFonts w:ascii="Times New Roman" w:hAnsi="Times New Roman" w:eastAsia="宋体" w:cs="Times New Roman"/>
          <w:b w:val="0"/>
          <w:i w:val="0"/>
          <w:color w:val="1A1A1A"/>
          <w:sz w:val="24"/>
        </w:rPr>
        <w:t>贴价执行会在买一或卖一变动之后撤销旧委托、再按新价格申报。连续竞价的价格笼子会迫使申报留在基准价附近，报价一动，笼子也动，撤补跟着发生。人工撤单更分散，往往晚于价格变动，存活时间的尾部更厚。因此可比较的量不是撤单率本身，而是撤单发生在报价变动之后多少毫秒，以及报价没有变动时撤单占全部撤单的比例。</w:t>
      </w:r>
    </w:p>
    <w:p>
      <w:pPr>
        <w:spacing w:after="160" w:before="0" w:line="276" w:lineRule="auto"/>
        <w:ind w:firstLine="420"/>
      </w:pPr>
      <w:r>
        <w:rPr>
          <w:rFonts w:ascii="Times New Roman" w:hAnsi="Times New Roman" w:eastAsia="宋体" w:cs="Times New Roman"/>
          <w:b w:val="0"/>
          <w:i w:val="0"/>
          <w:color w:val="1A1A1A"/>
          <w:sz w:val="24"/>
        </w:rPr>
        <w:t>需要的字段：委托序号、买卖方向、价格、数量、申报时刻、撤单时刻、撤单当时的买一价和卖一价、该委托是否最终成交。核心假设是两类参与者的撤单滞后分布不同。</w:t>
      </w:r>
    </w:p>
    <w:p>
      <w:pPr>
        <w:spacing w:after="160" w:before="0" w:line="276" w:lineRule="auto"/>
        <w:ind w:firstLine="420"/>
      </w:pPr>
      <w:r>
        <w:rPr>
          <w:rFonts w:ascii="Times New Roman" w:hAnsi="Times New Roman" w:eastAsia="宋体" w:cs="Times New Roman"/>
          <w:b w:val="0"/>
          <w:i w:val="0"/>
          <w:color w:val="1A1A1A"/>
          <w:sz w:val="24"/>
        </w:rPr>
        <w:t>局限与误报：做市、条件单和价格笼子都会制造“报价一动就撤”。高撤单描述订单寿命，不描述方向，也不指向某一家。Hasbrouck 与 Saar（2013）在美国股票上已经说明，大量限价单会在很短时间内被低延迟交易者撤销。9:20至9:25以及14:57至15:00交易所不接受撤单，这两段的撤单分布有结构性的零点，不能拿来和连续竞价比较。一次性全部成交的委托没有撤单，若委托流把它漏掉，撤单率会被高估。</w:t>
      </w:r>
    </w:p>
    <w:p>
      <w:pPr>
        <w:pStyle w:val="Heading2"/>
        <w:keepNext/>
        <w:spacing w:before="240" w:after="120" w:line="276" w:lineRule="auto"/>
        <w:ind w:firstLine="0"/>
      </w:pPr>
      <w:r>
        <w:rPr>
          <w:rFonts w:ascii="Times New Roman" w:hAnsi="Times New Roman" w:eastAsia="黑体" w:cs="Times New Roman"/>
          <w:b/>
          <w:i w:val="0"/>
          <w:color w:val="1F3A5F"/>
          <w:sz w:val="28"/>
        </w:rPr>
        <w:t>2.2  下单时间间隔的规则性</w:t>
      </w:r>
    </w:p>
    <w:p>
      <w:pPr>
        <w:spacing w:after="160" w:before="0" w:line="276" w:lineRule="auto"/>
        <w:ind w:firstLine="420"/>
      </w:pPr>
      <w:r>
        <w:rPr>
          <w:rFonts w:ascii="Times New Roman" w:hAnsi="Times New Roman" w:eastAsia="宋体" w:cs="Times New Roman"/>
          <w:b/>
          <w:i w:val="0"/>
          <w:color w:val="1A1A1A"/>
          <w:sz w:val="24"/>
        </w:rPr>
        <w:t>证据等级：</w:t>
      </w:r>
      <w:r>
        <w:rPr>
          <w:rFonts w:ascii="Times New Roman" w:hAnsi="Times New Roman" w:eastAsia="宋体" w:cs="Times New Roman"/>
          <w:b w:val="0"/>
          <w:i w:val="0"/>
          <w:color w:val="1A1A1A"/>
          <w:sz w:val="24"/>
        </w:rPr>
        <w:t>待验证。</w:t>
      </w:r>
    </w:p>
    <w:p>
      <w:pPr>
        <w:spacing w:after="160" w:before="0" w:line="276" w:lineRule="auto"/>
        <w:ind w:firstLine="420"/>
      </w:pPr>
      <w:r>
        <w:rPr>
          <w:rFonts w:ascii="Times New Roman" w:hAnsi="Times New Roman" w:eastAsia="宋体" w:cs="Times New Roman"/>
          <w:b w:val="0"/>
          <w:i w:val="0"/>
          <w:color w:val="1A1A1A"/>
          <w:sz w:val="24"/>
        </w:rPr>
        <w:t>按时钟等分的时间加权执行，或按成交量时钟等分的跟量执行，会在同向、相近规模的子单之间留下低变异的时间间隔，或在整秒、整分钟上留下谱峰。散户委托更像带聚集的到达过程，开盘、收盘和整数时点会变密，但相邻两笔很少锁在固定步长上。</w:t>
      </w:r>
    </w:p>
    <w:p>
      <w:pPr>
        <w:spacing w:after="160" w:before="0" w:line="276" w:lineRule="auto"/>
        <w:ind w:firstLine="420"/>
      </w:pPr>
      <w:r>
        <w:rPr>
          <w:rFonts w:ascii="Times New Roman" w:hAnsi="Times New Roman" w:eastAsia="宋体" w:cs="Times New Roman"/>
          <w:b w:val="0"/>
          <w:i w:val="0"/>
          <w:color w:val="1A1A1A"/>
          <w:sz w:val="24"/>
        </w:rPr>
        <w:t>需要的字段：毫秒级委托时间（必须是交易所委托时间，不是数据包到达时间）、方向、数量、委托价相对当时买一卖一的位置。核心假设是调度器没有故意把间隔打乱。</w:t>
      </w:r>
    </w:p>
    <w:p>
      <w:pPr>
        <w:spacing w:after="160" w:before="0" w:line="276" w:lineRule="auto"/>
        <w:ind w:firstLine="420"/>
      </w:pPr>
      <w:r>
        <w:rPr>
          <w:rFonts w:ascii="Times New Roman" w:hAnsi="Times New Roman" w:eastAsia="宋体" w:cs="Times New Roman"/>
          <w:b w:val="0"/>
          <w:i w:val="0"/>
          <w:color w:val="1A1A1A"/>
          <w:sz w:val="24"/>
        </w:rPr>
        <w:t>局限与误报：成熟的执行算法会在调度时刻上加抖动，所以“看不到格子”不能推出“没有拆单”。开盘和收盘的季节性、整点习惯本身会制造弱规则性。若研究者使用的是报文到达时间，而上游把若干秒内的逐笔打成一包，所有人的委托都会落在同一个接收节拍上。海通证券冯佳睿、余浩淼（2021年12月27日）《选股因子系列研究（七十五）——限价订单簿（LOB）的还原和应用》记录过对上交所逐笔打包方式的观察，并写明其中包含猜测；这不是交易所接口条文，不能当成已证实的行情规则。</w:t>
      </w:r>
    </w:p>
    <w:p>
      <w:pPr>
        <w:pStyle w:val="Heading2"/>
        <w:keepNext/>
        <w:spacing w:before="240" w:after="120" w:line="276" w:lineRule="auto"/>
        <w:ind w:firstLine="0"/>
      </w:pPr>
      <w:r>
        <w:rPr>
          <w:rFonts w:ascii="Times New Roman" w:hAnsi="Times New Roman" w:eastAsia="黑体" w:cs="Times New Roman"/>
          <w:b/>
          <w:i w:val="0"/>
          <w:color w:val="1F3A5F"/>
          <w:sz w:val="28"/>
        </w:rPr>
        <w:t>2.3  同向订单流持续性</w:t>
      </w:r>
    </w:p>
    <w:p>
      <w:pPr>
        <w:spacing w:after="160" w:before="0" w:line="276" w:lineRule="auto"/>
        <w:ind w:firstLine="420"/>
      </w:pPr>
      <w:r>
        <w:rPr>
          <w:rFonts w:ascii="Times New Roman" w:hAnsi="Times New Roman" w:eastAsia="宋体" w:cs="Times New Roman"/>
          <w:b/>
          <w:i w:val="0"/>
          <w:color w:val="1A1A1A"/>
          <w:sz w:val="24"/>
        </w:rPr>
        <w:t>证据等级：</w:t>
      </w:r>
      <w:r>
        <w:rPr>
          <w:rFonts w:ascii="Times New Roman" w:hAnsi="Times New Roman" w:eastAsia="宋体" w:cs="Times New Roman"/>
          <w:b w:val="0"/>
          <w:i w:val="0"/>
          <w:color w:val="1A1A1A"/>
          <w:sz w:val="24"/>
        </w:rPr>
        <w:t>成交符号具有长记忆，这一统计事实已确立。把它归因于“同一个主体在拆单”，在有会员号的伦敦市场样本上已确立；在匿名 A 股带上待验证。</w:t>
      </w:r>
    </w:p>
    <w:p>
      <w:pPr>
        <w:spacing w:after="160" w:before="0" w:line="276" w:lineRule="auto"/>
        <w:ind w:firstLine="420"/>
      </w:pPr>
      <w:r>
        <w:rPr>
          <w:rFonts w:ascii="Times New Roman" w:hAnsi="Times New Roman" w:eastAsia="宋体" w:cs="Times New Roman"/>
          <w:b w:val="0"/>
          <w:i w:val="0"/>
          <w:color w:val="1A1A1A"/>
          <w:sz w:val="24"/>
        </w:rPr>
        <w:t>股票成交的主动方向具有很慢的衰减：买单之后仍倾向出现买单，相关可以跨数千笔、延续到多日（Lillo 与 Farmer，2004；Lillo、Mike 与 Farmer，2005）。窗口内多数方向占成交量的比例，是这条长记忆的局部版本，有时被称作 dominance。理论上，同一主体把大单拆开逐段执行，会留下这种同向自相关；不同主体一齐跟风，也会留下。</w:t>
      </w:r>
    </w:p>
    <w:p>
      <w:pPr>
        <w:spacing w:after="160" w:before="0" w:line="276" w:lineRule="auto"/>
        <w:ind w:firstLine="420"/>
      </w:pPr>
      <w:r>
        <w:rPr>
          <w:rFonts w:ascii="Times New Roman" w:hAnsi="Times New Roman" w:eastAsia="宋体" w:cs="Times New Roman"/>
          <w:b w:val="0"/>
          <w:i w:val="0"/>
          <w:color w:val="1A1A1A"/>
          <w:sz w:val="24"/>
        </w:rPr>
        <w:t>需要的字段：连续竞价成交的主动买卖标志、成交时刻、成交量。若要做归因，还需要会员号或账户号。公开 A 股逐笔没有后两个字段。核心假设若停留在“长记忆等于某一家在拆单”，这个假设在没有身份键时不成立。</w:t>
      </w:r>
    </w:p>
    <w:p>
      <w:pPr>
        <w:spacing w:after="160" w:before="0" w:line="276" w:lineRule="auto"/>
        <w:ind w:firstLine="420"/>
      </w:pPr>
      <w:r>
        <w:rPr>
          <w:rFonts w:ascii="Times New Roman" w:hAnsi="Times New Roman" w:eastAsia="宋体" w:cs="Times New Roman"/>
          <w:b w:val="0"/>
          <w:i w:val="0"/>
          <w:color w:val="1A1A1A"/>
          <w:sz w:val="24"/>
        </w:rPr>
        <w:t>Tóth、Palit、Lillo 与 Farmer（2015）用伦敦证券交易所的会员标识，把订单流自相关拆成同一会员内部和不同会员之间。几小时以内，持续性的绝大部分来自同一会员连续下单；跨会员的同向相关小得多，更长的期限上甚至出现反向。他们同时强调，会员是经纪商，下面有多个客户，所以“同一会员”仍不等于“同一个最终投资者”。Bouchaud、Farmer 与 Lillo（2009）的综述把这一识别问题写清楚了：没有身份，聚合后的长记忆同时兼容拆单和羊群。</w:t>
      </w:r>
    </w:p>
    <w:p>
      <w:pPr>
        <w:spacing w:after="160" w:before="0" w:line="276" w:lineRule="auto"/>
        <w:ind w:firstLine="420"/>
      </w:pPr>
      <w:r>
        <w:rPr>
          <w:rFonts w:ascii="Times New Roman" w:hAnsi="Times New Roman" w:eastAsia="宋体" w:cs="Times New Roman"/>
          <w:b w:val="0"/>
          <w:i w:val="0"/>
          <w:color w:val="1A1A1A"/>
          <w:sz w:val="24"/>
        </w:rPr>
        <w:t>局限与误报：A 股的涨停跟风、指数调整、北向资金在同一日的同向流入，都会写出和拆单一样的聚合自相关。T+1 使买卖不对称，不能把买方向和卖方向的持续性混成一个数。封板期间订单挤在一侧，dominance 会因为订单簿只有一边而升高。</w:t>
      </w:r>
    </w:p>
    <w:p>
      <w:pPr>
        <w:pStyle w:val="Heading2"/>
        <w:keepNext/>
        <w:spacing w:before="240" w:after="120" w:line="276" w:lineRule="auto"/>
        <w:ind w:firstLine="0"/>
      </w:pPr>
      <w:r>
        <w:rPr>
          <w:rFonts w:ascii="Times New Roman" w:hAnsi="Times New Roman" w:eastAsia="黑体" w:cs="Times New Roman"/>
          <w:b/>
          <w:i w:val="0"/>
          <w:color w:val="1F3A5F"/>
          <w:sz w:val="28"/>
        </w:rPr>
        <w:t>2.4  子单数量聚集</w:t>
      </w:r>
    </w:p>
    <w:p>
      <w:pPr>
        <w:spacing w:after="160" w:before="0" w:line="276" w:lineRule="auto"/>
        <w:ind w:firstLine="420"/>
      </w:pPr>
      <w:r>
        <w:rPr>
          <w:rFonts w:ascii="Times New Roman" w:hAnsi="Times New Roman" w:eastAsia="宋体" w:cs="Times New Roman"/>
          <w:b/>
          <w:i w:val="0"/>
          <w:color w:val="1A1A1A"/>
          <w:sz w:val="24"/>
        </w:rPr>
        <w:t>证据等级：</w:t>
      </w:r>
      <w:r>
        <w:rPr>
          <w:rFonts w:ascii="Times New Roman" w:hAnsi="Times New Roman" w:eastAsia="宋体" w:cs="Times New Roman"/>
          <w:b w:val="0"/>
          <w:i w:val="0"/>
          <w:color w:val="1A1A1A"/>
          <w:sz w:val="24"/>
        </w:rPr>
        <w:t>待验证。最小申报单位上的聚集是规则，不是指纹。</w:t>
      </w:r>
    </w:p>
    <w:p>
      <w:pPr>
        <w:spacing w:after="160" w:before="0" w:line="276" w:lineRule="auto"/>
        <w:ind w:firstLine="420"/>
      </w:pPr>
      <w:r>
        <w:rPr>
          <w:rFonts w:ascii="Times New Roman" w:hAnsi="Times New Roman" w:eastAsia="宋体" w:cs="Times New Roman"/>
          <w:b w:val="0"/>
          <w:i w:val="0"/>
          <w:color w:val="1A1A1A"/>
          <w:sz w:val="24"/>
        </w:rPr>
        <w:t>同一套执行方案往往会反复使用少数几个子单规模：固定股数、固定金额，或刚好吃掉当时最优档的一部分。Vaglica、Lillo、Moro 与 Mantegna（2008）在西班牙交易所、并且已经有会员身份的数据上看到，母单被拆成的笔数大致随母单金额线性增加，因此平均每笔规模不怎么随母单变大，并且接近当时最优报价上的可成交量。那项研究的识别起点是会员，不是匿名聚类。</w:t>
      </w:r>
    </w:p>
    <w:p>
      <w:pPr>
        <w:spacing w:after="160" w:before="0" w:line="276" w:lineRule="auto"/>
        <w:ind w:firstLine="420"/>
      </w:pPr>
      <w:r>
        <w:rPr>
          <w:rFonts w:ascii="Times New Roman" w:hAnsi="Times New Roman" w:eastAsia="宋体" w:cs="Times New Roman"/>
          <w:b w:val="0"/>
          <w:i w:val="0"/>
          <w:color w:val="1A1A1A"/>
          <w:sz w:val="24"/>
        </w:rPr>
        <w:t>需要的字段：委托数量、价格、金额，以及该板块的最小申报股数。核心假设是同一母单内部的规模分布，比当天全部小单混在一起更集中，而且集中的位置不是制度硬造出来的。</w:t>
      </w:r>
    </w:p>
    <w:p>
      <w:pPr>
        <w:spacing w:after="160" w:before="0" w:line="276" w:lineRule="auto"/>
        <w:ind w:firstLine="420"/>
      </w:pPr>
      <w:r>
        <w:rPr>
          <w:rFonts w:ascii="Times New Roman" w:hAnsi="Times New Roman" w:eastAsia="宋体" w:cs="Times New Roman"/>
          <w:b w:val="0"/>
          <w:i w:val="0"/>
          <w:color w:val="1A1A1A"/>
          <w:sz w:val="24"/>
        </w:rPr>
        <w:t>局限与误报：上交所规则要求竞价买入申报为100股或其整数倍；科创板限价申报最小200股。众数落在100股或200股，是申报单位的角点，各类参与者都会撞上。散户习惯的整数金额（例如一万元）会随股价变成不同的股数；执行算法更常表现为固定股数，或与最优档深度成比例。只有偏离最小手数、也偏离整数金额的集中，才有较多信息。多个执行者共用同一个100股切片时，聚集无法分开他们。</w:t>
      </w:r>
    </w:p>
    <w:p>
      <w:pPr>
        <w:pStyle w:val="Heading2"/>
        <w:keepNext/>
        <w:spacing w:before="240" w:after="120" w:line="276" w:lineRule="auto"/>
        <w:ind w:firstLine="0"/>
      </w:pPr>
      <w:r>
        <w:rPr>
          <w:rFonts w:ascii="Times New Roman" w:hAnsi="Times New Roman" w:eastAsia="黑体" w:cs="Times New Roman"/>
          <w:b/>
          <w:i w:val="0"/>
          <w:color w:val="1F3A5F"/>
          <w:sz w:val="28"/>
        </w:rPr>
        <w:t>2.5  累积价格影响</w:t>
      </w:r>
    </w:p>
    <w:p>
      <w:pPr>
        <w:spacing w:after="160" w:before="0" w:line="276" w:lineRule="auto"/>
        <w:ind w:firstLine="420"/>
      </w:pPr>
      <w:r>
        <w:rPr>
          <w:rFonts w:ascii="Times New Roman" w:hAnsi="Times New Roman" w:eastAsia="宋体" w:cs="Times New Roman"/>
          <w:b/>
          <w:i w:val="0"/>
          <w:color w:val="1A1A1A"/>
          <w:sz w:val="24"/>
        </w:rPr>
        <w:t>证据等级：</w:t>
      </w:r>
      <w:r>
        <w:rPr>
          <w:rFonts w:ascii="Times New Roman" w:hAnsi="Times New Roman" w:eastAsia="宋体" w:cs="Times New Roman"/>
          <w:b w:val="0"/>
          <w:i w:val="0"/>
          <w:color w:val="1A1A1A"/>
          <w:sz w:val="24"/>
        </w:rPr>
        <w:t>在能够直接观察到母单的样本上，临时冲击对参与率呈凹形，这一点较稳。“指数恰好是平方根”有争议。在匿名成交带上，用冲击形状指认某一串成交就是母单，尚未确立。</w:t>
      </w:r>
    </w:p>
    <w:p>
      <w:pPr>
        <w:spacing w:after="160" w:before="0" w:line="276" w:lineRule="auto"/>
        <w:ind w:firstLine="420"/>
      </w:pPr>
      <w:r>
        <w:rPr>
          <w:rFonts w:ascii="Times New Roman" w:hAnsi="Times New Roman" w:eastAsia="宋体" w:cs="Times New Roman"/>
          <w:b w:val="0"/>
          <w:i w:val="0"/>
          <w:color w:val="1A1A1A"/>
          <w:sz w:val="24"/>
        </w:rPr>
        <w:t>Barclay 与 Warner（1993）把纽约证券交易所的成交按规模分组，计算各组对累计价格变化的贡献。成交笔数大多是小的，累计价格变化却主要落在中等规模。他们把这解释为知情交易者选择中等规模，以降低暴露。后来在有母单标签的欧洲电子化样本上，Bacry、Iuga、Lasnier 与 Lehalle（2015）用约40万条投资者母单确认：日内临时冲击对参与率大致是凹的，还包含一个期限因子；母单结束后冲击按幂律衰减；市场并没有在母单开始前就知道它有多大。Zarinelli、Treccani、Farmer 与 Lillo（2015）认为冲击对规模和参与率更接近对数，而不是一条纯平方根。所以“凹”比“指数等于二分之一”更站得住。</w:t>
      </w:r>
    </w:p>
    <w:p>
      <w:pPr>
        <w:spacing w:after="160" w:before="0" w:line="276" w:lineRule="auto"/>
        <w:ind w:firstLine="420"/>
      </w:pPr>
      <w:r>
        <w:rPr>
          <w:rFonts w:ascii="Times New Roman" w:hAnsi="Times New Roman" w:eastAsia="宋体" w:cs="Times New Roman"/>
          <w:b w:val="0"/>
          <w:i w:val="0"/>
          <w:color w:val="1A1A1A"/>
          <w:sz w:val="24"/>
        </w:rPr>
        <w:t>需要的字段：成交价、成交量、主动方向、成交前的中间价，以及若已有候选游程，则是该游程内的累计同向成交量。核心假设是价格贡献的形状能够把拆单执行从其他成交里分离出来。</w:t>
      </w:r>
    </w:p>
    <w:p>
      <w:pPr>
        <w:spacing w:after="160" w:before="0" w:line="276" w:lineRule="auto"/>
        <w:ind w:firstLine="420"/>
      </w:pPr>
      <w:r>
        <w:rPr>
          <w:rFonts w:ascii="Times New Roman" w:hAnsi="Times New Roman" w:eastAsia="宋体" w:cs="Times New Roman"/>
          <w:b w:val="0"/>
          <w:i w:val="0"/>
          <w:color w:val="1A1A1A"/>
          <w:sz w:val="24"/>
        </w:rPr>
        <w:t>局限与误报：1993年的分组结论来自有做市商的纽约证券交易所，不能直接当成今天 A 股电子盘的规模分档。订单簿里未显示的流动性本身就会把大单的边际冲击压低，凹形不一定来自“有人在隐藏”。涨跌停把价格变化截断，封板分钟的冲击统计失去连续竞价下的含义。用冲击曲线去挑选母单，再用同一条曲线宣布它是母单，是循环论证。这条指纹适合作为已经用其他通道圈出的游程的描述，不适合作为圈定游程的唯一标准。</w:t>
      </w:r>
    </w:p>
    <w:p>
      <w:pPr>
        <w:pStyle w:val="Heading2"/>
        <w:keepNext/>
        <w:spacing w:before="240" w:after="120" w:line="276" w:lineRule="auto"/>
        <w:ind w:firstLine="0"/>
      </w:pPr>
      <w:r>
        <w:rPr>
          <w:rFonts w:ascii="Times New Roman" w:hAnsi="Times New Roman" w:eastAsia="黑体" w:cs="Times New Roman"/>
          <w:b/>
          <w:i w:val="0"/>
          <w:color w:val="1F3A5F"/>
          <w:sz w:val="28"/>
        </w:rPr>
        <w:t>2.6  盘口订单流不平衡（OFI）</w:t>
      </w:r>
    </w:p>
    <w:p>
      <w:pPr>
        <w:spacing w:after="160" w:before="0" w:line="276" w:lineRule="auto"/>
        <w:ind w:firstLine="420"/>
      </w:pPr>
      <w:r>
        <w:rPr>
          <w:rFonts w:ascii="Times New Roman" w:hAnsi="Times New Roman" w:eastAsia="宋体" w:cs="Times New Roman"/>
          <w:b/>
          <w:i w:val="0"/>
          <w:color w:val="1A1A1A"/>
          <w:sz w:val="24"/>
        </w:rPr>
        <w:t>证据等级：</w:t>
      </w:r>
      <w:r>
        <w:rPr>
          <w:rFonts w:ascii="Times New Roman" w:hAnsi="Times New Roman" w:eastAsia="宋体" w:cs="Times New Roman"/>
          <w:b w:val="0"/>
          <w:i w:val="0"/>
          <w:color w:val="1A1A1A"/>
          <w:sz w:val="24"/>
        </w:rPr>
        <w:t>作为短期价格压力的度量已确立。作为“这是主力”的身份指纹不成立。</w:t>
      </w:r>
    </w:p>
    <w:p>
      <w:pPr>
        <w:spacing w:after="160" w:before="0" w:line="276" w:lineRule="auto"/>
        <w:ind w:firstLine="420"/>
      </w:pPr>
      <w:r>
        <w:rPr>
          <w:rFonts w:ascii="Times New Roman" w:hAnsi="Times New Roman" w:eastAsia="宋体" w:cs="Times New Roman"/>
          <w:b w:val="0"/>
          <w:i w:val="0"/>
          <w:color w:val="1A1A1A"/>
          <w:sz w:val="24"/>
        </w:rPr>
        <w:t>Cont、Kukanov 与 Stoikov（2014）用纽约证券交易所的成交和报价，把最优买价和最优卖价上的限价新增、限价撤销和市价成交合成一个失衡。短时间窗口里，价格变化与这个失衡近似成直线，斜率与当时的盘口深度成反比。它比单纯用成交量解释短窗价格变化更稳。论文讨论的是价格压力和逆向选择，没有把高 OFI 定义成某个机构。</w:t>
      </w:r>
    </w:p>
    <w:p>
      <w:pPr>
        <w:spacing w:after="160" w:before="0" w:line="276" w:lineRule="auto"/>
        <w:ind w:firstLine="420"/>
      </w:pPr>
      <w:r>
        <w:rPr>
          <w:rFonts w:ascii="Times New Roman" w:hAnsi="Times New Roman" w:eastAsia="宋体" w:cs="Times New Roman"/>
          <w:b w:val="0"/>
          <w:i w:val="0"/>
          <w:color w:val="1A1A1A"/>
          <w:sz w:val="24"/>
        </w:rPr>
        <w:t>需要的字段：最优档上每一次新增、撤销和成交的方向与数量，以及同期深度。只用十档快照会把快照间隔内的挂单和撤单互相抵消。核心假设若被写成“OFI 高就是主力在买”，这个假设不是该文的结论。散户集中吃掉卖一，同样会把 OFI 推高。</w:t>
      </w:r>
    </w:p>
    <w:p>
      <w:pPr>
        <w:spacing w:after="160" w:before="0" w:line="276" w:lineRule="auto"/>
        <w:ind w:firstLine="420"/>
      </w:pPr>
      <w:r>
        <w:rPr>
          <w:rFonts w:ascii="Times New Roman" w:hAnsi="Times New Roman" w:eastAsia="宋体" w:cs="Times New Roman"/>
          <w:b w:val="0"/>
          <w:i w:val="0"/>
          <w:color w:val="1A1A1A"/>
          <w:sz w:val="24"/>
        </w:rPr>
        <w:t>局限与误报：原始定义主要看最优一档，更远的档位不进入指标。价格笼子本来就把远离盘口的申报挡在外面，所以 A 股上的 OFI 大多是近端事件。封板时一边队列极厚、另一边可能为空，线性关系的斜率不再有连续竞价里的解释。OFI 与主动买卖符号高度同源，不能在符号流之外再算一票。</w:t>
      </w:r>
    </w:p>
    <w:p>
      <w:pPr>
        <w:pStyle w:val="Heading2"/>
        <w:keepNext/>
        <w:spacing w:before="240" w:after="120" w:line="276" w:lineRule="auto"/>
        <w:ind w:firstLine="0"/>
      </w:pPr>
      <w:r>
        <w:rPr>
          <w:rFonts w:ascii="Times New Roman" w:hAnsi="Times New Roman" w:eastAsia="黑体" w:cs="Times New Roman"/>
          <w:b/>
          <w:i w:val="0"/>
          <w:color w:val="1F3A5F"/>
          <w:sz w:val="28"/>
        </w:rPr>
        <w:t>2.7  订单流毒性（VPIN）</w:t>
      </w:r>
    </w:p>
    <w:p>
      <w:pPr>
        <w:spacing w:after="160" w:before="0" w:line="276" w:lineRule="auto"/>
        <w:ind w:firstLine="420"/>
      </w:pPr>
      <w:r>
        <w:rPr>
          <w:rFonts w:ascii="Times New Roman" w:hAnsi="Times New Roman" w:eastAsia="宋体" w:cs="Times New Roman"/>
          <w:b/>
          <w:i w:val="0"/>
          <w:color w:val="1A1A1A"/>
          <w:sz w:val="24"/>
        </w:rPr>
        <w:t>证据等级：</w:t>
      </w:r>
      <w:r>
        <w:rPr>
          <w:rFonts w:ascii="Times New Roman" w:hAnsi="Times New Roman" w:eastAsia="宋体" w:cs="Times New Roman"/>
          <w:b w:val="0"/>
          <w:i w:val="0"/>
          <w:color w:val="1A1A1A"/>
          <w:sz w:val="24"/>
        </w:rPr>
        <w:t>有争议。不宜放进拆单表决。</w:t>
      </w:r>
    </w:p>
    <w:p>
      <w:pPr>
        <w:spacing w:after="160" w:before="0" w:line="276" w:lineRule="auto"/>
        <w:ind w:firstLine="420"/>
      </w:pPr>
      <w:r>
        <w:rPr>
          <w:rFonts w:ascii="Times New Roman" w:hAnsi="Times New Roman" w:eastAsia="宋体" w:cs="Times New Roman"/>
          <w:b w:val="0"/>
          <w:i w:val="0"/>
          <w:color w:val="1A1A1A"/>
          <w:sz w:val="24"/>
        </w:rPr>
        <w:t>Easley、López de Prado 与 O'Hara（2012）把成交按固定成交量分成桶，在桶内把成交分成买与卖，再对绝对不平衡做滚动平均，用来表示知情交易造成的流量毒性，并讨论它与流动性恶化的关系。桶长和分类方法都是实现时的选择。</w:t>
      </w:r>
    </w:p>
    <w:p>
      <w:pPr>
        <w:spacing w:after="160" w:before="0" w:line="276" w:lineRule="auto"/>
        <w:ind w:firstLine="420"/>
      </w:pPr>
      <w:r>
        <w:rPr>
          <w:rFonts w:ascii="Times New Roman" w:hAnsi="Times New Roman" w:eastAsia="宋体" w:cs="Times New Roman"/>
          <w:b w:val="0"/>
          <w:i w:val="0"/>
          <w:color w:val="1A1A1A"/>
          <w:sz w:val="24"/>
        </w:rPr>
        <w:t>Andersen 与 Bondarenko（2014）在《Journal of Financial Markets》上检查了该指标与闪崩、短端波动的关系，认为它预测短端波动的能力弱，极端值的出现时点与原始叙述不一致，而且与成交强度存在机械关系。他们在《Review of Finance》（2015）进一步说明：相对逐笔方向，批量成交分类更差；控制成交量和波动之后，增量预测消失；分类改准之后，部分结论会反过来。原始作者有回应。这场争论没有收成“VPIN 已经是毒性的标准度量”。</w:t>
      </w:r>
    </w:p>
    <w:p>
      <w:pPr>
        <w:spacing w:after="160" w:before="0" w:line="276" w:lineRule="auto"/>
        <w:ind w:firstLine="420"/>
      </w:pPr>
      <w:r>
        <w:rPr>
          <w:rFonts w:ascii="Times New Roman" w:hAnsi="Times New Roman" w:eastAsia="宋体" w:cs="Times New Roman"/>
          <w:b w:val="0"/>
          <w:i w:val="0"/>
          <w:color w:val="1A1A1A"/>
          <w:sz w:val="24"/>
        </w:rPr>
        <w:t>需要的字段：成交量、价格或方向；若使用原始做法，还要选定桶的成交量。A 股逐笔成交已经带有主动买卖标志，上证所信息的 Level-2 接口把成交标志写成外盘主动买、内盘主动卖和未知。在已有逐笔方向时再做批量分类，是丢掉更好的字段。核心假设若是“VPIN 升高等于某一家在拆单”，该假设同时被毒性争议和身份缺失挡住。</w:t>
      </w:r>
    </w:p>
    <w:p>
      <w:pPr>
        <w:spacing w:after="160" w:before="0" w:line="276" w:lineRule="auto"/>
        <w:ind w:firstLine="420"/>
      </w:pPr>
      <w:r>
        <w:rPr>
          <w:rFonts w:ascii="Times New Roman" w:hAnsi="Times New Roman" w:eastAsia="宋体" w:cs="Times New Roman"/>
          <w:b w:val="0"/>
          <w:i w:val="0"/>
          <w:color w:val="1A1A1A"/>
          <w:sz w:val="24"/>
        </w:rPr>
        <w:t>局限与误报：持续的单边母单会抬高不平衡，涨停板上的跟风也会。集合竞价成交、封板成交放进同一个桶，会把交易状态写成毒性。桶长一变，序列的峰就会移动。它可以作为市场压力的伴随变量单独报告，不能作为拆单是否存在的一票。</w:t>
      </w:r>
    </w:p>
    <w:p>
      <w:pPr>
        <w:spacing w:after="80" w:before="200" w:line="276" w:lineRule="auto"/>
        <w:ind w:firstLine="0"/>
        <w:keepNext/>
      </w:pPr>
      <w:r>
        <w:rPr>
          <w:rFonts w:ascii="Times New Roman" w:hAnsi="Times New Roman" w:eastAsia="黑体" w:cs="Times New Roman"/>
          <w:b/>
          <w:i w:val="0"/>
          <w:color w:val="1F3A5F"/>
          <w:sz w:val="21"/>
        </w:rPr>
        <w:t>表 1    七条指纹：看见什么，以及哪一种误报最重</w:t>
      </w:r>
    </w:p>
    <w:tbl>
      <w:tblPr>
        <w:tblStyle w:val="TableGrid"/>
        <w:tblW w:type="dxa" w:w="9360"/>
        <w:jc w:val="center"/>
        <w:tblLayout w:type="fixed"/>
        <w:tblLook w:firstColumn="1" w:firstRow="1" w:lastColumn="0" w:lastRow="0" w:noHBand="0" w:noVBand="1" w:val="04A0"/>
        <w:tblBorders>
          <w:top w:val="single" w:sz="4" w:space="0" w:color="BFCBD9"/>
          <w:left w:val="single" w:sz="4" w:space="0" w:color="BFCBD9"/>
          <w:bottom w:val="single" w:sz="4" w:space="0" w:color="BFCBD9"/>
          <w:right w:val="single" w:sz="4" w:space="0" w:color="BFCBD9"/>
          <w:insideH w:val="single" w:sz="4" w:space="0" w:color="BFCBD9"/>
          <w:insideV w:val="single" w:sz="4" w:space="0" w:color="BFCBD9"/>
        </w:tblBorders>
      </w:tblPr>
      <w:tblGrid>
        <w:gridCol w:w="1500"/>
        <w:gridCol w:w="2100"/>
        <w:gridCol w:w="3000"/>
        <w:gridCol w:w="2760"/>
      </w:tblGrid>
      <w:tr>
        <w:trPr>
          <w:tblHeader w:val="true"/>
          <w:cantSplit/>
        </w:trPr>
        <w:tc>
          <w:tcPr>
            <w:tcW w:type="dxa" w:w="15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指纹</w:t>
            </w:r>
          </w:p>
        </w:tc>
        <w:tc>
          <w:tcPr>
            <w:tcW w:type="dxa" w:w="21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等级</w:t>
            </w:r>
          </w:p>
        </w:tc>
        <w:tc>
          <w:tcPr>
            <w:tcW w:type="dxa" w:w="30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它测量的对象</w:t>
            </w:r>
          </w:p>
        </w:tc>
        <w:tc>
          <w:tcPr>
            <w:tcW w:type="dxa" w:w="276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最重的误报</w:t>
            </w:r>
          </w:p>
        </w:tc>
      </w:tr>
      <w:tr>
        <w:trPr>
          <w:cantSplit/>
        </w:trPr>
        <w:tc>
          <w:tcPr>
            <w:tcW w:type="dxa" w:w="15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撤单时点</w:t>
            </w:r>
          </w:p>
        </w:tc>
        <w:tc>
          <w:tcPr>
            <w:tcW w:type="dxa" w:w="21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待验证</w:t>
            </w:r>
          </w:p>
        </w:tc>
        <w:tc>
          <w:tcPr>
            <w:tcW w:type="dxa" w:w="3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撤单是跟在报价变动之后，还是报价未动就撤</w:t>
            </w:r>
          </w:p>
        </w:tc>
        <w:tc>
          <w:tcPr>
            <w:tcW w:type="dxa" w:w="27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做市、条件单、价格笼子都会制造高撤单</w:t>
            </w:r>
          </w:p>
        </w:tc>
      </w:tr>
      <w:tr>
        <w:trPr>
          <w:cantSplit/>
        </w:trPr>
        <w:tc>
          <w:tcPr>
            <w:tcW w:type="dxa" w:w="15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间隔规则性</w:t>
            </w:r>
          </w:p>
        </w:tc>
        <w:tc>
          <w:tcPr>
            <w:tcW w:type="dxa" w:w="21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待验证</w:t>
            </w:r>
          </w:p>
        </w:tc>
        <w:tc>
          <w:tcPr>
            <w:tcW w:type="dxa" w:w="30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子单是否落在时钟或成交量时钟的格子上</w:t>
            </w:r>
          </w:p>
        </w:tc>
        <w:tc>
          <w:tcPr>
            <w:tcW w:type="dxa" w:w="27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抖动算法看不出格子；到达时间会造出假格子</w:t>
            </w:r>
          </w:p>
        </w:tc>
      </w:tr>
      <w:tr>
        <w:trPr>
          <w:cantSplit/>
        </w:trPr>
        <w:tc>
          <w:tcPr>
            <w:tcW w:type="dxa" w:w="15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同向持续性</w:t>
            </w:r>
          </w:p>
        </w:tc>
        <w:tc>
          <w:tcPr>
            <w:tcW w:type="dxa" w:w="21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长记忆已确立；A股归因待验证</w:t>
            </w:r>
          </w:p>
        </w:tc>
        <w:tc>
          <w:tcPr>
            <w:tcW w:type="dxa" w:w="3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成交符号的慢衰减自相关，及其窗口内的同向占比</w:t>
            </w:r>
          </w:p>
        </w:tc>
        <w:tc>
          <w:tcPr>
            <w:tcW w:type="dxa" w:w="27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没有会员号时，跟风和拆单写出同一条自相关</w:t>
            </w:r>
          </w:p>
        </w:tc>
      </w:tr>
      <w:tr>
        <w:trPr>
          <w:cantSplit/>
        </w:trPr>
        <w:tc>
          <w:tcPr>
            <w:tcW w:type="dxa" w:w="15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子单数量聚集</w:t>
            </w:r>
          </w:p>
        </w:tc>
        <w:tc>
          <w:tcPr>
            <w:tcW w:type="dxa" w:w="21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待验证</w:t>
            </w:r>
          </w:p>
        </w:tc>
        <w:tc>
          <w:tcPr>
            <w:tcW w:type="dxa" w:w="30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规模是否反复取少数几个非最小单位的值</w:t>
            </w:r>
          </w:p>
        </w:tc>
        <w:tc>
          <w:tcPr>
            <w:tcW w:type="dxa" w:w="27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100股或200股的众数是申报单位，不是身份</w:t>
            </w:r>
          </w:p>
        </w:tc>
      </w:tr>
      <w:tr>
        <w:trPr>
          <w:cantSplit/>
        </w:trPr>
        <w:tc>
          <w:tcPr>
            <w:tcW w:type="dxa" w:w="15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累积价格影响</w:t>
            </w:r>
          </w:p>
        </w:tc>
        <w:tc>
          <w:tcPr>
            <w:tcW w:type="dxa" w:w="21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有标签样本上凹性较稳；指认母单有争议</w:t>
            </w:r>
          </w:p>
        </w:tc>
        <w:tc>
          <w:tcPr>
            <w:tcW w:type="dxa" w:w="3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一段同向成交的中间价相对累计成交量是否凹</w:t>
            </w:r>
          </w:p>
        </w:tc>
        <w:tc>
          <w:tcPr>
            <w:tcW w:type="dxa" w:w="27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潜在流动性也会把冲击压成凹的；封板时价格被截断</w:t>
            </w:r>
          </w:p>
        </w:tc>
      </w:tr>
      <w:tr>
        <w:trPr>
          <w:cantSplit/>
        </w:trPr>
        <w:tc>
          <w:tcPr>
            <w:tcW w:type="dxa" w:w="15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OFI</w:t>
            </w:r>
          </w:p>
        </w:tc>
        <w:tc>
          <w:tcPr>
            <w:tcW w:type="dxa" w:w="21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价格压力已确立</w:t>
            </w:r>
          </w:p>
        </w:tc>
        <w:tc>
          <w:tcPr>
            <w:tcW w:type="dxa" w:w="30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最优档新增、撤销、成交的净压力</w:t>
            </w:r>
          </w:p>
        </w:tc>
        <w:tc>
          <w:tcPr>
            <w:tcW w:type="dxa" w:w="27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与主动买卖符号同源；散户集中吃单同样升高</w:t>
            </w:r>
          </w:p>
        </w:tc>
      </w:tr>
      <w:tr>
        <w:trPr>
          <w:cantSplit/>
        </w:trPr>
        <w:tc>
          <w:tcPr>
            <w:tcW w:type="dxa" w:w="15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VPIN</w:t>
            </w:r>
          </w:p>
        </w:tc>
        <w:tc>
          <w:tcPr>
            <w:tcW w:type="dxa" w:w="21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有争议</w:t>
            </w:r>
          </w:p>
        </w:tc>
        <w:tc>
          <w:tcPr>
            <w:tcW w:type="dxa" w:w="3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按成交量分桶后的绝对买卖不平衡</w:t>
            </w:r>
          </w:p>
        </w:tc>
        <w:tc>
          <w:tcPr>
            <w:tcW w:type="dxa" w:w="27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机械跟随波动和成交量；分类方法和桶长改变结论</w:t>
            </w:r>
          </w:p>
        </w:tc>
      </w:tr>
    </w:tbl>
    <w:p>
      <w:pPr>
        <w:spacing w:after="200" w:before="40" w:line="276" w:lineRule="auto"/>
        <w:ind w:firstLine="0"/>
      </w:pPr>
      <w:r>
        <w:rPr>
          <w:rFonts w:ascii="Times New Roman" w:hAnsi="Times New Roman" w:eastAsia="宋体" w:cs="Times New Roman"/>
          <w:b w:val="0"/>
          <w:i w:val="0"/>
          <w:color w:val="555555"/>
          <w:sz w:val="18"/>
        </w:rPr>
        <w:t>等级描述统计量在已发表研究中的位置，不描述“因此可以认定主力”。</w:t>
      </w:r>
    </w:p>
    <w:p>
      <w:pPr>
        <w:pStyle w:val="Heading1"/>
        <w:keepNext/>
        <w:spacing w:before="320" w:after="160" w:line="276" w:lineRule="auto"/>
        <w:ind w:firstLine="0"/>
      </w:pPr>
      <w:r>
        <w:rPr>
          <w:rFonts w:ascii="Times New Roman" w:hAnsi="Times New Roman" w:eastAsia="黑体" w:cs="Times New Roman"/>
          <w:b/>
          <w:i w:val="0"/>
          <w:color w:val="1F3A5F"/>
          <w:sz w:val="32"/>
        </w:rPr>
        <w:t>三、A股交易制度会怎样改写这些指纹</w:t>
      </w:r>
    </w:p>
    <w:p>
      <w:pPr>
        <w:spacing w:after="160" w:before="0" w:line="276" w:lineRule="auto"/>
        <w:ind w:firstLine="420"/>
      </w:pPr>
      <w:r>
        <w:rPr>
          <w:rFonts w:ascii="Times New Roman" w:hAnsi="Times New Roman" w:eastAsia="宋体" w:cs="Times New Roman"/>
          <w:b w:val="0"/>
          <w:i w:val="0"/>
          <w:color w:val="1A1A1A"/>
          <w:sz w:val="24"/>
        </w:rPr>
        <w:t>下列扭曲来自本次核对的上交所规则和行情接口，不是从美股文献外推的。深交所在逐笔委托是否完整、撤单消息如何单列这两点上与上交所不同，两市解析不能共用一套代码。创业板涨跌幅20%是2020年注册制改革后的公开制度；其申报数量上限应以深交所规则文本为准，不在本次读到的上交所条文里。</w:t>
      </w:r>
    </w:p>
    <w:p>
      <w:pPr>
        <w:pStyle w:val="Heading2"/>
        <w:keepNext/>
        <w:spacing w:before="240" w:after="120" w:line="276" w:lineRule="auto"/>
        <w:ind w:firstLine="0"/>
      </w:pPr>
      <w:r>
        <w:rPr>
          <w:rFonts w:ascii="Times New Roman" w:hAnsi="Times New Roman" w:eastAsia="黑体" w:cs="Times New Roman"/>
          <w:b/>
          <w:i w:val="0"/>
          <w:color w:val="1F3A5F"/>
          <w:sz w:val="28"/>
        </w:rPr>
        <w:t>3.1  三秒快照与逐笔时间</w:t>
      </w:r>
    </w:p>
    <w:p>
      <w:pPr>
        <w:spacing w:after="160" w:before="0" w:line="276" w:lineRule="auto"/>
        <w:ind w:firstLine="420"/>
      </w:pPr>
      <w:r>
        <w:rPr>
          <w:rFonts w:ascii="Times New Roman" w:hAnsi="Times New Roman" w:eastAsia="宋体" w:cs="Times New Roman"/>
          <w:b w:val="0"/>
          <w:i w:val="0"/>
          <w:color w:val="1A1A1A"/>
          <w:sz w:val="24"/>
        </w:rPr>
        <w:t>上证所信息 LDDS 竞价 Level-2 接口说明写明：快照为全量；变化全量的更新频率为3秒，若数据无变化则顺延到下一周期；周期全量约为30秒，盘后固定价格交易行情的周期不同。竞价快照目前发布十档深度，以及买卖一档上的前50笔委托。逐笔是另一类消息，时间戳细到0.01秒。</w:t>
      </w:r>
    </w:p>
    <w:p>
      <w:pPr>
        <w:spacing w:after="160" w:before="0" w:line="276" w:lineRule="auto"/>
        <w:ind w:firstLine="420"/>
      </w:pPr>
      <w:r>
        <w:rPr>
          <w:rFonts w:ascii="Times New Roman" w:hAnsi="Times New Roman" w:eastAsia="宋体" w:cs="Times New Roman"/>
          <w:b w:val="0"/>
          <w:i w:val="0"/>
          <w:color w:val="1A1A1A"/>
          <w:sz w:val="24"/>
        </w:rPr>
        <w:t>因此，用三秒十档快照计算 OFI，会把三秒之内的新增和撤销抵消掉，撤单滞后也只能落到快照格子上。逐笔委托和逐笔成交若保留交易所委托时间，间隔指纹仍可按0.01秒计算。研究记录里必须写明用的是委托时间还是到达时间。到达时间被上游打包节拍改写时，间隔规则性这条指纹应整段放弃，而不是放宽阈值。</w:t>
      </w:r>
    </w:p>
    <w:p>
      <w:pPr>
        <w:pStyle w:val="Heading2"/>
        <w:keepNext/>
        <w:spacing w:before="240" w:after="120" w:line="276" w:lineRule="auto"/>
        <w:ind w:firstLine="0"/>
      </w:pPr>
      <w:r>
        <w:rPr>
          <w:rFonts w:ascii="Times New Roman" w:hAnsi="Times New Roman" w:eastAsia="黑体" w:cs="Times New Roman"/>
          <w:b/>
          <w:i w:val="0"/>
          <w:color w:val="1F3A5F"/>
          <w:sz w:val="28"/>
        </w:rPr>
        <w:t>3.2  集合竞价</w:t>
      </w:r>
    </w:p>
    <w:p>
      <w:pPr>
        <w:spacing w:after="160" w:before="0" w:line="276" w:lineRule="auto"/>
        <w:ind w:firstLine="420"/>
      </w:pPr>
      <w:r>
        <w:rPr>
          <w:rFonts w:ascii="Times New Roman" w:hAnsi="Times New Roman" w:eastAsia="宋体" w:cs="Times New Roman"/>
          <w:b w:val="0"/>
          <w:i w:val="0"/>
          <w:color w:val="1A1A1A"/>
          <w:sz w:val="24"/>
        </w:rPr>
        <w:t>《上海证券交易所交易规则（2026年修订）》（上证发〔2026〕41号，2026年7月6日施行）规定，每个交易日9:20至9:25的开盘集合竞价、14:57至15:00的收盘集合竞价，交易主机不接受撤单申报。9:15至9:20仍可撤单。接口说明同时规定：集合竞价和停牌期间不发送逐笔类数据，阶段结束后统一发送，先委托、再成交和产品状态。</w:t>
      </w:r>
    </w:p>
    <w:p>
      <w:pPr>
        <w:spacing w:after="160" w:before="0" w:line="276" w:lineRule="auto"/>
        <w:ind w:firstLine="420"/>
      </w:pPr>
      <w:r>
        <w:rPr>
          <w:rFonts w:ascii="Times New Roman" w:hAnsi="Times New Roman" w:eastAsia="宋体" w:cs="Times New Roman"/>
          <w:b w:val="0"/>
          <w:i w:val="0"/>
          <w:color w:val="1A1A1A"/>
          <w:sz w:val="24"/>
        </w:rPr>
        <w:t>后果有三层。第一，这两段禁撤窗口里，撤单时点分布出现结构性零点，与连续竞价的高撤单不可比。第二，若用报文到达时间，集合竞价期间的委托会堆在阶段结束之后的一个批次里，间隔指纹失效；能否使用这段数据，取决于消息里是否仍保留原始委托时间。第三，集合竞价成交由同一价格撮合，接口中的主动买卖标志不再表示“打掉了对方的排队价”。VPIN、OFI 和同向游程的样本应限于连续竞价，集合竞价单独描述。</w:t>
      </w:r>
    </w:p>
    <w:p>
      <w:pPr>
        <w:pStyle w:val="Heading2"/>
        <w:keepNext/>
        <w:spacing w:before="240" w:after="120" w:line="276" w:lineRule="auto"/>
        <w:ind w:firstLine="0"/>
      </w:pPr>
      <w:r>
        <w:rPr>
          <w:rFonts w:ascii="Times New Roman" w:hAnsi="Times New Roman" w:eastAsia="黑体" w:cs="Times New Roman"/>
          <w:b/>
          <w:i w:val="0"/>
          <w:color w:val="1F3A5F"/>
          <w:sz w:val="28"/>
        </w:rPr>
        <w:t>3.3  涨跌幅、价格笼子与 T+1</w:t>
      </w:r>
    </w:p>
    <w:p>
      <w:pPr>
        <w:spacing w:after="160" w:before="0" w:line="276" w:lineRule="auto"/>
        <w:ind w:firstLine="420"/>
      </w:pPr>
      <w:r>
        <w:rPr>
          <w:rFonts w:ascii="Times New Roman" w:hAnsi="Times New Roman" w:eastAsia="宋体" w:cs="Times New Roman"/>
          <w:b w:val="0"/>
          <w:i w:val="0"/>
          <w:color w:val="1A1A1A"/>
          <w:sz w:val="24"/>
        </w:rPr>
        <w:t>主板股票、基金的涨跌幅限制比例为10%（规则3.3.13）。2026年7月6日起，主板风险警示股票也由5%调整为10%。跨越这一天的风险警示股票样本必须分段，否则封板距离和异常波动阈值会混在两个制度里。科创板涨跌幅为20%；限价申报数量不小于200股。首次公开发行上市后的前5个交易日等情形不设涨跌幅，这些交易日应整日从“常态连续竞价”样本中分开。</w:t>
      </w:r>
    </w:p>
    <w:p>
      <w:pPr>
        <w:spacing w:after="160" w:before="0" w:line="276" w:lineRule="auto"/>
        <w:ind w:firstLine="420"/>
      </w:pPr>
      <w:r>
        <w:rPr>
          <w:rFonts w:ascii="Times New Roman" w:hAnsi="Times New Roman" w:eastAsia="宋体" w:cs="Times New Roman"/>
          <w:b w:val="0"/>
          <w:i w:val="0"/>
          <w:color w:val="1A1A1A"/>
          <w:sz w:val="24"/>
        </w:rPr>
        <w:t>连续竞价阶段的限价申报还有价格笼子：买入申报价格不得高于买入基准价格的102%，与买入基准价格以上十个最小变动价位的较高者；卖出对称，为98%与向下十个价位的较低者（规则3.3.14）。笼子使远离盘口的申报无效，也会迫使各类参与者在基准价移动后撤补。撤单指纹的零假设必须含这段机械撤补，不能把“报价变动后短时间撤单”直接写成试探。封板时价格变化被截断，一边队列极厚，OFI 的斜率和冲击曲线都不再适用，应标记为“封板排队”，退出冲击和毒性估计。</w:t>
      </w:r>
    </w:p>
    <w:p>
      <w:pPr>
        <w:spacing w:after="160" w:before="0" w:line="276" w:lineRule="auto"/>
        <w:ind w:firstLine="420"/>
      </w:pPr>
      <w:r>
        <w:rPr>
          <w:rFonts w:ascii="Times New Roman" w:hAnsi="Times New Roman" w:eastAsia="宋体" w:cs="Times New Roman"/>
          <w:b w:val="0"/>
          <w:i w:val="0"/>
          <w:color w:val="1A1A1A"/>
          <w:sz w:val="24"/>
        </w:rPr>
        <w:t>规则3.1.4规定，投资者买入的证券在交收前不得卖出，实行回转交易的除外。规则3.1.5的当日回转名单包括债券交易型开放式指数基金、交易型货币市场基金、黄金交易型开放式证券投资基金、商品期货交易型开放式指数基金、部分跨境 ETF 和跨境上市开放式基金、权证，以及经证监会同意的其他品种。股票不在这个名单里。B 股实行次一交易日起回转。因此股票的卖出受昨日库存约束，买入不受同一约束。任何默认买卖对称的持续性或毒性指标，都要按方向分开估计。</w:t>
      </w:r>
    </w:p>
    <w:p>
      <w:pPr>
        <w:spacing w:after="160" w:before="0" w:line="276" w:lineRule="auto"/>
        <w:ind w:firstLine="420"/>
      </w:pPr>
      <w:r>
        <w:rPr>
          <w:rFonts w:ascii="Times New Roman" w:hAnsi="Times New Roman" w:eastAsia="宋体" w:cs="Times New Roman"/>
          <w:b w:val="0"/>
          <w:i w:val="0"/>
          <w:color w:val="1A1A1A"/>
          <w:sz w:val="24"/>
        </w:rPr>
        <w:t>规则3.3.8规定，竞价买入申报数量为100股或其整数倍；卖出时不足100股的余额应当一次申报卖出。规则3.3.9规定，一般证券竞价交易单笔申报最大数量不超过100万股。超过这个上限的拆分是合规约束。几十万元的委托远低于100万股所对应的金额，观察到它被拆开，不是这条上限逼出来的。科创板限价申报另有更低的单笔上限，应以科创板章节为准。</w:t>
      </w:r>
    </w:p>
    <w:p>
      <w:pPr>
        <w:pStyle w:val="Heading2"/>
        <w:keepNext/>
        <w:spacing w:before="240" w:after="120" w:line="276" w:lineRule="auto"/>
        <w:ind w:firstLine="0"/>
      </w:pPr>
      <w:r>
        <w:rPr>
          <w:rFonts w:ascii="Times New Roman" w:hAnsi="Times New Roman" w:eastAsia="黑体" w:cs="Times New Roman"/>
          <w:b/>
          <w:i w:val="0"/>
          <w:color w:val="1F3A5F"/>
          <w:sz w:val="28"/>
        </w:rPr>
        <w:t>3.4  阈值跟着个股走</w:t>
      </w:r>
    </w:p>
    <w:p>
      <w:pPr>
        <w:spacing w:after="160" w:before="0" w:line="276" w:lineRule="auto"/>
        <w:ind w:firstLine="420"/>
      </w:pPr>
      <w:r>
        <w:rPr>
          <w:rFonts w:ascii="Times New Roman" w:hAnsi="Times New Roman" w:eastAsia="宋体" w:cs="Times New Roman"/>
          <w:b w:val="0"/>
          <w:i w:val="0"/>
          <w:color w:val="1A1A1A"/>
          <w:sz w:val="24"/>
        </w:rPr>
        <w:t>同一笔50万元，在日均成交额3000万元的股票里改变当天的参与率，在日均成交额20亿元的股票里接近噪声。同一笔100股，低价股的金额远小于4万元，高价股可以超过4万元。全市场共用一个金额门槛，等于把股价和流动性写进分类器。王凡（2022）用小单占比代理算法交易时，已经看到高价股上的效应不同；该文把小单占比当作算法强度，对“小单是谁”这个问题是循环的，但它对价格水平会干扰规模分类这一点仍然有用。</w:t>
      </w:r>
    </w:p>
    <w:p>
      <w:pPr>
        <w:spacing w:after="80" w:before="200" w:line="276" w:lineRule="auto"/>
        <w:ind w:firstLine="0"/>
        <w:keepNext/>
      </w:pPr>
      <w:r>
        <w:rPr>
          <w:rFonts w:ascii="Times New Roman" w:hAnsi="Times New Roman" w:eastAsia="黑体" w:cs="Times New Roman"/>
          <w:b/>
          <w:i w:val="0"/>
          <w:color w:val="1F3A5F"/>
          <w:sz w:val="21"/>
        </w:rPr>
        <w:t>表 2    按个股校准的量，以及应避开的常数</w:t>
      </w:r>
    </w:p>
    <w:tbl>
      <w:tblPr>
        <w:tblStyle w:val="TableGrid"/>
        <w:tblW w:type="dxa" w:w="9360"/>
        <w:jc w:val="center"/>
        <w:tblLayout w:type="fixed"/>
        <w:tblLook w:firstColumn="1" w:firstRow="1" w:lastColumn="0" w:lastRow="0" w:noHBand="0" w:noVBand="1" w:val="04A0"/>
        <w:tblBorders>
          <w:top w:val="single" w:sz="4" w:space="0" w:color="BFCBD9"/>
          <w:left w:val="single" w:sz="4" w:space="0" w:color="BFCBD9"/>
          <w:bottom w:val="single" w:sz="4" w:space="0" w:color="BFCBD9"/>
          <w:right w:val="single" w:sz="4" w:space="0" w:color="BFCBD9"/>
          <w:insideH w:val="single" w:sz="4" w:space="0" w:color="BFCBD9"/>
          <w:insideV w:val="single" w:sz="4" w:space="0" w:color="BFCBD9"/>
        </w:tblBorders>
      </w:tblPr>
      <w:tblGrid>
        <w:gridCol w:w="1600"/>
        <w:gridCol w:w="4200"/>
        <w:gridCol w:w="3560"/>
      </w:tblGrid>
      <w:tr>
        <w:trPr>
          <w:tblHeader w:val="true"/>
          <w:cantSplit/>
        </w:trPr>
        <w:tc>
          <w:tcPr>
            <w:tcW w:type="dxa" w:w="16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要校准的量</w:t>
            </w:r>
          </w:p>
        </w:tc>
        <w:tc>
          <w:tcPr>
            <w:tcW w:type="dxa" w:w="42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标尺</w:t>
            </w:r>
          </w:p>
        </w:tc>
        <w:tc>
          <w:tcPr>
            <w:tcW w:type="dxa" w:w="356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不要使用</w:t>
            </w:r>
          </w:p>
        </w:tc>
      </w:tr>
      <w:tr>
        <w:trPr>
          <w:cantSplit/>
        </w:trPr>
        <w:tc>
          <w:tcPr>
            <w:tcW w:type="dxa" w:w="16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子单大小</w:t>
            </w:r>
          </w:p>
        </w:tc>
        <w:tc>
          <w:tcPr>
            <w:tcW w:type="dxa" w:w="42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相对该板块最小手数；相对当时买一或卖一的挂单量；相对该股过去20个交易日成交额的分位数</w:t>
            </w:r>
          </w:p>
        </w:tc>
        <w:tc>
          <w:tcPr>
            <w:tcW w:type="dxa" w:w="35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全市场统一的4万、20万或50万元</w:t>
            </w:r>
          </w:p>
        </w:tc>
      </w:tr>
      <w:tr>
        <w:trPr>
          <w:cantSplit/>
        </w:trPr>
        <w:tc>
          <w:tcPr>
            <w:tcW w:type="dxa" w:w="16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时间窗</w:t>
            </w:r>
          </w:p>
        </w:tc>
        <w:tc>
          <w:tcPr>
            <w:tcW w:type="dxa" w:w="42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事件时间，或占该股日均成交固定比例的成交量时钟</w:t>
            </w:r>
          </w:p>
        </w:tc>
        <w:tc>
          <w:tcPr>
            <w:tcW w:type="dxa" w:w="35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所有股票共用1分钟或3秒</w:t>
            </w:r>
          </w:p>
        </w:tc>
      </w:tr>
      <w:tr>
        <w:trPr>
          <w:cantSplit/>
        </w:trPr>
        <w:tc>
          <w:tcPr>
            <w:tcW w:type="dxa" w:w="16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是否异常</w:t>
            </w:r>
          </w:p>
        </w:tc>
        <w:tc>
          <w:tcPr>
            <w:tcW w:type="dxa" w:w="42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该股自己的打乱分布分位数</w:t>
            </w:r>
          </w:p>
        </w:tc>
        <w:tc>
          <w:tcPr>
            <w:tcW w:type="dxa" w:w="35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从其他市场文献抄来的赫斯特指数或冲击指数门槛</w:t>
            </w:r>
          </w:p>
        </w:tc>
      </w:tr>
      <w:tr>
        <w:trPr>
          <w:cantSplit/>
        </w:trPr>
        <w:tc>
          <w:tcPr>
            <w:tcW w:type="dxa" w:w="16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样本范围</w:t>
            </w:r>
          </w:p>
        </w:tc>
        <w:tc>
          <w:tcPr>
            <w:tcW w:type="dxa" w:w="42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封板分钟、集合竞价、开盘与收盘的季节性高峰分开报告</w:t>
            </w:r>
          </w:p>
        </w:tc>
        <w:tc>
          <w:tcPr>
            <w:tcW w:type="dxa" w:w="35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把这些分钟并进同一条 VPIN 或同一条游程</w:t>
            </w:r>
          </w:p>
        </w:tc>
      </w:tr>
    </w:tbl>
    <w:p>
      <w:pPr>
        <w:spacing w:after="200" w:before="40" w:line="276" w:lineRule="auto"/>
        <w:ind w:firstLine="0"/>
      </w:pPr>
      <w:r>
        <w:rPr>
          <w:rFonts w:ascii="Times New Roman" w:hAnsi="Times New Roman" w:eastAsia="宋体" w:cs="Times New Roman"/>
          <w:b w:val="0"/>
          <w:i w:val="0"/>
          <w:color w:val="555555"/>
          <w:sz w:val="18"/>
        </w:rPr>
        <w:t>20日窗口是建议的估计长度，不是已发表的最优值。股票停牌、涨跌幅制度切换的日子不应算进这20日。</w:t>
      </w:r>
    </w:p>
    <w:p>
      <w:pPr>
        <w:pStyle w:val="Heading1"/>
        <w:keepNext/>
        <w:spacing w:before="320" w:after="160" w:line="276" w:lineRule="auto"/>
        <w:ind w:firstLine="0"/>
      </w:pPr>
      <w:r>
        <w:rPr>
          <w:rFonts w:ascii="Times New Roman" w:hAnsi="Times New Roman" w:eastAsia="黑体" w:cs="Times New Roman"/>
          <w:b/>
          <w:i w:val="0"/>
          <w:color w:val="1F3A5F"/>
          <w:sz w:val="32"/>
        </w:rPr>
        <w:t>四、母单重建</w:t>
      </w:r>
    </w:p>
    <w:p>
      <w:pPr>
        <w:spacing w:after="160" w:before="0" w:line="276" w:lineRule="auto"/>
        <w:ind w:firstLine="420"/>
      </w:pPr>
      <w:r>
        <w:rPr>
          <w:rFonts w:ascii="Times New Roman" w:hAnsi="Times New Roman" w:eastAsia="宋体" w:cs="Times New Roman"/>
          <w:b w:val="0"/>
          <w:i w:val="0"/>
          <w:color w:val="1A1A1A"/>
          <w:sz w:val="24"/>
        </w:rPr>
        <w:t>“按叫买序号、叫卖序号归组”和“重建一个主体的母单”是两件不同的事。前者有交易所给出的键。后者在公开行情里没有键。</w:t>
      </w:r>
    </w:p>
    <w:p>
      <w:pPr>
        <w:pStyle w:val="Heading2"/>
        <w:keepNext/>
        <w:spacing w:before="240" w:after="120" w:line="276" w:lineRule="auto"/>
        <w:ind w:firstLine="0"/>
      </w:pPr>
      <w:r>
        <w:rPr>
          <w:rFonts w:ascii="Times New Roman" w:hAnsi="Times New Roman" w:eastAsia="黑体" w:cs="Times New Roman"/>
          <w:b/>
          <w:i w:val="0"/>
          <w:color w:val="1F3A5F"/>
          <w:sz w:val="28"/>
        </w:rPr>
        <w:t>4.1  有键的对象：一笔交易所委托</w:t>
      </w:r>
    </w:p>
    <w:p>
      <w:pPr>
        <w:spacing w:after="160" w:before="0" w:line="276" w:lineRule="auto"/>
        <w:ind w:firstLine="420"/>
      </w:pPr>
      <w:r>
        <w:rPr>
          <w:rFonts w:ascii="Times New Roman" w:hAnsi="Times New Roman" w:eastAsia="宋体" w:cs="Times New Roman"/>
          <w:b w:val="0"/>
          <w:i w:val="0"/>
          <w:color w:val="1A1A1A"/>
          <w:sz w:val="24"/>
        </w:rPr>
        <w:t>逐笔成交同时携带买方委托序号和卖方委托序号。主动买（外盘）时，卖方序号是正停在队列里的那笔卖单，买方序号是吃单的那笔买单。同一个主动序号下的多笔成交，是一笔委托扫过若干档，持续时间通常是毫秒到几百毫秒。同一个被动序号下的多笔成交，是一笔挂单被不同的对手方多次成交。这里不需要统计阈值，序号就是身份。</w:t>
      </w:r>
    </w:p>
    <w:p>
      <w:pPr>
        <w:spacing w:after="160" w:before="0" w:line="276" w:lineRule="auto"/>
        <w:ind w:firstLine="420"/>
      </w:pPr>
      <w:r>
        <w:rPr>
          <w:rFonts w:ascii="Times New Roman" w:hAnsi="Times New Roman" w:eastAsia="宋体" w:cs="Times New Roman"/>
          <w:b w:val="0"/>
          <w:i w:val="0"/>
          <w:color w:val="1A1A1A"/>
          <w:sz w:val="24"/>
        </w:rPr>
        <w:t>上证所信息接口说明写明：连续竞价阶段发布的委托数量，是订单被撮合后的剩余数量；若一笔订单被一次性全部撮合，则不发布该订单的剩余委托数量。因此只扫描逐笔委托，会漏掉立即全部成交的吃单。归组必须从成交带把序号补回来。撤单消息引用的是同一序号，可与剩余挂单对照。深交所逐笔委托对委托的覆盖更完整，撤单往往以单独记录出现，市价类型里还有对手方最优和本方最优。解析层要按交易所分开，不能先合并再寻母单。</w:t>
      </w:r>
    </w:p>
    <w:p>
      <w:pPr>
        <w:spacing w:after="160" w:before="0" w:line="276" w:lineRule="auto"/>
        <w:ind w:firstLine="420"/>
      </w:pPr>
      <w:r>
        <w:rPr>
          <w:rFonts w:ascii="Times New Roman" w:hAnsi="Times New Roman" w:eastAsia="宋体" w:cs="Times New Roman"/>
          <w:b w:val="0"/>
          <w:i w:val="0"/>
          <w:color w:val="1A1A1A"/>
          <w:sz w:val="24"/>
        </w:rPr>
        <w:t>这一步的产出应叫“一笔挂单的成交过程”或“一笔吃单的扫档过程”。它还不是一个投资方案。机构若每次只新发一笔子单，每个子单都有新序号，键在子单边界上就断了。</w:t>
      </w:r>
    </w:p>
    <w:p>
      <w:pPr>
        <w:pStyle w:val="Heading2"/>
        <w:keepNext/>
        <w:spacing w:before="240" w:after="120" w:line="276" w:lineRule="auto"/>
        <w:ind w:firstLine="0"/>
      </w:pPr>
      <w:r>
        <w:rPr>
          <w:rFonts w:ascii="Times New Roman" w:hAnsi="Times New Roman" w:eastAsia="黑体" w:cs="Times New Roman"/>
          <w:b/>
          <w:i w:val="0"/>
          <w:color w:val="1F3A5F"/>
          <w:sz w:val="28"/>
        </w:rPr>
        <w:t>4.2  无键的对象：同向游程</w:t>
      </w:r>
    </w:p>
    <w:p>
      <w:pPr>
        <w:spacing w:after="160" w:before="0" w:line="276" w:lineRule="auto"/>
        <w:ind w:firstLine="420"/>
      </w:pPr>
      <w:r>
        <w:rPr>
          <w:rFonts w:ascii="Times New Roman" w:hAnsi="Times New Roman" w:eastAsia="宋体" w:cs="Times New Roman"/>
          <w:b w:val="0"/>
          <w:i w:val="0"/>
          <w:color w:val="1A1A1A"/>
          <w:sz w:val="24"/>
        </w:rPr>
        <w:t>主动子单各自拥有新的委托号。把它们连成一个母单，只能靠统计规则。一种可写清楚的规则是同向游程：只使用连续竞价、主动买卖标志为买或卖的成交，去掉未知方向和集合竞价；当同向主动成交的间隔不超过 Δ，且游程开始以来反向成交量占同向成交量的比例不超过 ε，就把它们连在同一段里。段的长度、持续时间和参与率可以再设下限，但这些下限是过滤器，不是身份证明。</w:t>
      </w:r>
    </w:p>
    <w:p>
      <w:pPr>
        <w:spacing w:after="160" w:before="0" w:line="276" w:lineRule="auto"/>
        <w:ind w:firstLine="420"/>
      </w:pPr>
      <w:r>
        <w:rPr>
          <w:rFonts w:ascii="Times New Roman" w:hAnsi="Times New Roman" w:eastAsia="宋体" w:cs="Times New Roman"/>
          <w:b w:val="0"/>
          <w:i w:val="0"/>
          <w:color w:val="1A1A1A"/>
          <w:sz w:val="24"/>
        </w:rPr>
        <w:t>Δ、ε 和最短长度每变一次，就得到另一批段。选择标准不应当是“哪一组参数检出的段最多”。可用的标准是平台：在一小段参数区间里，这些段的规模分布几乎不变，而且把成交符号打乱之后，这个分布消失。没有平台，就报告这段流量不可识别，不要挑选一个最好看的切点。欧洲有母单标签的样本给出的参与率和期限（例如 Bacry 等人的期限因子）是那些样本的描述，不能当成 A 股的 Δ。</w:t>
      </w:r>
    </w:p>
    <w:p>
      <w:pPr>
        <w:spacing w:after="160" w:before="0" w:line="276" w:lineRule="auto"/>
        <w:ind w:firstLine="420"/>
      </w:pPr>
      <w:r>
        <w:rPr>
          <w:rFonts w:ascii="Times New Roman" w:hAnsi="Times New Roman" w:eastAsia="宋体" w:cs="Times New Roman"/>
          <w:b w:val="0"/>
          <w:i w:val="0"/>
          <w:color w:val="1A1A1A"/>
          <w:sz w:val="24"/>
        </w:rPr>
        <w:t>有身份的研究也说明阈值不能随手搬。Vaglica 等人已经拥有会员号，仍把一个会员的库存路径切成段，并且只保留方向纯度达到75%的段，因为同一会员会在同一段时间里既买又卖。75%来自那套有身份的数据，不是匿名 A 股的自然常数。</w:t>
      </w:r>
    </w:p>
    <w:p>
      <w:pPr>
        <w:pStyle w:val="Heading2"/>
        <w:keepNext/>
        <w:spacing w:before="240" w:after="120" w:line="276" w:lineRule="auto"/>
        <w:ind w:firstLine="0"/>
      </w:pPr>
      <w:r>
        <w:rPr>
          <w:rFonts w:ascii="Times New Roman" w:hAnsi="Times New Roman" w:eastAsia="黑体" w:cs="Times New Roman"/>
          <w:b/>
          <w:i w:val="0"/>
          <w:color w:val="1F3A5F"/>
          <w:sz w:val="28"/>
        </w:rPr>
        <w:t>4.3  多个母单同向叠在一起</w:t>
      </w:r>
    </w:p>
    <w:p>
      <w:pPr>
        <w:spacing w:after="160" w:before="0" w:line="276" w:lineRule="auto"/>
        <w:ind w:firstLine="420"/>
      </w:pPr>
      <w:r>
        <w:rPr>
          <w:rFonts w:ascii="Times New Roman" w:hAnsi="Times New Roman" w:eastAsia="宋体" w:cs="Times New Roman"/>
          <w:b w:val="0"/>
          <w:i w:val="0"/>
          <w:color w:val="1A1A1A"/>
          <w:sz w:val="24"/>
        </w:rPr>
        <w:t>两个或更多主体在同一时段同向吃单时，游程规则会把它们的和写成一段。点估计会把规模和持续时间夸大，也会把冲击算到一个并不存在的单一母单上。可以报告的是区间，不是点。下界：在每一个较大的反向成交处切开，也在每一个超过平台所对应 Δ 的空隙处切开，切开后各子段的规模。上界：整段不切开的规模。区间以外的分配没有识别来源。</w:t>
      </w:r>
    </w:p>
    <w:p>
      <w:pPr>
        <w:spacing w:after="160" w:before="0" w:line="276" w:lineRule="auto"/>
        <w:ind w:firstLine="420"/>
      </w:pPr>
      <w:r>
        <w:rPr>
          <w:rFonts w:ascii="Times New Roman" w:hAnsi="Times New Roman" w:eastAsia="宋体" w:cs="Times New Roman"/>
          <w:b w:val="0"/>
          <w:i w:val="0"/>
          <w:color w:val="1A1A1A"/>
          <w:sz w:val="24"/>
        </w:rPr>
        <w:t>Tóth 等人在伦敦市场看到，几小时以内跨会员的同向相关远小于同一会员内部的相关，所以在那个市场、那个期限上，把一段同向流量主要算成一个主体，偏差可能有限。这个结果依赖会员号，也依赖他们的样本。A 股的指数调整日、北向资金集中日和封板日，同向羊群是一阶现象，不能套用“跨主体相关很小”。这些日期上，区间要保留。</w:t>
      </w:r>
    </w:p>
    <w:p>
      <w:pPr>
        <w:spacing w:after="160" w:before="0" w:line="276" w:lineRule="auto"/>
        <w:ind w:firstLine="420"/>
      </w:pPr>
      <w:r>
        <w:rPr>
          <w:rFonts w:ascii="Times New Roman" w:hAnsi="Times New Roman" w:eastAsia="宋体" w:cs="Times New Roman"/>
          <w:b w:val="0"/>
          <w:i w:val="0"/>
          <w:color w:val="1A1A1A"/>
          <w:sz w:val="24"/>
        </w:rPr>
        <w:t>产出名称建议使用“同向流量片段”，并同时给出下界和上界。名称若写成“某主力的母单”，就把没有被数据识别的主体写进了结果。</w:t>
      </w:r>
    </w:p>
    <w:p>
      <w:pPr>
        <w:pStyle w:val="Heading1"/>
        <w:keepNext/>
        <w:spacing w:before="320" w:after="160" w:line="276" w:lineRule="auto"/>
        <w:ind w:firstLine="0"/>
      </w:pPr>
      <w:r>
        <w:rPr>
          <w:rFonts w:ascii="Times New Roman" w:hAnsi="Times New Roman" w:eastAsia="黑体" w:cs="Times New Roman"/>
          <w:b/>
          <w:i w:val="0"/>
          <w:color w:val="1F3A5F"/>
          <w:sz w:val="32"/>
        </w:rPr>
        <w:t>五、组合判定、误报率与打乱基准</w:t>
      </w:r>
    </w:p>
    <w:p>
      <w:pPr>
        <w:pStyle w:val="Heading2"/>
        <w:keepNext/>
        <w:spacing w:before="240" w:after="120" w:line="276" w:lineRule="auto"/>
        <w:ind w:firstLine="0"/>
      </w:pPr>
      <w:r>
        <w:rPr>
          <w:rFonts w:ascii="Times New Roman" w:hAnsi="Times New Roman" w:eastAsia="黑体" w:cs="Times New Roman"/>
          <w:b/>
          <w:i w:val="0"/>
          <w:color w:val="1F3A5F"/>
          <w:sz w:val="28"/>
        </w:rPr>
        <w:t>5.1  几条指纹才够</w:t>
      </w:r>
    </w:p>
    <w:p>
      <w:pPr>
        <w:spacing w:after="160" w:before="0" w:line="276" w:lineRule="auto"/>
        <w:ind w:firstLine="420"/>
      </w:pPr>
      <w:r>
        <w:rPr>
          <w:rFonts w:ascii="Times New Roman" w:hAnsi="Times New Roman" w:eastAsia="宋体" w:cs="Times New Roman"/>
          <w:b w:val="0"/>
          <w:i w:val="0"/>
          <w:color w:val="1A1A1A"/>
          <w:sz w:val="24"/>
        </w:rPr>
        <w:t>没有论文证明存在一个整数，使得“任意 k 条指纹同时异常”就等于存在拆单。指纹之间不独立。OFI、VPIN、窗口内同向占比、符号长记忆和冲击路径，都可以由同一串带符号的成交生成。把它们各算一票，是把一个事实重复计数。</w:t>
      </w:r>
    </w:p>
    <w:p>
      <w:pPr>
        <w:spacing w:after="80" w:before="200" w:line="276" w:lineRule="auto"/>
        <w:ind w:firstLine="0"/>
        <w:keepNext/>
      </w:pPr>
      <w:r>
        <w:rPr>
          <w:rFonts w:ascii="Times New Roman" w:hAnsi="Times New Roman" w:eastAsia="黑体" w:cs="Times New Roman"/>
          <w:b/>
          <w:i w:val="0"/>
          <w:color w:val="1F3A5F"/>
          <w:sz w:val="21"/>
        </w:rPr>
        <w:t>表 3    按信息来源归并，而不是按指标名称计数</w:t>
      </w:r>
    </w:p>
    <w:tbl>
      <w:tblPr>
        <w:tblStyle w:val="TableGrid"/>
        <w:tblW w:type="dxa" w:w="9360"/>
        <w:jc w:val="center"/>
        <w:tblLayout w:type="fixed"/>
        <w:tblLook w:firstColumn="1" w:firstRow="1" w:lastColumn="0" w:lastRow="0" w:noHBand="0" w:noVBand="1" w:val="04A0"/>
        <w:tblBorders>
          <w:top w:val="single" w:sz="4" w:space="0" w:color="BFCBD9"/>
          <w:left w:val="single" w:sz="4" w:space="0" w:color="BFCBD9"/>
          <w:bottom w:val="single" w:sz="4" w:space="0" w:color="BFCBD9"/>
          <w:right w:val="single" w:sz="4" w:space="0" w:color="BFCBD9"/>
          <w:insideH w:val="single" w:sz="4" w:space="0" w:color="BFCBD9"/>
          <w:insideV w:val="single" w:sz="4" w:space="0" w:color="BFCBD9"/>
        </w:tblBorders>
      </w:tblPr>
      <w:tblGrid>
        <w:gridCol w:w="1600"/>
        <w:gridCol w:w="3600"/>
        <w:gridCol w:w="4160"/>
      </w:tblGrid>
      <w:tr>
        <w:trPr>
          <w:tblHeader w:val="true"/>
          <w:cantSplit/>
        </w:trPr>
        <w:tc>
          <w:tcPr>
            <w:tcW w:type="dxa" w:w="16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通道</w:t>
            </w:r>
          </w:p>
        </w:tc>
        <w:tc>
          <w:tcPr>
            <w:tcW w:type="dxa" w:w="36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通常被放进这一通道的指标</w:t>
            </w:r>
          </w:p>
        </w:tc>
        <w:tc>
          <w:tcPr>
            <w:tcW w:type="dxa" w:w="416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单独使用时能说什么</w:t>
            </w:r>
          </w:p>
        </w:tc>
      </w:tr>
      <w:tr>
        <w:trPr>
          <w:cantSplit/>
        </w:trPr>
        <w:tc>
          <w:tcPr>
            <w:tcW w:type="dxa" w:w="16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符号流</w:t>
            </w:r>
          </w:p>
        </w:tc>
        <w:tc>
          <w:tcPr>
            <w:tcW w:type="dxa" w:w="36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长记忆、同向占比、OFI、VPIN、冲击路径</w:t>
            </w:r>
          </w:p>
        </w:tc>
        <w:tc>
          <w:tcPr>
            <w:tcW w:type="dxa" w:w="41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只能说这段带符号流量不平衡或持续。没有身份时，拆单和羊群都写得出</w:t>
            </w:r>
          </w:p>
        </w:tc>
      </w:tr>
      <w:tr>
        <w:trPr>
          <w:cantSplit/>
        </w:trPr>
        <w:tc>
          <w:tcPr>
            <w:tcW w:type="dxa" w:w="16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时间结构</w:t>
            </w:r>
          </w:p>
        </w:tc>
        <w:tc>
          <w:tcPr>
            <w:tcW w:type="dxa" w:w="36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间隔的变异系数、整秒谱峰、撤单相对报价变动的滞后</w:t>
            </w:r>
          </w:p>
        </w:tc>
        <w:tc>
          <w:tcPr>
            <w:tcW w:type="dxa" w:w="41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可以成为第二条证据。抖动算法和到达时间节拍会把它毁掉</w:t>
            </w:r>
          </w:p>
        </w:tc>
      </w:tr>
      <w:tr>
        <w:trPr>
          <w:cantSplit/>
        </w:trPr>
        <w:tc>
          <w:tcPr>
            <w:tcW w:type="dxa" w:w="16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规模结构</w:t>
            </w:r>
          </w:p>
        </w:tc>
        <w:tc>
          <w:tcPr>
            <w:tcW w:type="dxa" w:w="36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偏离最小手数、也偏离整数金额的规模集中度</w:t>
            </w:r>
          </w:p>
        </w:tc>
        <w:tc>
          <w:tcPr>
            <w:tcW w:type="dxa" w:w="41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可以成为第二条证据。聚集在100股或1万元不算</w:t>
            </w:r>
          </w:p>
        </w:tc>
      </w:tr>
      <w:tr>
        <w:trPr>
          <w:cantSplit/>
        </w:trPr>
        <w:tc>
          <w:tcPr>
            <w:tcW w:type="dxa" w:w="16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交易所身份键</w:t>
            </w:r>
          </w:p>
        </w:tc>
        <w:tc>
          <w:tcPr>
            <w:tcW w:type="dxa" w:w="36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同一叫买序号或叫卖序号下的多笔成交</w:t>
            </w:r>
          </w:p>
        </w:tc>
        <w:tc>
          <w:tcPr>
            <w:tcW w:type="dxa" w:w="41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能证明这是同一笔委托。不能证明多个序号属于同一母单</w:t>
            </w:r>
          </w:p>
        </w:tc>
      </w:tr>
    </w:tbl>
    <w:p>
      <w:pPr>
        <w:spacing w:after="200" w:before="40" w:line="276" w:lineRule="auto"/>
        <w:ind w:firstLine="0"/>
      </w:pPr>
      <w:r>
        <w:rPr>
          <w:rFonts w:ascii="Times New Roman" w:hAnsi="Times New Roman" w:eastAsia="宋体" w:cs="Times New Roman"/>
          <w:b w:val="0"/>
          <w:i w:val="0"/>
          <w:color w:val="555555"/>
          <w:sz w:val="18"/>
        </w:rPr>
        <w:t>“第二条证据”指与符号流不是同一信息的那一条。符号流内部再增加指标，通道数仍然是一。</w:t>
      </w:r>
    </w:p>
    <w:p>
      <w:pPr>
        <w:spacing w:after="160" w:before="0" w:line="276" w:lineRule="auto"/>
        <w:ind w:firstLine="420"/>
      </w:pPr>
      <w:r>
        <w:rPr>
          <w:rFonts w:ascii="Times New Roman" w:hAnsi="Times New Roman" w:eastAsia="宋体" w:cs="Times New Roman"/>
          <w:b w:val="0"/>
          <w:i w:val="0"/>
          <w:color w:val="1A1A1A"/>
          <w:sz w:val="24"/>
        </w:rPr>
        <w:t>可写进结论的最低配置因此是三条陈述同时成立，其中前两条来自不同通道。第一，时间结构或非常规规模结构超过该股自己的打乱基准。第二，同向持续性超过“委托只是在跟着同期收益同向”的零假设。第三，所用成交落在连续竞价，并且该分钟不是涨跌停封板。缺少第一条，就只有一段匿名的同向流量。缺少第二条，规则的时间格子可能只是整点习惯或接收节拍。缺少第三条，制度状态会被写成行为。</w:t>
      </w:r>
    </w:p>
    <w:p>
      <w:pPr>
        <w:pStyle w:val="Heading2"/>
        <w:keepNext/>
        <w:spacing w:before="240" w:after="120" w:line="276" w:lineRule="auto"/>
        <w:ind w:firstLine="0"/>
      </w:pPr>
      <w:r>
        <w:rPr>
          <w:rFonts w:ascii="Times New Roman" w:hAnsi="Times New Roman" w:eastAsia="黑体" w:cs="Times New Roman"/>
          <w:b/>
          <w:i w:val="0"/>
          <w:color w:val="1F3A5F"/>
          <w:sz w:val="28"/>
        </w:rPr>
        <w:t>5.2  误报率在没有标签时算不出来</w:t>
      </w:r>
    </w:p>
    <w:p>
      <w:pPr>
        <w:spacing w:after="160" w:before="0" w:line="276" w:lineRule="auto"/>
        <w:ind w:firstLine="420"/>
      </w:pPr>
      <w:r>
        <w:rPr>
          <w:rFonts w:ascii="Times New Roman" w:hAnsi="Times New Roman" w:eastAsia="宋体" w:cs="Times New Roman"/>
          <w:b w:val="0"/>
          <w:i w:val="0"/>
          <w:color w:val="1A1A1A"/>
          <w:sz w:val="24"/>
        </w:rPr>
        <w:t>打乱基准给出的是一个明确零假设下的第一类错误：一段没有被植入相应结构的序列，有多经常被判成异常。这不是“一笔真散户委托被判成主力”的比率。后者需要下面三类材料之一：账户或会员标签、已知由某套算法发出的委托审计，或交易所内部的程序化交易报告。公开行情没有这三类。规则3.1.8要求通过计算机程序自动生成或下达交易指令的程序化交易向交易所报告；这份身份在交易所一侧，不在公众逐笔里。</w:t>
      </w:r>
    </w:p>
    <w:p>
      <w:pPr>
        <w:spacing w:after="160" w:before="0" w:line="276" w:lineRule="auto"/>
        <w:ind w:firstLine="420"/>
      </w:pPr>
      <w:r>
        <w:rPr>
          <w:rFonts w:ascii="Times New Roman" w:hAnsi="Times New Roman" w:eastAsia="宋体" w:cs="Times New Roman"/>
          <w:b w:val="0"/>
          <w:i w:val="0"/>
          <w:color w:val="1A1A1A"/>
          <w:sz w:val="24"/>
        </w:rPr>
        <w:t>龙虎榜只在规则规定的异常情形下公布当日买入、卖出金额最大的五家会员营业部及其金额。它是异常日、营业部、事后合计，恢复不出子单序列，也不能当作逐笔分类的金标准。向历史订单簿里注入一条已知的时间加权执行，只能测量检测器对这种注入的灵敏度，测量不到那些会抖动、会跟量、会躲开固定金额的真实执行。</w:t>
      </w:r>
    </w:p>
    <w:p>
      <w:pPr>
        <w:spacing w:after="160" w:before="0" w:line="276" w:lineRule="auto"/>
        <w:ind w:firstLine="420"/>
      </w:pPr>
      <w:r>
        <w:rPr>
          <w:rFonts w:ascii="Times New Roman" w:hAnsi="Times New Roman" w:eastAsia="宋体" w:cs="Times New Roman"/>
          <w:b w:val="0"/>
          <w:i w:val="0"/>
          <w:color w:val="1A1A1A"/>
          <w:sz w:val="24"/>
        </w:rPr>
        <w:t>在标签出现之前，不宜把指纹分数说成机构概率。下面的表只说明先验有多主导结果。真阳性80%、假阳性20%是假设，不是实测。阳性预测值等于 0.8π 除以 0.8π 与 0.2乘以(1减π) 之和。</w:t>
      </w:r>
    </w:p>
    <w:p>
      <w:pPr>
        <w:spacing w:after="80" w:before="200" w:line="276" w:lineRule="auto"/>
        <w:ind w:firstLine="0"/>
        <w:keepNext/>
      </w:pPr>
      <w:r>
        <w:rPr>
          <w:rFonts w:ascii="Times New Roman" w:hAnsi="Times New Roman" w:eastAsia="黑体" w:cs="Times New Roman"/>
          <w:b/>
          <w:i w:val="0"/>
          <w:color w:val="1F3A5F"/>
          <w:sz w:val="21"/>
        </w:rPr>
        <w:t>表 4    先验不同时，同一组假设性错误率对应的阳性预测值</w:t>
      </w:r>
    </w:p>
    <w:tbl>
      <w:tblPr>
        <w:tblStyle w:val="TableGrid"/>
        <w:tblW w:type="dxa" w:w="9360"/>
        <w:jc w:val="center"/>
        <w:tblLayout w:type="fixed"/>
        <w:tblLook w:firstColumn="1" w:firstRow="1" w:lastColumn="0" w:lastRow="0" w:noHBand="0" w:noVBand="1" w:val="04A0"/>
        <w:tblBorders>
          <w:top w:val="single" w:sz="4" w:space="0" w:color="BFCBD9"/>
          <w:left w:val="single" w:sz="4" w:space="0" w:color="BFCBD9"/>
          <w:bottom w:val="single" w:sz="4" w:space="0" w:color="BFCBD9"/>
          <w:right w:val="single" w:sz="4" w:space="0" w:color="BFCBD9"/>
          <w:insideH w:val="single" w:sz="4" w:space="0" w:color="BFCBD9"/>
          <w:insideV w:val="single" w:sz="4" w:space="0" w:color="BFCBD9"/>
        </w:tblBorders>
      </w:tblPr>
      <w:tblGrid>
        <w:gridCol w:w="2800"/>
        <w:gridCol w:w="4560"/>
        <w:gridCol w:w="2000"/>
      </w:tblGrid>
      <w:tr>
        <w:trPr>
          <w:tblHeader w:val="true"/>
          <w:cantSplit/>
        </w:trPr>
        <w:tc>
          <w:tcPr>
            <w:tcW w:type="dxa" w:w="28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小单来自机构的先验 π</w:t>
            </w:r>
          </w:p>
        </w:tc>
        <w:tc>
          <w:tcPr>
            <w:tcW w:type="dxa" w:w="456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这个先验从哪来</w:t>
            </w:r>
          </w:p>
        </w:tc>
        <w:tc>
          <w:tcPr>
            <w:tcW w:type="dxa" w:w="20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阳性预测值</w:t>
            </w:r>
          </w:p>
        </w:tc>
      </w:tr>
      <w:tr>
        <w:trPr>
          <w:cantSplit/>
        </w:trPr>
        <w:tc>
          <w:tcPr>
            <w:tcW w:type="dxa" w:w="28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50%</w:t>
            </w:r>
          </w:p>
        </w:tc>
        <w:tc>
          <w:tcPr>
            <w:tcW w:type="dxa" w:w="45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提问中的前提。本次未找到可核对来源</w:t>
            </w:r>
          </w:p>
        </w:tc>
        <w:tc>
          <w:tcPr>
            <w:tcW w:type="dxa" w:w="2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80%</w:t>
            </w:r>
          </w:p>
        </w:tc>
      </w:tr>
      <w:tr>
        <w:trPr>
          <w:cantSplit/>
        </w:trPr>
        <w:tc>
          <w:tcPr>
            <w:tcW w:type="dxa" w:w="28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20%</w:t>
            </w:r>
          </w:p>
        </w:tc>
        <w:tc>
          <w:tcPr>
            <w:tcW w:type="dxa" w:w="45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靠近2021年前后程序化占成交的部分行业估计。口径是成交额，不是小单笔数</w:t>
            </w:r>
          </w:p>
        </w:tc>
        <w:tc>
          <w:tcPr>
            <w:tcW w:type="dxa" w:w="20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50%</w:t>
            </w:r>
          </w:p>
        </w:tc>
      </w:tr>
      <w:tr>
        <w:trPr>
          <w:cantSplit/>
        </w:trPr>
        <w:tc>
          <w:tcPr>
            <w:tcW w:type="dxa" w:w="28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10%</w:t>
            </w:r>
          </w:p>
        </w:tc>
        <w:tc>
          <w:tcPr>
            <w:tcW w:type="dxa" w:w="45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靠近部分机构自述的量化成交占比。口径同样不是小单笔数，且来自当事人陈述</w:t>
            </w:r>
          </w:p>
        </w:tc>
        <w:tc>
          <w:tcPr>
            <w:tcW w:type="dxa" w:w="2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31%</w:t>
            </w:r>
          </w:p>
        </w:tc>
      </w:tr>
    </w:tbl>
    <w:p>
      <w:pPr>
        <w:spacing w:after="200" w:before="40" w:line="276" w:lineRule="auto"/>
        <w:ind w:firstLine="0"/>
      </w:pPr>
      <w:r>
        <w:rPr>
          <w:rFonts w:ascii="Times New Roman" w:hAnsi="Times New Roman" w:eastAsia="宋体" w:cs="Times New Roman"/>
          <w:b w:val="0"/>
          <w:i w:val="0"/>
          <w:color w:val="555555"/>
          <w:sz w:val="18"/>
        </w:rPr>
        <w:t>算术示例，不是实测误报率。东吴证券2022年2月研报《A股脊梁：机构投资者持仓近五成，成交超三成》估计，2021年上半年公募、私募与外资合计约占 A 股成交额34.9%，其中私募约20.4%、量化约15.5%。媒体转述的当事人访谈里，程序化或量化占成交多落在10%至30%。这些数字都不能代入 π。</w:t>
      </w:r>
    </w:p>
    <w:p>
      <w:pPr>
        <w:pStyle w:val="Heading2"/>
        <w:keepNext/>
        <w:spacing w:before="240" w:after="120" w:line="276" w:lineRule="auto"/>
        <w:ind w:firstLine="0"/>
      </w:pPr>
      <w:r>
        <w:rPr>
          <w:rFonts w:ascii="Times New Roman" w:hAnsi="Times New Roman" w:eastAsia="黑体" w:cs="Times New Roman"/>
          <w:b/>
          <w:i w:val="0"/>
          <w:color w:val="1F3A5F"/>
          <w:sz w:val="28"/>
        </w:rPr>
        <w:t>5.3  打乱基准按指纹分别做</w:t>
      </w:r>
    </w:p>
    <w:p>
      <w:pPr>
        <w:spacing w:after="160" w:before="0" w:line="276" w:lineRule="auto"/>
        <w:ind w:firstLine="420"/>
      </w:pPr>
      <w:r>
        <w:rPr>
          <w:rFonts w:ascii="Times New Roman" w:hAnsi="Times New Roman" w:eastAsia="宋体" w:cs="Times New Roman"/>
          <w:b w:val="0"/>
          <w:i w:val="0"/>
          <w:color w:val="1A1A1A"/>
          <w:sz w:val="24"/>
        </w:rPr>
        <w:t>一个把全天时间和符号全部打散的基准会破坏开盘、收盘的季节性，也会破坏最小手数和涨跌停这些制度结构，几乎必然拒绝。拒绝本身没有解释力。每种指纹只打断它声称发现的那种结构，并保留其余结构。</w:t>
      </w:r>
    </w:p>
    <w:p>
      <w:pPr>
        <w:spacing w:after="80" w:before="200" w:line="276" w:lineRule="auto"/>
        <w:ind w:firstLine="0"/>
        <w:keepNext/>
      </w:pPr>
      <w:r>
        <w:rPr>
          <w:rFonts w:ascii="Times New Roman" w:hAnsi="Times New Roman" w:eastAsia="黑体" w:cs="Times New Roman"/>
          <w:b/>
          <w:i w:val="0"/>
          <w:color w:val="1F3A5F"/>
          <w:sz w:val="21"/>
        </w:rPr>
        <w:t>表 5    与指纹对应的打乱</w:t>
      </w:r>
    </w:p>
    <w:tbl>
      <w:tblPr>
        <w:tblStyle w:val="TableGrid"/>
        <w:tblW w:type="dxa" w:w="9360"/>
        <w:jc w:val="center"/>
        <w:tblLayout w:type="fixed"/>
        <w:tblLook w:firstColumn="1" w:firstRow="1" w:lastColumn="0" w:lastRow="0" w:noHBand="0" w:noVBand="1" w:val="04A0"/>
        <w:tblBorders>
          <w:top w:val="single" w:sz="4" w:space="0" w:color="BFCBD9"/>
          <w:left w:val="single" w:sz="4" w:space="0" w:color="BFCBD9"/>
          <w:bottom w:val="single" w:sz="4" w:space="0" w:color="BFCBD9"/>
          <w:right w:val="single" w:sz="4" w:space="0" w:color="BFCBD9"/>
          <w:insideH w:val="single" w:sz="4" w:space="0" w:color="BFCBD9"/>
          <w:insideV w:val="single" w:sz="4" w:space="0" w:color="BFCBD9"/>
        </w:tblBorders>
      </w:tblPr>
      <w:tblGrid>
        <w:gridCol w:w="1500"/>
        <w:gridCol w:w="2100"/>
        <w:gridCol w:w="2880"/>
        <w:gridCol w:w="2880"/>
      </w:tblGrid>
      <w:tr>
        <w:trPr>
          <w:tblHeader w:val="true"/>
          <w:cantSplit/>
        </w:trPr>
        <w:tc>
          <w:tcPr>
            <w:tcW w:type="dxa" w:w="15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要检验的结构</w:t>
            </w:r>
          </w:p>
        </w:tc>
        <w:tc>
          <w:tcPr>
            <w:tcW w:type="dxa" w:w="21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打断</w:t>
            </w:r>
          </w:p>
        </w:tc>
        <w:tc>
          <w:tcPr>
            <w:tcW w:type="dxa" w:w="288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保留</w:t>
            </w:r>
          </w:p>
        </w:tc>
        <w:tc>
          <w:tcPr>
            <w:tcW w:type="dxa" w:w="288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过强的打乱会怎样</w:t>
            </w:r>
          </w:p>
        </w:tc>
      </w:tr>
      <w:tr>
        <w:trPr>
          <w:cantSplit/>
        </w:trPr>
        <w:tc>
          <w:tcPr>
            <w:tcW w:type="dxa" w:w="15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间隔格子</w:t>
            </w:r>
          </w:p>
        </w:tc>
        <w:tc>
          <w:tcPr>
            <w:tcW w:type="dxa" w:w="21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相邻子单的等间距</w:t>
            </w:r>
          </w:p>
        </w:tc>
        <w:tc>
          <w:tcPr>
            <w:tcW w:type="dxa" w:w="28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日内成交活跃曲线，方向和规模的边缘分布</w:t>
            </w:r>
          </w:p>
        </w:tc>
        <w:tc>
          <w:tcPr>
            <w:tcW w:type="dxa" w:w="28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全天重排时间会把开盘收盘判成异常</w:t>
            </w:r>
          </w:p>
        </w:tc>
      </w:tr>
      <w:tr>
        <w:trPr>
          <w:cantSplit/>
        </w:trPr>
        <w:tc>
          <w:tcPr>
            <w:tcW w:type="dxa" w:w="15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长记忆</w:t>
            </w:r>
          </w:p>
        </w:tc>
        <w:tc>
          <w:tcPr>
            <w:tcW w:type="dxa" w:w="21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长于可疑片段的符号相关</w:t>
            </w:r>
          </w:p>
        </w:tc>
        <w:tc>
          <w:tcPr>
            <w:tcW w:type="dxa" w:w="28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短于该片段的块内符号相关，以及收益路径</w:t>
            </w:r>
          </w:p>
        </w:tc>
        <w:tc>
          <w:tcPr>
            <w:tcW w:type="dxa" w:w="28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逐笔独立打乱符号，会把短程排队结构也判成异常</w:t>
            </w:r>
          </w:p>
        </w:tc>
      </w:tr>
      <w:tr>
        <w:trPr>
          <w:cantSplit/>
        </w:trPr>
        <w:tc>
          <w:tcPr>
            <w:tcW w:type="dxa" w:w="15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规模聚集</w:t>
            </w:r>
          </w:p>
        </w:tc>
        <w:tc>
          <w:tcPr>
            <w:tcW w:type="dxa" w:w="21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规模与相邻时刻的搭配</w:t>
            </w:r>
          </w:p>
        </w:tc>
        <w:tc>
          <w:tcPr>
            <w:tcW w:type="dxa" w:w="28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同一分钟、同一方向内的规模多重集合</w:t>
            </w:r>
          </w:p>
        </w:tc>
        <w:tc>
          <w:tcPr>
            <w:tcW w:type="dxa" w:w="28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跨日打乱会把100股申报单位本身判成指纹</w:t>
            </w:r>
          </w:p>
        </w:tc>
      </w:tr>
      <w:tr>
        <w:trPr>
          <w:cantSplit/>
        </w:trPr>
        <w:tc>
          <w:tcPr>
            <w:tcW w:type="dxa" w:w="15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OFI 或 VPIN</w:t>
            </w:r>
          </w:p>
        </w:tc>
        <w:tc>
          <w:tcPr>
            <w:tcW w:type="dxa" w:w="21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成交符号</w:t>
            </w:r>
          </w:p>
        </w:tc>
        <w:tc>
          <w:tcPr>
            <w:tcW w:type="dxa" w:w="28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成交量时钟和深度</w:t>
            </w:r>
          </w:p>
        </w:tc>
        <w:tc>
          <w:tcPr>
            <w:tcW w:type="dxa" w:w="28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符号打乱只说明不平衡是否极端，不说明存在一个拆单主体</w:t>
            </w:r>
          </w:p>
        </w:tc>
      </w:tr>
    </w:tbl>
    <w:p>
      <w:pPr>
        <w:spacing w:after="200" w:before="40" w:line="276" w:lineRule="auto"/>
        <w:ind w:firstLine="0"/>
      </w:pPr>
      <w:r>
        <w:rPr>
          <w:rFonts w:ascii="Times New Roman" w:hAnsi="Times New Roman" w:eastAsia="宋体" w:cs="Times New Roman"/>
          <w:b w:val="0"/>
          <w:i w:val="0"/>
          <w:color w:val="555555"/>
          <w:sz w:val="18"/>
        </w:rPr>
        <w:t>多只股票、多组阈值、多条指纹同时检验时，看联合打乱之下“拒绝个数”的分布。逐条 p 值会把相关指标算成多次独立发现。</w:t>
      </w:r>
    </w:p>
    <w:p>
      <w:pPr>
        <w:spacing w:after="160" w:before="0" w:line="276" w:lineRule="auto"/>
        <w:ind w:firstLine="420"/>
      </w:pPr>
      <w:r>
        <w:rPr>
          <w:rFonts w:ascii="Times New Roman" w:hAnsi="Times New Roman" w:eastAsia="宋体" w:cs="Times New Roman"/>
          <w:b w:val="0"/>
          <w:i w:val="0"/>
          <w:color w:val="1A1A1A"/>
          <w:sz w:val="24"/>
        </w:rPr>
        <w:t>“跟着收益同向”这一零假设可以用条件打乱实现：按同期收益的符号和大小分层，只在层内交换成交符号，或只在层内交换短块。这样保留了“价格涨时买盘变多”的公共反应，打断的是层内仍然存在的长程同向。公共反应本身被判成拆单，是这条检验最常见的失败。</w:t>
      </w:r>
    </w:p>
    <w:p>
      <w:pPr>
        <w:pStyle w:val="Heading1"/>
        <w:keepNext/>
        <w:spacing w:before="320" w:after="160" w:line="276" w:lineRule="auto"/>
        <w:ind w:firstLine="0"/>
      </w:pPr>
      <w:r>
        <w:rPr>
          <w:rFonts w:ascii="Times New Roman" w:hAnsi="Times New Roman" w:eastAsia="黑体" w:cs="Times New Roman"/>
          <w:b/>
          <w:i w:val="0"/>
          <w:color w:val="1F3A5F"/>
          <w:sz w:val="32"/>
        </w:rPr>
        <w:t>六、画像输出：只保留描述性维度</w:t>
      </w:r>
    </w:p>
    <w:p>
      <w:pPr>
        <w:spacing w:after="160" w:before="0" w:line="276" w:lineRule="auto"/>
        <w:ind w:firstLine="420"/>
      </w:pPr>
      <w:r>
        <w:rPr>
          <w:rFonts w:ascii="Times New Roman" w:hAnsi="Times New Roman" w:eastAsia="宋体" w:cs="Times New Roman"/>
          <w:b w:val="0"/>
          <w:i w:val="0"/>
          <w:color w:val="1A1A1A"/>
          <w:sz w:val="24"/>
        </w:rPr>
        <w:t>若标签只允许描述形态，“碎步吸筹”“大刀压制”“高撤单试探”这一类名字把意图写进了词里。数据能定义的是执行过程的统计量。昵称可以出现在展示层，判定和存档必须使用统计定义。下面八个维度覆盖节奏、规模、撤单、方向、冲击、主动或被动、时段和交易约束。少一个维度，昵称就会把没被测量的意图补进去。</w:t>
      </w:r>
    </w:p>
    <w:p>
      <w:pPr>
        <w:spacing w:after="80" w:before="200" w:line="276" w:lineRule="auto"/>
        <w:ind w:firstLine="0"/>
        <w:keepNext/>
      </w:pPr>
      <w:r>
        <w:rPr>
          <w:rFonts w:ascii="Times New Roman" w:hAnsi="Times New Roman" w:eastAsia="黑体" w:cs="Times New Roman"/>
          <w:b/>
          <w:i w:val="0"/>
          <w:color w:val="1F3A5F"/>
          <w:sz w:val="21"/>
        </w:rPr>
        <w:t>表 6    画像维度、统计定义与可使用的描述性标签</w:t>
      </w:r>
    </w:p>
    <w:tbl>
      <w:tblPr>
        <w:tblStyle w:val="TableGrid"/>
        <w:tblW w:type="dxa" w:w="9360"/>
        <w:jc w:val="center"/>
        <w:tblLayout w:type="fixed"/>
        <w:tblLook w:firstColumn="1" w:firstRow="1" w:lastColumn="0" w:lastRow="0" w:noHBand="0" w:noVBand="1" w:val="04A0"/>
        <w:tblBorders>
          <w:top w:val="single" w:sz="4" w:space="0" w:color="BFCBD9"/>
          <w:left w:val="single" w:sz="4" w:space="0" w:color="BFCBD9"/>
          <w:bottom w:val="single" w:sz="4" w:space="0" w:color="BFCBD9"/>
          <w:right w:val="single" w:sz="4" w:space="0" w:color="BFCBD9"/>
          <w:insideH w:val="single" w:sz="4" w:space="0" w:color="BFCBD9"/>
          <w:insideV w:val="single" w:sz="4" w:space="0" w:color="BFCBD9"/>
        </w:tblBorders>
      </w:tblPr>
      <w:tblGrid>
        <w:gridCol w:w="1400"/>
        <w:gridCol w:w="3000"/>
        <w:gridCol w:w="2680"/>
        <w:gridCol w:w="2280"/>
      </w:tblGrid>
      <w:tr>
        <w:trPr>
          <w:tblHeader w:val="true"/>
          <w:cantSplit/>
        </w:trPr>
        <w:tc>
          <w:tcPr>
            <w:tcW w:type="dxa" w:w="14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维度</w:t>
            </w:r>
          </w:p>
        </w:tc>
        <w:tc>
          <w:tcPr>
            <w:tcW w:type="dxa" w:w="30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统计量</w:t>
            </w:r>
          </w:p>
        </w:tc>
        <w:tc>
          <w:tcPr>
            <w:tcW w:type="dxa" w:w="268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描述性标签</w:t>
            </w:r>
          </w:p>
        </w:tc>
        <w:tc>
          <w:tcPr>
            <w:tcW w:type="dxa" w:w="228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不宜写进结论的意图词</w:t>
            </w:r>
          </w:p>
        </w:tc>
      </w:tr>
      <w:tr>
        <w:trPr>
          <w:cantSplit/>
        </w:trPr>
        <w:tc>
          <w:tcPr>
            <w:tcW w:type="dxa" w:w="1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执行节奏</w:t>
            </w:r>
          </w:p>
        </w:tc>
        <w:tc>
          <w:tcPr>
            <w:tcW w:type="dxa" w:w="3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同向相邻委托间隔的变异系数；整秒或成交量时钟上的谱峰</w:t>
            </w:r>
          </w:p>
        </w:tc>
        <w:tc>
          <w:tcPr>
            <w:tcW w:type="dxa" w:w="26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时钟切片；跟量；无规则簇集</w:t>
            </w:r>
          </w:p>
        </w:tc>
        <w:tc>
          <w:tcPr>
            <w:tcW w:type="dxa" w:w="22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有计划地吸筹</w:t>
            </w:r>
          </w:p>
        </w:tc>
      </w:tr>
      <w:tr>
        <w:trPr>
          <w:cantSplit/>
        </w:trPr>
        <w:tc>
          <w:tcPr>
            <w:tcW w:type="dxa" w:w="1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子单规模</w:t>
            </w:r>
          </w:p>
        </w:tc>
        <w:tc>
          <w:tcPr>
            <w:tcW w:type="dxa" w:w="30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规模众数相对最小手数、相对最优档深度；规模的离散度</w:t>
            </w:r>
          </w:p>
        </w:tc>
        <w:tc>
          <w:tcPr>
            <w:tcW w:type="dxa" w:w="26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最小手数碎步；贴满一档；固定金额</w:t>
            </w:r>
          </w:p>
        </w:tc>
        <w:tc>
          <w:tcPr>
            <w:tcW w:type="dxa" w:w="22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主力小单</w:t>
            </w:r>
          </w:p>
        </w:tc>
      </w:tr>
      <w:tr>
        <w:trPr>
          <w:cantSplit/>
        </w:trPr>
        <w:tc>
          <w:tcPr>
            <w:tcW w:type="dxa" w:w="1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撤单结构</w:t>
            </w:r>
          </w:p>
        </w:tc>
        <w:tc>
          <w:tcPr>
            <w:tcW w:type="dxa" w:w="3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撤成比；存活时间分布；报价未变时的撤单占比</w:t>
            </w:r>
          </w:p>
        </w:tc>
        <w:tc>
          <w:tcPr>
            <w:tcW w:type="dxa" w:w="26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贴价撤补；远离盘口的高撤单；低撤单吃单</w:t>
            </w:r>
          </w:p>
        </w:tc>
        <w:tc>
          <w:tcPr>
            <w:tcW w:type="dxa" w:w="22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试探、诱多、诱空</w:t>
            </w:r>
          </w:p>
        </w:tc>
      </w:tr>
      <w:tr>
        <w:trPr>
          <w:cantSplit/>
        </w:trPr>
        <w:tc>
          <w:tcPr>
            <w:tcW w:type="dxa" w:w="1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方向持续性</w:t>
            </w:r>
          </w:p>
        </w:tc>
        <w:tc>
          <w:tcPr>
            <w:tcW w:type="dxa" w:w="30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成交量时钟上的同向游程长度；符号自相关如何衰减</w:t>
            </w:r>
          </w:p>
        </w:tc>
        <w:tc>
          <w:tcPr>
            <w:tcW w:type="dxa" w:w="26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短促同向；跨时段同向</w:t>
            </w:r>
          </w:p>
        </w:tc>
        <w:tc>
          <w:tcPr>
            <w:tcW w:type="dxa" w:w="22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单家主力控盘</w:t>
            </w:r>
          </w:p>
        </w:tc>
      </w:tr>
      <w:tr>
        <w:trPr>
          <w:cantSplit/>
        </w:trPr>
        <w:tc>
          <w:tcPr>
            <w:tcW w:type="dxa" w:w="1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冲击形态</w:t>
            </w:r>
          </w:p>
        </w:tc>
        <w:tc>
          <w:tcPr>
            <w:tcW w:type="dxa" w:w="3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游程内中间价对累计同向成交量的路径</w:t>
            </w:r>
          </w:p>
        </w:tc>
        <w:tc>
          <w:tcPr>
            <w:tcW w:type="dxa" w:w="26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凹；近线性；冲高后回落</w:t>
            </w:r>
          </w:p>
        </w:tc>
        <w:tc>
          <w:tcPr>
            <w:tcW w:type="dxa" w:w="22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洗盘成功</w:t>
            </w:r>
          </w:p>
        </w:tc>
      </w:tr>
      <w:tr>
        <w:trPr>
          <w:cantSplit/>
        </w:trPr>
        <w:tc>
          <w:tcPr>
            <w:tcW w:type="dxa" w:w="1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盘口角色</w:t>
            </w:r>
          </w:p>
        </w:tc>
        <w:tc>
          <w:tcPr>
            <w:tcW w:type="dxa" w:w="30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主动成交占比，对照同一委托序号下的被动成交</w:t>
            </w:r>
          </w:p>
        </w:tc>
        <w:tc>
          <w:tcPr>
            <w:tcW w:type="dxa" w:w="26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主动吃单；被动排队</w:t>
            </w:r>
          </w:p>
        </w:tc>
        <w:tc>
          <w:tcPr>
            <w:tcW w:type="dxa" w:w="22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压盘、托盘</w:t>
            </w:r>
          </w:p>
        </w:tc>
      </w:tr>
      <w:tr>
        <w:trPr>
          <w:cantSplit/>
        </w:trPr>
        <w:tc>
          <w:tcPr>
            <w:tcW w:type="dxa" w:w="1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时段位置</w:t>
            </w:r>
          </w:p>
        </w:tc>
        <w:tc>
          <w:tcPr>
            <w:tcW w:type="dxa" w:w="30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该形态在竞价、开盘30分钟、盘中、收盘竞价的成交份额</w:t>
            </w:r>
          </w:p>
        </w:tc>
        <w:tc>
          <w:tcPr>
            <w:tcW w:type="dxa" w:w="26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开盘集中；全日均匀；尾盘集中</w:t>
            </w:r>
          </w:p>
        </w:tc>
        <w:tc>
          <w:tcPr>
            <w:tcW w:type="dxa" w:w="228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尾盘偷袭</w:t>
            </w:r>
          </w:p>
        </w:tc>
      </w:tr>
      <w:tr>
        <w:trPr>
          <w:cantSplit/>
        </w:trPr>
        <w:tc>
          <w:tcPr>
            <w:tcW w:type="dxa" w:w="1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约束状态</w:t>
            </w:r>
          </w:p>
        </w:tc>
        <w:tc>
          <w:tcPr>
            <w:tcW w:type="dxa" w:w="30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活动落在涨跌停价附近或单边订单簿上的份额</w:t>
            </w:r>
          </w:p>
        </w:tc>
        <w:tc>
          <w:tcPr>
            <w:tcW w:type="dxa" w:w="26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封板排队；常态连续竞价</w:t>
            </w:r>
          </w:p>
        </w:tc>
        <w:tc>
          <w:tcPr>
            <w:tcW w:type="dxa" w:w="228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主力封板</w:t>
            </w:r>
          </w:p>
        </w:tc>
      </w:tr>
    </w:tbl>
    <w:p>
      <w:pPr>
        <w:spacing w:after="200" w:before="40" w:line="276" w:lineRule="auto"/>
        <w:ind w:firstLine="0"/>
      </w:pPr>
      <w:r>
        <w:rPr>
          <w:rFonts w:ascii="Times New Roman" w:hAnsi="Times New Roman" w:eastAsia="宋体" w:cs="Times New Roman"/>
          <w:b w:val="0"/>
          <w:i w:val="0"/>
          <w:color w:val="555555"/>
          <w:sz w:val="18"/>
        </w:rPr>
        <w:t>右栏那些词要求意图或后果。本节的统计量没有测量意图，也没有测量后果。</w:t>
      </w:r>
    </w:p>
    <w:p>
      <w:pPr>
        <w:pStyle w:val="Heading2"/>
        <w:keepNext/>
        <w:spacing w:before="240" w:after="120" w:line="276" w:lineRule="auto"/>
        <w:ind w:firstLine="0"/>
      </w:pPr>
      <w:r>
        <w:rPr>
          <w:rFonts w:ascii="Times New Roman" w:hAnsi="Times New Roman" w:eastAsia="黑体" w:cs="Times New Roman"/>
          <w:b/>
          <w:i w:val="0"/>
          <w:color w:val="1F3A5F"/>
          <w:sz w:val="28"/>
        </w:rPr>
        <w:t>6.1  三个常用昵称怎样落到统计量上</w:t>
      </w:r>
    </w:p>
    <w:p>
      <w:pPr>
        <w:spacing w:after="160" w:before="0" w:line="276" w:lineRule="auto"/>
        <w:ind w:firstLine="420"/>
      </w:pPr>
      <w:r>
        <w:rPr>
          <w:rFonts w:ascii="Times New Roman" w:hAnsi="Times New Roman" w:eastAsia="宋体" w:cs="Times New Roman"/>
          <w:b w:val="0"/>
          <w:i w:val="0"/>
          <w:color w:val="1A1A1A"/>
          <w:sz w:val="24"/>
        </w:rPr>
        <w:t>碎步同向买入：子单规模位于最小手数或一个固定的小金额，同向游程跨过多个时段，成交在日内分布较匀，角色是主动吃掉卖盘或在买一排队。展示名可以写成“碎步”，存档时保留规模、游程和角色三个数。它不包含“吸筹”，因为指数调整、ETF 申购和许多账户的同时买入都会留下同样的三个数。</w:t>
      </w:r>
    </w:p>
    <w:p>
      <w:pPr>
        <w:spacing w:after="160" w:before="0" w:line="276" w:lineRule="auto"/>
        <w:ind w:firstLine="420"/>
      </w:pPr>
      <w:r>
        <w:rPr>
          <w:rFonts w:ascii="Times New Roman" w:hAnsi="Times New Roman" w:eastAsia="宋体" w:cs="Times New Roman"/>
          <w:b w:val="0"/>
          <w:i w:val="0"/>
          <w:color w:val="1A1A1A"/>
          <w:sz w:val="24"/>
        </w:rPr>
        <w:t>大额反复出现在卖一：被动成交占比高，单笔规模接近当时卖一挂单量，撤补主要发生在卖一价格变动之后。这是“被动排队并跟随报价”。它不包含“压制股价”。跟随报价的撤补也是价格笼子和普通贴价委托的形状。</w:t>
      </w:r>
    </w:p>
    <w:p>
      <w:pPr>
        <w:spacing w:after="160" w:before="0" w:line="276" w:lineRule="auto"/>
        <w:ind w:firstLine="420"/>
      </w:pPr>
      <w:r>
        <w:rPr>
          <w:rFonts w:ascii="Times New Roman" w:hAnsi="Times New Roman" w:eastAsia="宋体" w:cs="Times New Roman"/>
          <w:b w:val="0"/>
          <w:i w:val="0"/>
          <w:color w:val="1A1A1A"/>
          <w:sz w:val="24"/>
        </w:rPr>
        <w:t>高撤单且撤单时买一卖一没有变动，委托价又远离最优档：使用撤单结构这一维，并且要求报价未变时的撤单占比高、委托偏离最优档。它描述的是订单没有待在可成交的位置上。它不包含“试探”或“诱骗”。做市报价离开后被撤销，会部分重叠；是否重叠，要看这些撤单是否对称地出现在买卖两边、是否几乎不成交。两边对称且几乎不成交，更接近报价维护；单边、且与一段同向游程相伴，才进入前面的组合判定。即便如此，结论仍是形态，不是意图。</w:t>
      </w:r>
    </w:p>
    <w:p>
      <w:pPr>
        <w:pStyle w:val="Heading1"/>
        <w:keepNext/>
        <w:spacing w:before="320" w:after="160" w:line="276" w:lineRule="auto"/>
        <w:ind w:firstLine="0"/>
      </w:pPr>
      <w:r>
        <w:rPr>
          <w:rFonts w:ascii="Times New Roman" w:hAnsi="Times New Roman" w:eastAsia="黑体" w:cs="Times New Roman"/>
          <w:b/>
          <w:i w:val="0"/>
          <w:color w:val="1F3A5F"/>
          <w:sz w:val="32"/>
        </w:rPr>
        <w:t>七、已确立、有争议、做不到</w:t>
      </w:r>
    </w:p>
    <w:p>
      <w:pPr>
        <w:spacing w:after="80" w:before="200" w:line="276" w:lineRule="auto"/>
        <w:ind w:firstLine="0"/>
        <w:keepNext/>
      </w:pPr>
      <w:r>
        <w:rPr>
          <w:rFonts w:ascii="Times New Roman" w:hAnsi="Times New Roman" w:eastAsia="黑体" w:cs="Times New Roman"/>
          <w:b/>
          <w:i w:val="0"/>
          <w:color w:val="1F3A5F"/>
          <w:sz w:val="21"/>
        </w:rPr>
        <w:t>表 7    命题及其位置</w:t>
      </w:r>
    </w:p>
    <w:tbl>
      <w:tblPr>
        <w:tblStyle w:val="TableGrid"/>
        <w:tblW w:type="dxa" w:w="9360"/>
        <w:jc w:val="center"/>
        <w:tblLayout w:type="fixed"/>
        <w:tblLook w:firstColumn="1" w:firstRow="1" w:lastColumn="0" w:lastRow="0" w:noHBand="0" w:noVBand="1" w:val="04A0"/>
        <w:tblBorders>
          <w:top w:val="single" w:sz="4" w:space="0" w:color="BFCBD9"/>
          <w:left w:val="single" w:sz="4" w:space="0" w:color="BFCBD9"/>
          <w:bottom w:val="single" w:sz="4" w:space="0" w:color="BFCBD9"/>
          <w:right w:val="single" w:sz="4" w:space="0" w:color="BFCBD9"/>
          <w:insideH w:val="single" w:sz="4" w:space="0" w:color="BFCBD9"/>
          <w:insideV w:val="single" w:sz="4" w:space="0" w:color="BFCBD9"/>
        </w:tblBorders>
      </w:tblPr>
      <w:tblGrid>
        <w:gridCol w:w="3400"/>
        <w:gridCol w:w="2800"/>
        <w:gridCol w:w="3160"/>
      </w:tblGrid>
      <w:tr>
        <w:trPr>
          <w:tblHeader w:val="true"/>
          <w:cantSplit/>
        </w:trPr>
        <w:tc>
          <w:tcPr>
            <w:tcW w:type="dxa" w:w="34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命题</w:t>
            </w:r>
          </w:p>
        </w:tc>
        <w:tc>
          <w:tcPr>
            <w:tcW w:type="dxa" w:w="280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位置</w:t>
            </w:r>
          </w:p>
        </w:tc>
        <w:tc>
          <w:tcPr>
            <w:tcW w:type="dxa" w:w="3160"/>
            <w:tcMar>
              <w:top w:w="40" w:type="dxa"/>
              <w:bottom w:w="40" w:type="dxa"/>
              <w:left w:w="60" w:type="dxa"/>
              <w:right w:w="60" w:type="dxa"/>
            </w:tcMar>
            <w:vAlign w:val="center"/>
            <w:shd w:val="clear" w:color="auto" w:fill="1F3A5F"/>
          </w:tcPr>
          <w:p>
            <w:pPr>
              <w:spacing w:after="0" w:before="0" w:line="252" w:lineRule="auto"/>
              <w:ind w:firstLine="0"/>
            </w:pPr>
            <w:r/>
            <w:r>
              <w:rPr>
                <w:rFonts w:ascii="Times New Roman" w:hAnsi="Times New Roman" w:eastAsia="黑体" w:cs="Times New Roman"/>
                <w:b/>
                <w:i w:val="0"/>
                <w:color w:val="FFFFFF"/>
                <w:sz w:val="18"/>
              </w:rPr>
              <w:t>依据</w:t>
            </w:r>
          </w:p>
        </w:tc>
      </w:tr>
      <w:tr>
        <w:trPr>
          <w:cantSplit/>
        </w:trPr>
        <w:tc>
          <w:tcPr>
            <w:tcW w:type="dxa" w:w="3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大额交易者有动机把委托拆开，以降低价格冲击</w:t>
            </w:r>
          </w:p>
        </w:tc>
        <w:tc>
          <w:tcPr>
            <w:tcW w:type="dxa" w:w="28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已确立（理论）</w:t>
            </w:r>
          </w:p>
        </w:tc>
        <w:tc>
          <w:tcPr>
            <w:tcW w:type="dxa" w:w="31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Kyle，1985，Econometrica</w:t>
            </w:r>
          </w:p>
        </w:tc>
      </w:tr>
      <w:tr>
        <w:trPr>
          <w:cantSplit/>
        </w:trPr>
        <w:tc>
          <w:tcPr>
            <w:tcW w:type="dxa" w:w="3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看得到投资者或经纪商身份时，大额委托确实被拆开</w:t>
            </w:r>
          </w:p>
        </w:tc>
        <w:tc>
          <w:tcPr>
            <w:tcW w:type="dxa" w:w="28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已确立（有身份的市场）</w:t>
            </w:r>
          </w:p>
        </w:tc>
        <w:tc>
          <w:tcPr>
            <w:tcW w:type="dxa" w:w="31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Chan 与 Lakonishok，1995，Journal of Finance；Vaglica、Lillo、Moro 与 Mantegna，2008，Physical Review E</w:t>
            </w:r>
          </w:p>
        </w:tc>
      </w:tr>
      <w:tr>
        <w:trPr>
          <w:cantSplit/>
        </w:trPr>
        <w:tc>
          <w:tcPr>
            <w:tcW w:type="dxa" w:w="3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成交的主动方向具有长记忆</w:t>
            </w:r>
          </w:p>
        </w:tc>
        <w:tc>
          <w:tcPr>
            <w:tcW w:type="dxa" w:w="28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已确立</w:t>
            </w:r>
          </w:p>
        </w:tc>
        <w:tc>
          <w:tcPr>
            <w:tcW w:type="dxa" w:w="31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Lillo 与 Farmer，2004；Lillo、Mike 与 Farmer，2005，Physical Review E</w:t>
            </w:r>
          </w:p>
        </w:tc>
      </w:tr>
      <w:tr>
        <w:trPr>
          <w:cantSplit/>
        </w:trPr>
        <w:tc>
          <w:tcPr>
            <w:tcW w:type="dxa" w:w="3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几小时内的长记忆主要来自同一会员的连续下单，而不是不同会员之间的同向</w:t>
            </w:r>
          </w:p>
        </w:tc>
        <w:tc>
          <w:tcPr>
            <w:tcW w:type="dxa" w:w="28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已确立于伦敦证券交易所会员数据；未在匿名 A 股上证实</w:t>
            </w:r>
          </w:p>
        </w:tc>
        <w:tc>
          <w:tcPr>
            <w:tcW w:type="dxa" w:w="31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Tóth、Palit、Lillo 与 Farmer，2015，Journal of Economic Dynamics and Control</w:t>
            </w:r>
          </w:p>
        </w:tc>
      </w:tr>
      <w:tr>
        <w:trPr>
          <w:cantSplit/>
        </w:trPr>
        <w:tc>
          <w:tcPr>
            <w:tcW w:type="dxa" w:w="3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有标签的母单，其临时冲击对参与率呈凹形</w:t>
            </w:r>
          </w:p>
        </w:tc>
        <w:tc>
          <w:tcPr>
            <w:tcW w:type="dxa" w:w="28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凹性较稳；纯平方根还是更接近对数，有争议</w:t>
            </w:r>
          </w:p>
        </w:tc>
        <w:tc>
          <w:tcPr>
            <w:tcW w:type="dxa" w:w="31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Bacry、Iuga、Lasnier 与 Lehalle，2015；Zarinelli、Treccani、Farmer 与 Lillo，2015</w:t>
            </w:r>
          </w:p>
        </w:tc>
      </w:tr>
      <w:tr>
        <w:trPr>
          <w:cantSplit/>
        </w:trPr>
        <w:tc>
          <w:tcPr>
            <w:tcW w:type="dxa" w:w="3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短窗价格变化对最优档 OFI 近似线性，斜率与深度成反比</w:t>
            </w:r>
          </w:p>
        </w:tc>
        <w:tc>
          <w:tcPr>
            <w:tcW w:type="dxa" w:w="28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已确立为价格压力事实，不是身份事实</w:t>
            </w:r>
          </w:p>
        </w:tc>
        <w:tc>
          <w:tcPr>
            <w:tcW w:type="dxa" w:w="31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Cont、Kukanov 与 Stoikov，2014，Journal of Financial Econometrics</w:t>
            </w:r>
          </w:p>
        </w:tc>
      </w:tr>
      <w:tr>
        <w:trPr>
          <w:cantSplit/>
        </w:trPr>
        <w:tc>
          <w:tcPr>
            <w:tcW w:type="dxa" w:w="3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累计价格变化主要来自中等规模成交</w:t>
            </w:r>
          </w:p>
        </w:tc>
        <w:tc>
          <w:tcPr>
            <w:tcW w:type="dxa" w:w="28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在 Barclay 与 Warner 的纽约证券交易所样本中成立；电子盘小单环境是否同形，有争议</w:t>
            </w:r>
          </w:p>
        </w:tc>
        <w:tc>
          <w:tcPr>
            <w:tcW w:type="dxa" w:w="31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Barclay 与 Warner，1993，Journal of Financial Economics</w:t>
            </w:r>
          </w:p>
        </w:tc>
      </w:tr>
      <w:tr>
        <w:trPr>
          <w:cantSplit/>
        </w:trPr>
        <w:tc>
          <w:tcPr>
            <w:tcW w:type="dxa" w:w="3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很小的成交里包含大量算法单</w:t>
            </w:r>
          </w:p>
        </w:tc>
        <w:tc>
          <w:tcPr>
            <w:tcW w:type="dxa" w:w="28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在美国奇数股样本上已确立；A 股有100股或200股的最小申报单位，不能直接搬用</w:t>
            </w:r>
          </w:p>
        </w:tc>
        <w:tc>
          <w:tcPr>
            <w:tcW w:type="dxa" w:w="31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O'Hara、Yao 与 Ye，2014，Journal of Finance</w:t>
            </w:r>
          </w:p>
        </w:tc>
      </w:tr>
      <w:tr>
        <w:trPr>
          <w:cantSplit/>
        </w:trPr>
        <w:tc>
          <w:tcPr>
            <w:tcW w:type="dxa" w:w="3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大量限价单会在很短时间内被撤销</w:t>
            </w:r>
          </w:p>
        </w:tc>
        <w:tc>
          <w:tcPr>
            <w:tcW w:type="dxa" w:w="28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已确立为低延迟市场的订单寿命事实</w:t>
            </w:r>
          </w:p>
        </w:tc>
        <w:tc>
          <w:tcPr>
            <w:tcW w:type="dxa" w:w="31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Hasbrouck 与 Saar，2013，Journal of Financial Markets</w:t>
            </w:r>
          </w:p>
        </w:tc>
      </w:tr>
      <w:tr>
        <w:trPr>
          <w:cantSplit/>
        </w:trPr>
        <w:tc>
          <w:tcPr>
            <w:tcW w:type="dxa" w:w="3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VPIN 度量订单流毒性，并预警流动性恶化</w:t>
            </w:r>
          </w:p>
        </w:tc>
        <w:tc>
          <w:tcPr>
            <w:tcW w:type="dxa" w:w="28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有争议</w:t>
            </w:r>
          </w:p>
        </w:tc>
        <w:tc>
          <w:tcPr>
            <w:tcW w:type="dxa" w:w="31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Easley、López de Prado 与 O'Hara，2012，Review of Financial Studies；Andersen 与 Bondarenko，2014 与 2015</w:t>
            </w:r>
          </w:p>
        </w:tc>
      </w:tr>
      <w:tr>
        <w:trPr>
          <w:cantSplit/>
        </w:trPr>
        <w:tc>
          <w:tcPr>
            <w:tcW w:type="dxa" w:w="34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用小单成交占比代理 A 股算法交易强度</w:t>
            </w:r>
          </w:p>
        </w:tc>
        <w:tc>
          <w:tcPr>
            <w:tcW w:type="dxa" w:w="280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国内实证中有应用；对“小单是谁”是循环论证</w:t>
            </w:r>
          </w:p>
        </w:tc>
        <w:tc>
          <w:tcPr>
            <w:tcW w:type="dxa" w:w="3160"/>
            <w:tcMar>
              <w:top w:w="40" w:type="dxa"/>
              <w:bottom w:w="40" w:type="dxa"/>
              <w:left w:w="60" w:type="dxa"/>
              <w:right w:w="60" w:type="dxa"/>
            </w:tcMar>
            <w:vAlign w:val="center"/>
          </w:tcPr>
          <w:p>
            <w:pPr>
              <w:spacing w:after="0" w:before="0" w:line="252" w:lineRule="auto"/>
              <w:ind w:firstLine="0"/>
            </w:pPr>
            <w:r/>
            <w:r>
              <w:rPr>
                <w:rFonts w:ascii="Times New Roman" w:hAnsi="Times New Roman" w:eastAsia="宋体" w:cs="Times New Roman"/>
                <w:b w:val="0"/>
                <w:i w:val="0"/>
                <w:color w:val="1A1A1A"/>
                <w:sz w:val="18"/>
              </w:rPr>
              <w:t>王凡，2022，《南方金融》第8期</w:t>
            </w:r>
          </w:p>
        </w:tc>
      </w:tr>
      <w:tr>
        <w:trPr>
          <w:cantSplit/>
        </w:trPr>
        <w:tc>
          <w:tcPr>
            <w:tcW w:type="dxa" w:w="34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从匿名逐笔精确识别某一家机构的拆单</w:t>
            </w:r>
          </w:p>
        </w:tc>
        <w:tc>
          <w:tcPr>
            <w:tcW w:type="dxa" w:w="280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做不到</w:t>
            </w:r>
          </w:p>
        </w:tc>
        <w:tc>
          <w:tcPr>
            <w:tcW w:type="dxa" w:w="3160"/>
            <w:tcMar>
              <w:top w:w="40" w:type="dxa"/>
              <w:bottom w:w="40" w:type="dxa"/>
              <w:left w:w="60" w:type="dxa"/>
              <w:right w:w="60" w:type="dxa"/>
            </w:tcMar>
            <w:vAlign w:val="center"/>
            <w:shd w:val="clear" w:color="auto" w:fill="F4F7FA"/>
          </w:tcPr>
          <w:p>
            <w:pPr>
              <w:spacing w:after="0" w:before="0" w:line="252" w:lineRule="auto"/>
              <w:ind w:firstLine="0"/>
            </w:pPr>
            <w:r/>
            <w:r>
              <w:rPr>
                <w:rFonts w:ascii="Times New Roman" w:hAnsi="Times New Roman" w:eastAsia="宋体" w:cs="Times New Roman"/>
                <w:b w:val="0"/>
                <w:i w:val="0"/>
                <w:color w:val="1A1A1A"/>
                <w:sz w:val="18"/>
              </w:rPr>
              <w:t>公开逐笔没有账户、会员或营业部。龙虎榜是异常日的营业部事后合计</w:t>
            </w:r>
          </w:p>
        </w:tc>
      </w:tr>
    </w:tbl>
    <w:p>
      <w:pPr>
        <w:spacing w:after="200" w:before="40" w:line="276" w:lineRule="auto"/>
        <w:ind w:firstLine="0"/>
      </w:pPr>
      <w:r>
        <w:rPr>
          <w:rFonts w:ascii="Times New Roman" w:hAnsi="Times New Roman" w:eastAsia="宋体" w:cs="Times New Roman"/>
          <w:b w:val="0"/>
          <w:i w:val="0"/>
          <w:color w:val="555555"/>
          <w:sz w:val="18"/>
        </w:rPr>
        <w:t>“位置”一栏的样本范围属于结论的一部分。把伦敦市场或纽约市场的识别结果写成 A 股已证实的主体识别，超出了这些论文的样本。</w:t>
      </w:r>
    </w:p>
    <w:p>
      <w:pPr>
        <w:pStyle w:val="Heading2"/>
        <w:keepNext/>
        <w:spacing w:before="240" w:after="120" w:line="276" w:lineRule="auto"/>
        <w:ind w:firstLine="0"/>
      </w:pPr>
      <w:r>
        <w:rPr>
          <w:rFonts w:ascii="Times New Roman" w:hAnsi="Times New Roman" w:eastAsia="黑体" w:cs="Times New Roman"/>
          <w:b/>
          <w:i w:val="0"/>
          <w:color w:val="1F3A5F"/>
          <w:sz w:val="28"/>
        </w:rPr>
        <w:t>7.1  为什么点名某一家做不到</w:t>
      </w:r>
    </w:p>
    <w:p>
      <w:pPr>
        <w:spacing w:after="160" w:before="0" w:line="276" w:lineRule="auto"/>
        <w:ind w:firstLine="420"/>
      </w:pPr>
      <w:r>
        <w:rPr>
          <w:rFonts w:ascii="Times New Roman" w:hAnsi="Times New Roman" w:eastAsia="宋体" w:cs="Times New Roman"/>
          <w:b w:val="0"/>
          <w:i w:val="0"/>
          <w:color w:val="1A1A1A"/>
          <w:sz w:val="24"/>
        </w:rPr>
        <w:t>公开逐笔里的序号是交易所给每一笔委托的编号。它连接同一笔委托的申报、撤单和成交，不连接同一个产品、同一个交易员或同一家机构的下一笔委托。营业部代码会出现在会员向交易所申报的指令内容里（规则对申报内容有列举），但不会出现在面向公众的逐笔行情里。</w:t>
      </w:r>
    </w:p>
    <w:p>
      <w:pPr>
        <w:spacing w:after="160" w:before="0" w:line="276" w:lineRule="auto"/>
        <w:ind w:firstLine="420"/>
      </w:pPr>
      <w:r>
        <w:rPr>
          <w:rFonts w:ascii="Times New Roman" w:hAnsi="Times New Roman" w:eastAsia="宋体" w:cs="Times New Roman"/>
          <w:b w:val="0"/>
          <w:i w:val="0"/>
          <w:color w:val="1A1A1A"/>
          <w:sz w:val="24"/>
        </w:rPr>
        <w:t>即便研究者得到会员号，Tóth 等人用整篇论文处理的困难仍然在：会员代理许多客户，客户也可以把委托分给多个会员。有标签的母单研究，例如 Bacry 等人使用的约40万条欧洲投资者母单，依赖的是执行端自己的委托档案，不是从匿名成交带反推出来的。A 股上与之对应的材料是券商或基金的算法委托日志，或者交易所对已报告程序化交易的内部数据。没有这类材料，匿名带上的片段就保持为片段。</w:t>
      </w:r>
    </w:p>
    <w:p>
      <w:pPr>
        <w:spacing w:after="160" w:before="0" w:line="276" w:lineRule="auto"/>
        <w:ind w:firstLine="420"/>
      </w:pPr>
      <w:r>
        <w:rPr>
          <w:rFonts w:ascii="Times New Roman" w:hAnsi="Times New Roman" w:eastAsia="宋体" w:cs="Times New Roman"/>
          <w:b w:val="0"/>
          <w:i w:val="0"/>
          <w:color w:val="1A1A1A"/>
          <w:sz w:val="24"/>
        </w:rPr>
        <w:t>因此，这套方法在标签数据出现之前的上限是：某只股票、某一段连续竞价里，出现了与该股自身噪声不同的执行形态，并且这种形态同时体现在符号流以外的时间或规模上。上限不包括这是谁，也不包括接下来价格会怎样。</w:t>
      </w:r>
    </w:p>
    <w:p>
      <w:pPr>
        <w:pStyle w:val="Heading1"/>
        <w:keepNext/>
        <w:spacing w:before="320" w:after="160" w:line="276" w:lineRule="auto"/>
        <w:ind w:firstLine="0"/>
      </w:pPr>
      <w:r>
        <w:rPr>
          <w:rFonts w:ascii="Times New Roman" w:hAnsi="Times New Roman" w:eastAsia="黑体" w:cs="Times New Roman"/>
          <w:b/>
          <w:i w:val="0"/>
          <w:color w:val="1F3A5F"/>
          <w:sz w:val="32"/>
        </w:rPr>
        <w:t>参考文献</w:t>
      </w:r>
    </w:p>
    <w:p>
      <w:pPr>
        <w:spacing w:after="160" w:before="0" w:line="276" w:lineRule="auto"/>
        <w:ind w:firstLine="420"/>
      </w:pPr>
      <w:r>
        <w:rPr>
          <w:rFonts w:ascii="Times New Roman" w:hAnsi="Times New Roman" w:eastAsia="宋体" w:cs="Times New Roman"/>
          <w:b w:val="0"/>
          <w:i w:val="0"/>
          <w:color w:val="1A1A1A"/>
          <w:sz w:val="24"/>
        </w:rPr>
        <w:t>下列文献和规则文本均在本次写作中核对过标题、作者与年份。卖方研报和当事人访谈单独列出，因为它们不是同行评议，只用于说明公开讨论过的成交占比口径。未核对到原文页码的条目不填写页码。</w:t>
      </w:r>
    </w:p>
    <w:p>
      <w:pPr>
        <w:pStyle w:val="Heading2"/>
        <w:keepNext/>
        <w:spacing w:before="240" w:after="120" w:line="276" w:lineRule="auto"/>
        <w:ind w:firstLine="0"/>
      </w:pPr>
      <w:r>
        <w:rPr>
          <w:rFonts w:ascii="Times New Roman" w:hAnsi="Times New Roman" w:eastAsia="黑体" w:cs="Times New Roman"/>
          <w:b/>
          <w:i w:val="0"/>
          <w:color w:val="1F3A5F"/>
          <w:sz w:val="28"/>
        </w:rPr>
        <w:t>期刊与综述</w:t>
      </w:r>
    </w:p>
    <w:p>
      <w:pPr>
        <w:spacing w:after="80" w:before="0" w:line="264" w:lineRule="auto"/>
        <w:ind w:left="420" w:hanging="420"/>
      </w:pPr>
      <w:r>
        <w:rPr>
          <w:rFonts w:ascii="Times New Roman" w:hAnsi="Times New Roman" w:eastAsia="宋体" w:cs="Times New Roman"/>
          <w:b w:val="0"/>
          <w:i w:val="0"/>
          <w:color w:val="1A1A1A"/>
          <w:sz w:val="21"/>
        </w:rPr>
        <w:t>Andersen, T. G., &amp; Bondarenko, O. (2014). VPIN and the flash crash. Journal of Financial Markets, 17, 1–46.</w:t>
      </w:r>
    </w:p>
    <w:p>
      <w:pPr>
        <w:spacing w:after="80" w:before="0" w:line="264" w:lineRule="auto"/>
        <w:ind w:left="420" w:hanging="420"/>
      </w:pPr>
      <w:r>
        <w:rPr>
          <w:rFonts w:ascii="Times New Roman" w:hAnsi="Times New Roman" w:eastAsia="宋体" w:cs="Times New Roman"/>
          <w:b w:val="0"/>
          <w:i w:val="0"/>
          <w:color w:val="1A1A1A"/>
          <w:sz w:val="21"/>
        </w:rPr>
        <w:t>Andersen, T. G., &amp; Bondarenko, O. (2015). Assessing measures of order flow toxicity and early warning signals for market turbulence. Review of Finance. doi:10.1093/rof/rfu041.</w:t>
      </w:r>
    </w:p>
    <w:p>
      <w:pPr>
        <w:spacing w:after="80" w:before="0" w:line="264" w:lineRule="auto"/>
        <w:ind w:left="420" w:hanging="420"/>
      </w:pPr>
      <w:r>
        <w:rPr>
          <w:rFonts w:ascii="Times New Roman" w:hAnsi="Times New Roman" w:eastAsia="宋体" w:cs="Times New Roman"/>
          <w:b w:val="0"/>
          <w:i w:val="0"/>
          <w:color w:val="1A1A1A"/>
          <w:sz w:val="21"/>
        </w:rPr>
        <w:t>Bacry, E., Iuga, A., Lasnier, M., &amp; Lehalle, C.-A. (2015). Market impacts and the life cycle of investors orders. Market Microstructure and Liquidity. 工作论文版本：arXiv:1412.0217.</w:t>
      </w:r>
    </w:p>
    <w:p>
      <w:pPr>
        <w:spacing w:after="80" w:before="0" w:line="264" w:lineRule="auto"/>
        <w:ind w:left="420" w:hanging="420"/>
      </w:pPr>
      <w:r>
        <w:rPr>
          <w:rFonts w:ascii="Times New Roman" w:hAnsi="Times New Roman" w:eastAsia="宋体" w:cs="Times New Roman"/>
          <w:b w:val="0"/>
          <w:i w:val="0"/>
          <w:color w:val="1A1A1A"/>
          <w:sz w:val="21"/>
        </w:rPr>
        <w:t>Barclay, M. J., &amp; Warner, J. B. (1993). Stealth trading and volatility: Which trades move prices? Journal of Financial Economics, 34(3), 281–305.</w:t>
      </w:r>
    </w:p>
    <w:p>
      <w:pPr>
        <w:spacing w:after="80" w:before="0" w:line="264" w:lineRule="auto"/>
        <w:ind w:left="420" w:hanging="420"/>
      </w:pPr>
      <w:r>
        <w:rPr>
          <w:rFonts w:ascii="Times New Roman" w:hAnsi="Times New Roman" w:eastAsia="宋体" w:cs="Times New Roman"/>
          <w:b w:val="0"/>
          <w:i w:val="0"/>
          <w:color w:val="1A1A1A"/>
          <w:sz w:val="21"/>
        </w:rPr>
        <w:t>Bouchaud, J.-P., Farmer, J. D., &amp; Lillo, F. (2009). How markets slowly digest changes in supply and demand. In T. Hens &amp; K. R. Schenk-Hoppé (Eds.), Handbook of Financial Markets: Dynamics and Evolution. Amsterdam: Elsevier.</w:t>
      </w:r>
    </w:p>
    <w:p>
      <w:pPr>
        <w:spacing w:after="80" w:before="0" w:line="264" w:lineRule="auto"/>
        <w:ind w:left="420" w:hanging="420"/>
      </w:pPr>
      <w:r>
        <w:rPr>
          <w:rFonts w:ascii="Times New Roman" w:hAnsi="Times New Roman" w:eastAsia="宋体" w:cs="Times New Roman"/>
          <w:b w:val="0"/>
          <w:i w:val="0"/>
          <w:color w:val="1A1A1A"/>
          <w:sz w:val="21"/>
        </w:rPr>
        <w:t>Chan, L. K. C., &amp; Lakonishok, J. (1995). The behavior of stock prices around institutional trades. The Journal of Finance, 50(4), 1147–1174.</w:t>
      </w:r>
    </w:p>
    <w:p>
      <w:pPr>
        <w:spacing w:after="80" w:before="0" w:line="264" w:lineRule="auto"/>
        <w:ind w:left="420" w:hanging="420"/>
      </w:pPr>
      <w:r>
        <w:rPr>
          <w:rFonts w:ascii="Times New Roman" w:hAnsi="Times New Roman" w:eastAsia="宋体" w:cs="Times New Roman"/>
          <w:b w:val="0"/>
          <w:i w:val="0"/>
          <w:color w:val="1A1A1A"/>
          <w:sz w:val="21"/>
        </w:rPr>
        <w:t>Cont, R., Kukanov, A., &amp; Stoikov, S. (2014). The price impact of order book events. Journal of Financial Econometrics, 12(1), 47–88.</w:t>
      </w:r>
    </w:p>
    <w:p>
      <w:pPr>
        <w:spacing w:after="80" w:before="0" w:line="264" w:lineRule="auto"/>
        <w:ind w:left="420" w:hanging="420"/>
      </w:pPr>
      <w:r>
        <w:rPr>
          <w:rFonts w:ascii="Times New Roman" w:hAnsi="Times New Roman" w:eastAsia="宋体" w:cs="Times New Roman"/>
          <w:b w:val="0"/>
          <w:i w:val="0"/>
          <w:color w:val="1A1A1A"/>
          <w:sz w:val="21"/>
        </w:rPr>
        <w:t>Easley, D., López de Prado, M., &amp; O’Hara, M. (2012). Flow toxicity and liquidity in a high-frequency world. The Review of Financial Studies, 25(5), 1457–1493.</w:t>
      </w:r>
    </w:p>
    <w:p>
      <w:pPr>
        <w:spacing w:after="80" w:before="0" w:line="264" w:lineRule="auto"/>
        <w:ind w:left="420" w:hanging="420"/>
      </w:pPr>
      <w:r>
        <w:rPr>
          <w:rFonts w:ascii="Times New Roman" w:hAnsi="Times New Roman" w:eastAsia="宋体" w:cs="Times New Roman"/>
          <w:b w:val="0"/>
          <w:i w:val="0"/>
          <w:color w:val="1A1A1A"/>
          <w:sz w:val="21"/>
        </w:rPr>
        <w:t>Hasbrouck, J., &amp; Saar, G. (2013). Low-latency trading. Journal of Financial Markets, 16(4), 646–679.</w:t>
      </w:r>
    </w:p>
    <w:p>
      <w:pPr>
        <w:spacing w:after="80" w:before="0" w:line="264" w:lineRule="auto"/>
        <w:ind w:left="420" w:hanging="420"/>
      </w:pPr>
      <w:r>
        <w:rPr>
          <w:rFonts w:ascii="Times New Roman" w:hAnsi="Times New Roman" w:eastAsia="宋体" w:cs="Times New Roman"/>
          <w:b w:val="0"/>
          <w:i w:val="0"/>
          <w:color w:val="1A1A1A"/>
          <w:sz w:val="21"/>
        </w:rPr>
        <w:t>Kyle, A. S. (1985). Continuous auctions and insider trading. Econometrica, 53(6), 1315–1335.</w:t>
      </w:r>
    </w:p>
    <w:p>
      <w:pPr>
        <w:spacing w:after="80" w:before="0" w:line="264" w:lineRule="auto"/>
        <w:ind w:left="420" w:hanging="420"/>
      </w:pPr>
      <w:r>
        <w:rPr>
          <w:rFonts w:ascii="Times New Roman" w:hAnsi="Times New Roman" w:eastAsia="宋体" w:cs="Times New Roman"/>
          <w:b w:val="0"/>
          <w:i w:val="0"/>
          <w:color w:val="1A1A1A"/>
          <w:sz w:val="21"/>
        </w:rPr>
        <w:t>Lillo, F., &amp; Farmer, J. D. (2004). The long memory of the efficient market. Studies in Nonlinear Dynamics &amp; Econometrics, 8(3).</w:t>
      </w:r>
    </w:p>
    <w:p>
      <w:pPr>
        <w:spacing w:after="80" w:before="0" w:line="264" w:lineRule="auto"/>
        <w:ind w:left="420" w:hanging="420"/>
      </w:pPr>
      <w:r>
        <w:rPr>
          <w:rFonts w:ascii="Times New Roman" w:hAnsi="Times New Roman" w:eastAsia="宋体" w:cs="Times New Roman"/>
          <w:b w:val="0"/>
          <w:i w:val="0"/>
          <w:color w:val="1A1A1A"/>
          <w:sz w:val="21"/>
        </w:rPr>
        <w:t>Lillo, F., Mike, S., &amp; Farmer, J. D. (2005). Theory for long memory in supply and demand. Physical Review E, 71, 066122.</w:t>
      </w:r>
    </w:p>
    <w:p>
      <w:pPr>
        <w:spacing w:after="80" w:before="0" w:line="264" w:lineRule="auto"/>
        <w:ind w:left="420" w:hanging="420"/>
      </w:pPr>
      <w:r>
        <w:rPr>
          <w:rFonts w:ascii="Times New Roman" w:hAnsi="Times New Roman" w:eastAsia="宋体" w:cs="Times New Roman"/>
          <w:b w:val="0"/>
          <w:i w:val="0"/>
          <w:color w:val="1A1A1A"/>
          <w:sz w:val="21"/>
        </w:rPr>
        <w:t>O’Hara, M., Yao, C., &amp; Ye, M. (2014). What’s not there: Odd lots and market data. The Journal of Finance, 69(5), 2199–2236.</w:t>
      </w:r>
    </w:p>
    <w:p>
      <w:pPr>
        <w:spacing w:after="80" w:before="0" w:line="264" w:lineRule="auto"/>
        <w:ind w:left="420" w:hanging="420"/>
      </w:pPr>
      <w:r>
        <w:rPr>
          <w:rFonts w:ascii="Times New Roman" w:hAnsi="Times New Roman" w:eastAsia="宋体" w:cs="Times New Roman"/>
          <w:b w:val="0"/>
          <w:i w:val="0"/>
          <w:color w:val="1A1A1A"/>
          <w:sz w:val="21"/>
        </w:rPr>
        <w:t>Tóth, B., Palit, I., Lillo, F., &amp; Farmer, J. D. (2015). Why is equity order flow so persistent? Journal of Economic Dynamics and Control, 51, 218–239.</w:t>
      </w:r>
    </w:p>
    <w:p>
      <w:pPr>
        <w:spacing w:after="80" w:before="0" w:line="264" w:lineRule="auto"/>
        <w:ind w:left="420" w:hanging="420"/>
      </w:pPr>
      <w:r>
        <w:rPr>
          <w:rFonts w:ascii="Times New Roman" w:hAnsi="Times New Roman" w:eastAsia="宋体" w:cs="Times New Roman"/>
          <w:b w:val="0"/>
          <w:i w:val="0"/>
          <w:color w:val="1A1A1A"/>
          <w:sz w:val="21"/>
        </w:rPr>
        <w:t>Vaglica, G., Lillo, F., Moro, E., &amp; Mantegna, R. N. (2008). Scaling laws of strategic behavior and size heterogeneity in agent dynamics. Physical Review E, 77, 036110.</w:t>
      </w:r>
    </w:p>
    <w:p>
      <w:pPr>
        <w:spacing w:after="80" w:before="0" w:line="264" w:lineRule="auto"/>
        <w:ind w:left="420" w:hanging="420"/>
      </w:pPr>
      <w:r>
        <w:rPr>
          <w:rFonts w:ascii="Times New Roman" w:hAnsi="Times New Roman" w:eastAsia="宋体" w:cs="Times New Roman"/>
          <w:b w:val="0"/>
          <w:i w:val="0"/>
          <w:color w:val="1A1A1A"/>
          <w:sz w:val="21"/>
        </w:rPr>
        <w:t>Zarinelli, E., Treccani, M., Farmer, J. D., &amp; Lillo, F. (2015). Beyond the square root: Evidence for logarithmic dependence of market impact on size and participation rate. Market Microstructure and Liquidity.</w:t>
      </w:r>
    </w:p>
    <w:p>
      <w:pPr>
        <w:spacing w:after="80" w:before="0" w:line="264" w:lineRule="auto"/>
        <w:ind w:left="420" w:hanging="420"/>
      </w:pPr>
      <w:r>
        <w:rPr>
          <w:rFonts w:ascii="Times New Roman" w:hAnsi="Times New Roman" w:eastAsia="宋体" w:cs="Times New Roman"/>
          <w:b w:val="0"/>
          <w:i w:val="0"/>
          <w:color w:val="1A1A1A"/>
          <w:sz w:val="21"/>
        </w:rPr>
        <w:t>王凡（2022）。算法交易提高了我国股票市场的定价效率吗？《南方金融》，第8期，49–64页。</w:t>
      </w:r>
    </w:p>
    <w:p>
      <w:pPr>
        <w:pStyle w:val="Heading2"/>
        <w:keepNext/>
        <w:spacing w:before="240" w:after="120" w:line="276" w:lineRule="auto"/>
        <w:ind w:firstLine="0"/>
      </w:pPr>
      <w:r>
        <w:rPr>
          <w:rFonts w:ascii="Times New Roman" w:hAnsi="Times New Roman" w:eastAsia="黑体" w:cs="Times New Roman"/>
          <w:b/>
          <w:i w:val="0"/>
          <w:color w:val="1F3A5F"/>
          <w:sz w:val="28"/>
        </w:rPr>
        <w:t>规则与行情接口</w:t>
      </w:r>
    </w:p>
    <w:p>
      <w:pPr>
        <w:spacing w:after="80" w:line="264" w:lineRule="auto"/>
        <w:ind w:left="420" w:hanging="420"/>
      </w:pPr>
      <w:r>
        <w:rPr>
          <w:rFonts w:ascii="Times New Roman" w:hAnsi="Times New Roman" w:eastAsia="宋体" w:cs="Times New Roman"/>
          <w:b w:val="0"/>
          <w:i w:val="0"/>
          <w:color w:val="1A1A1A"/>
          <w:sz w:val="21"/>
        </w:rPr>
        <w:t>上海证券交易所（2026）。《上海证券交易所交易规则（2026年修订）》，上证发〔2026〕41号，2026年7月6日施行。本文引用第3.1.4条、第3.1.5条、第3.1.8条、第3.3.8条、第3.3.9条、第3.3.13条、第3.3.14条，以及9:20至9:25、14:57至15:00不接受撤单的规定。科创板涨跌幅和最小申报数量见该规则科创板章节。</w:t>
      </w:r>
    </w:p>
    <w:p>
      <w:pPr>
        <w:spacing w:after="80" w:line="264" w:lineRule="auto"/>
        <w:ind w:left="420" w:hanging="420"/>
      </w:pPr>
      <w:r>
        <w:rPr>
          <w:rFonts w:ascii="Times New Roman" w:hAnsi="Times New Roman" w:eastAsia="宋体" w:cs="Times New Roman"/>
          <w:b w:val="0"/>
          <w:i w:val="0"/>
          <w:color w:val="1A1A1A"/>
          <w:sz w:val="21"/>
        </w:rPr>
        <w:t>上证所信息网络有限公司。LDDS 系统竞价 Level-2 接口说明。本文引用其中的变化全量快照频率（3秒）、周期全量频率、集合竞价与停牌期间逐笔延迟发布、连续竞价中一次性全部撮合订单不发布剩余委托数量，以及成交方向标志（外盘主动买、内盘主动卖、未知）。</w:t>
      </w:r>
    </w:p>
    <w:p>
      <w:pPr>
        <w:pStyle w:val="Heading2"/>
        <w:keepNext/>
        <w:spacing w:before="240" w:after="120" w:line="276" w:lineRule="auto"/>
        <w:ind w:firstLine="0"/>
      </w:pPr>
      <w:r>
        <w:rPr>
          <w:rFonts w:ascii="Times New Roman" w:hAnsi="Times New Roman" w:eastAsia="黑体" w:cs="Times New Roman"/>
          <w:b/>
          <w:i w:val="0"/>
          <w:color w:val="1F3A5F"/>
          <w:sz w:val="28"/>
        </w:rPr>
        <w:t>卖方研报与公开访谈（非同行评议）</w:t>
      </w:r>
    </w:p>
    <w:p>
      <w:pPr>
        <w:spacing w:after="80" w:line="264" w:lineRule="auto"/>
        <w:ind w:left="420" w:hanging="420"/>
      </w:pPr>
      <w:r>
        <w:rPr>
          <w:rFonts w:ascii="Times New Roman" w:hAnsi="Times New Roman" w:eastAsia="宋体" w:cs="Times New Roman"/>
          <w:b w:val="0"/>
          <w:i w:val="0"/>
          <w:color w:val="1A1A1A"/>
          <w:sz w:val="21"/>
        </w:rPr>
        <w:t>东吴证券（2022年2月）。《A股脊梁：机构投资者持仓近五成，成交超三成》。用于2021年上半年机构成交占比的行业估计，不是交易所审计，也不是小单内部结构。</w:t>
      </w:r>
    </w:p>
    <w:p>
      <w:pPr>
        <w:spacing w:after="80" w:line="264" w:lineRule="auto"/>
        <w:ind w:left="420" w:hanging="420"/>
      </w:pPr>
      <w:r>
        <w:rPr>
          <w:rFonts w:ascii="Times New Roman" w:hAnsi="Times New Roman" w:eastAsia="宋体" w:cs="Times New Roman"/>
          <w:b w:val="0"/>
          <w:i w:val="0"/>
          <w:color w:val="1A1A1A"/>
          <w:sz w:val="21"/>
        </w:rPr>
        <w:t>冯佳睿、余浩淼（2021年12月27日）。海通证券《选股因子系列研究（七十五）——限价订单簿（LOB）的还原和应用》。用于沪深逐笔差异和订单簿还原的券商说明。文中关于上交所逐笔按约3秒打包推送的说法，报告自身含有推断，不作为接口规则引用。</w:t>
      </w:r>
    </w:p>
    <w:p>
      <w:pPr>
        <w:spacing w:after="80" w:line="264" w:lineRule="auto"/>
        <w:ind w:left="420" w:hanging="420"/>
      </w:pPr>
      <w:r>
        <w:rPr>
          <w:rFonts w:ascii="Times New Roman" w:hAnsi="Times New Roman" w:eastAsia="宋体" w:cs="Times New Roman"/>
          <w:b w:val="0"/>
          <w:i w:val="0"/>
          <w:color w:val="1A1A1A"/>
          <w:sz w:val="21"/>
        </w:rPr>
        <w:t>关于“程序化交易占成交50%”的公开回应，见于2021年前后的媒体访谈（例如量化管理人关于10%至20%或15%至20%的自述）。这些是当事人陈述，方向上说明50%这一成交占比并未成为行业共识；它们同样不能当作小单里的机构占比。</w:t>
      </w:r>
    </w:p>
    <w:p>
      <w:pPr>
        <w:pStyle w:val="Heading1"/>
        <w:keepNext/>
        <w:spacing w:before="320" w:after="160" w:line="276" w:lineRule="auto"/>
        <w:ind w:firstLine="0"/>
      </w:pPr>
      <w:r>
        <w:rPr>
          <w:rFonts w:ascii="Times New Roman" w:hAnsi="Times New Roman" w:eastAsia="黑体" w:cs="Times New Roman"/>
          <w:b/>
          <w:i w:val="0"/>
          <w:color w:val="1F3A5F"/>
          <w:sz w:val="32"/>
        </w:rPr>
        <w:t>附记</w:t>
      </w:r>
    </w:p>
    <w:p>
      <w:pPr>
        <w:spacing w:after="160" w:before="0" w:line="276" w:lineRule="auto"/>
        <w:ind w:firstLine="420"/>
      </w:pPr>
      <w:r>
        <w:rPr>
          <w:rFonts w:ascii="Times New Roman" w:hAnsi="Times New Roman" w:eastAsia="宋体" w:cs="Times New Roman"/>
          <w:b w:val="0"/>
          <w:i w:val="0"/>
          <w:color w:val="1A1A1A"/>
          <w:sz w:val="24"/>
        </w:rPr>
        <w:t>本文没有使用未核对的论文来填补缺口。冲击曲线的具体指数、VPIN 的桶长、游程参数 Δ 和 ε，都没有给出一个推荐常数。这些常数一旦写成全市场阈值，就会把某一篇论文的样本或某一个数据商的接收节拍，伪装成 A 股个股的性质。需要常数的地方，应以该股自身的分布和该股自身的打乱结果为准，并把参数平台与否写进结果。</w:t>
      </w:r>
    </w:p>
    <w:sectPr w:rsidR="00FC693F" w:rsidRPr="0006063C" w:rsidSect="00034616">
      <w:headerReference w:type="default" r:id="rId9"/>
      <w:footerReference w:type="default" r:id="rId10"/>
      <w:pgSz w:w="11906" w:h="16838"/>
      <w:pgMar w:top="1247" w:right="1304" w:bottom="124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宋体" w:cs="Times New Roman"/>
        <w:b w:val="0"/>
        <w:i w:val="0"/>
        <w:color w:val="555555"/>
        <w:sz w:val="18"/>
      </w:rPr>
      <w:fldChar w:fldCharType="begin"/>
    </w:r>
    <w:r>
      <w:rPr>
        <w:rFonts w:ascii="Times New Roman" w:hAnsi="Times New Roman" w:eastAsia="宋体" w:cs="Times New Roman"/>
        <w:b w:val="0"/>
        <w:i w:val="0"/>
        <w:color w:val="555555"/>
        <w:sz w:val="18"/>
      </w:rPr>
      <w:instrText xml:space="preserve"> PAGE </w:instrText>
    </w:r>
    <w:r>
      <w:rPr>
        <w:rFonts w:ascii="Times New Roman" w:hAnsi="Times New Roman" w:eastAsia="宋体" w:cs="Times New Roman"/>
        <w:b w:val="0"/>
        <w:i w:val="0"/>
        <w:color w:val="55555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eastAsia="宋体" w:cs="Times New Roman"/>
        <w:b w:val="0"/>
        <w:i w:val="0"/>
        <w:color w:val="555555"/>
        <w:sz w:val="18"/>
      </w:rPr>
      <w:t>A股主力行为画像 · 方法论研究 · 不构成交易建议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宋体" w:cs="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A股个股主力行为画像：方法论研究</dc:title>
  <dc:subject>匿名 Level-2 逐笔数据上的执行形态描述边界</dc:subject>
  <dc:creator>python-docx</dc:creator>
  <cp:keywords/>
  <dc:description>描述流量如何运动。不预测涨跌，不构成交易建议。文献仅收录本次核对过的来源。</dc:description>
  <cp:lastModifiedBy/>
  <cp:revision>1</cp:revision>
  <dcterms:created xsi:type="dcterms:W3CDTF">2013-12-23T23:15:00Z</dcterms:created>
  <dcterms:modified xsi:type="dcterms:W3CDTF">2013-12-23T23:15:00Z</dcterms:modified>
  <cp:category>方法论研究</cp:category>
</cp:coreProperties>
</file>