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16F3B" w14:textId="77777777" w:rsidR="001A2177" w:rsidRDefault="001A2177">
      <w:pPr>
        <w:pStyle w:val="1"/>
        <w:ind w:firstLine="866"/>
        <w:rPr>
          <w:rFonts w:hint="eastAsia"/>
        </w:rPr>
      </w:pPr>
      <w:r>
        <w:rPr>
          <w:rFonts w:hint="eastAsia"/>
        </w:rPr>
        <w:t>基于人听觉</w:t>
      </w:r>
      <w:r>
        <w:rPr>
          <w:rFonts w:hint="eastAsia"/>
        </w:rPr>
        <w:t>MDS</w:t>
      </w:r>
      <w:r>
        <w:rPr>
          <w:rFonts w:hint="eastAsia"/>
        </w:rPr>
        <w:t>模型与噪声增强的多特征融合</w:t>
      </w:r>
    </w:p>
    <w:p w14:paraId="7A14FDD3" w14:textId="77777777" w:rsidR="001A2177" w:rsidRDefault="001A2177">
      <w:pPr>
        <w:ind w:firstLine="549"/>
        <w:jc w:val="center"/>
        <w:rPr>
          <w:rFonts w:ascii="楷体_GB2312" w:eastAsia="楷体_GB2312" w:hint="eastAsia"/>
          <w:sz w:val="28"/>
          <w:szCs w:val="28"/>
        </w:rPr>
      </w:pPr>
      <w:r>
        <w:rPr>
          <w:rFonts w:ascii="楷体_GB2312" w:eastAsia="楷体_GB2312" w:hint="eastAsia"/>
          <w:sz w:val="28"/>
          <w:szCs w:val="28"/>
        </w:rPr>
        <w:t>孟东风</w:t>
      </w:r>
      <w:r>
        <w:rPr>
          <w:rFonts w:ascii="楷体_GB2312" w:eastAsia="楷体_GB2312" w:hint="eastAsia"/>
          <w:sz w:val="28"/>
          <w:szCs w:val="28"/>
          <w:vertAlign w:val="superscript"/>
        </w:rPr>
        <w:t>1</w:t>
      </w:r>
      <w:r>
        <w:rPr>
          <w:rFonts w:ascii="楷体_GB2312" w:eastAsia="楷体_GB2312" w:hint="eastAsia"/>
          <w:sz w:val="28"/>
          <w:szCs w:val="28"/>
        </w:rPr>
        <w:t>，</w:t>
      </w:r>
      <w:r>
        <w:rPr>
          <w:rFonts w:ascii="楷体_GB2312" w:eastAsia="楷体_GB2312" w:hint="eastAsia"/>
          <w:sz w:val="28"/>
          <w:szCs w:val="28"/>
        </w:rPr>
        <w:t>高延峰</w:t>
      </w:r>
      <w:r>
        <w:rPr>
          <w:rFonts w:ascii="楷体_GB2312" w:eastAsia="楷体_GB2312" w:hint="eastAsia"/>
          <w:sz w:val="28"/>
          <w:szCs w:val="28"/>
          <w:vertAlign w:val="superscript"/>
        </w:rPr>
        <w:t>2</w:t>
      </w:r>
      <w:r>
        <w:rPr>
          <w:rFonts w:ascii="楷体_GB2312" w:eastAsia="楷体_GB2312" w:hint="eastAsia"/>
          <w:sz w:val="28"/>
          <w:szCs w:val="28"/>
        </w:rPr>
        <w:t>，作者</w:t>
      </w:r>
      <w:r>
        <w:rPr>
          <w:rFonts w:ascii="楷体_GB2312" w:eastAsia="楷体_GB2312" w:hint="eastAsia"/>
          <w:sz w:val="28"/>
          <w:szCs w:val="28"/>
        </w:rPr>
        <w:t>3</w:t>
      </w:r>
      <w:r>
        <w:rPr>
          <w:rFonts w:ascii="楷体_GB2312" w:eastAsia="楷体_GB2312" w:hint="eastAsia"/>
          <w:sz w:val="28"/>
          <w:szCs w:val="28"/>
          <w:vertAlign w:val="superscript"/>
        </w:rPr>
        <w:t>1</w:t>
      </w:r>
      <w:r>
        <w:rPr>
          <w:rFonts w:ascii="楷体_GB2312" w:eastAsia="楷体_GB2312" w:hint="eastAsia"/>
          <w:sz w:val="28"/>
          <w:szCs w:val="28"/>
        </w:rPr>
        <w:t>，……</w:t>
      </w:r>
      <w:r>
        <w:rPr>
          <w:rFonts w:ascii="楷体_GB2312" w:eastAsia="楷体_GB2312" w:hint="eastAsia"/>
          <w:color w:val="0000CC"/>
          <w:sz w:val="28"/>
          <w:szCs w:val="28"/>
        </w:rPr>
        <w:t>(</w:t>
      </w:r>
      <w:r>
        <w:rPr>
          <w:rFonts w:ascii="楷体_GB2312" w:eastAsia="楷体_GB2312" w:hint="eastAsia"/>
          <w:color w:val="0000CC"/>
          <w:sz w:val="28"/>
          <w:szCs w:val="28"/>
        </w:rPr>
        <w:t>四号楷体，居中</w:t>
      </w:r>
      <w:r>
        <w:rPr>
          <w:rFonts w:ascii="楷体_GB2312" w:eastAsia="楷体_GB2312" w:hint="eastAsia"/>
          <w:color w:val="0000CC"/>
          <w:sz w:val="28"/>
          <w:szCs w:val="28"/>
        </w:rPr>
        <w:t>)</w:t>
      </w:r>
    </w:p>
    <w:p w14:paraId="125A8E3A" w14:textId="77777777" w:rsidR="001A2177" w:rsidRDefault="001A2177">
      <w:pPr>
        <w:spacing w:afterLines="50" w:after="156"/>
        <w:jc w:val="center"/>
        <w:rPr>
          <w:rFonts w:ascii="楷体_GB2312" w:eastAsia="楷体_GB2312" w:hint="eastAsia"/>
          <w:sz w:val="21"/>
        </w:rPr>
      </w:pPr>
      <w:r>
        <w:rPr>
          <w:rFonts w:ascii="楷体_GB2312" w:eastAsia="楷体_GB2312" w:hint="eastAsia"/>
          <w:sz w:val="21"/>
        </w:rPr>
        <w:t xml:space="preserve">(1. </w:t>
      </w:r>
      <w:r>
        <w:rPr>
          <w:rFonts w:ascii="楷体_GB2312" w:eastAsia="楷体_GB2312" w:hint="eastAsia"/>
          <w:sz w:val="21"/>
        </w:rPr>
        <w:t>学校</w:t>
      </w:r>
      <w:r>
        <w:rPr>
          <w:rFonts w:ascii="楷体_GB2312" w:eastAsia="楷体_GB2312" w:hint="eastAsia"/>
          <w:sz w:val="21"/>
        </w:rPr>
        <w:t xml:space="preserve"> </w:t>
      </w:r>
      <w:r>
        <w:rPr>
          <w:rFonts w:ascii="楷体_GB2312" w:eastAsia="楷体_GB2312" w:hint="eastAsia"/>
          <w:sz w:val="21"/>
        </w:rPr>
        <w:t>院、系名，省份</w:t>
      </w:r>
      <w:r>
        <w:rPr>
          <w:rFonts w:ascii="楷体_GB2312" w:eastAsia="楷体_GB2312" w:hint="eastAsia"/>
          <w:sz w:val="21"/>
        </w:rPr>
        <w:t xml:space="preserve"> </w:t>
      </w:r>
      <w:r>
        <w:rPr>
          <w:rFonts w:ascii="楷体_GB2312" w:eastAsia="楷体_GB2312" w:hint="eastAsia"/>
          <w:sz w:val="21"/>
        </w:rPr>
        <w:t>城市</w:t>
      </w:r>
      <w:r>
        <w:rPr>
          <w:rFonts w:ascii="楷体_GB2312" w:eastAsia="楷体_GB2312" w:hint="eastAsia"/>
          <w:sz w:val="21"/>
        </w:rPr>
        <w:t xml:space="preserve"> </w:t>
      </w:r>
      <w:r>
        <w:rPr>
          <w:rFonts w:ascii="楷体_GB2312" w:eastAsia="楷体_GB2312" w:hint="eastAsia"/>
          <w:sz w:val="21"/>
        </w:rPr>
        <w:t>邮编；</w:t>
      </w:r>
      <w:r>
        <w:rPr>
          <w:rFonts w:ascii="楷体_GB2312" w:eastAsia="楷体_GB2312" w:hint="eastAsia"/>
          <w:sz w:val="21"/>
        </w:rPr>
        <w:t xml:space="preserve">2. </w:t>
      </w:r>
      <w:r>
        <w:rPr>
          <w:rFonts w:ascii="楷体_GB2312" w:eastAsia="楷体_GB2312" w:hint="eastAsia"/>
          <w:sz w:val="21"/>
        </w:rPr>
        <w:t>单位名称，省份</w:t>
      </w:r>
      <w:r>
        <w:rPr>
          <w:rFonts w:ascii="楷体_GB2312" w:eastAsia="楷体_GB2312" w:hint="eastAsia"/>
          <w:sz w:val="21"/>
        </w:rPr>
        <w:t xml:space="preserve"> </w:t>
      </w:r>
      <w:r>
        <w:rPr>
          <w:rFonts w:ascii="楷体_GB2312" w:eastAsia="楷体_GB2312" w:hint="eastAsia"/>
          <w:sz w:val="21"/>
        </w:rPr>
        <w:t>城市</w:t>
      </w:r>
      <w:r>
        <w:rPr>
          <w:rFonts w:ascii="楷体_GB2312" w:eastAsia="楷体_GB2312" w:hint="eastAsia"/>
          <w:sz w:val="21"/>
        </w:rPr>
        <w:t xml:space="preserve"> </w:t>
      </w:r>
      <w:r>
        <w:rPr>
          <w:rFonts w:ascii="楷体_GB2312" w:eastAsia="楷体_GB2312" w:hint="eastAsia"/>
          <w:sz w:val="21"/>
        </w:rPr>
        <w:t>邮编</w:t>
      </w:r>
      <w:r>
        <w:rPr>
          <w:rFonts w:ascii="楷体_GB2312" w:eastAsia="楷体_GB2312" w:hint="eastAsia"/>
          <w:sz w:val="21"/>
        </w:rPr>
        <w:t>)</w:t>
      </w:r>
      <w:r>
        <w:rPr>
          <w:rFonts w:ascii="楷体_GB2312" w:eastAsia="楷体_GB2312" w:hint="eastAsia"/>
          <w:color w:val="0000CC"/>
          <w:sz w:val="21"/>
        </w:rPr>
        <w:t>(</w:t>
      </w:r>
      <w:r>
        <w:rPr>
          <w:rFonts w:ascii="楷体_GB2312" w:eastAsia="楷体_GB2312" w:hint="eastAsia"/>
          <w:color w:val="0000CC"/>
          <w:sz w:val="21"/>
        </w:rPr>
        <w:t>五号楷体，居中</w:t>
      </w:r>
      <w:r>
        <w:rPr>
          <w:rFonts w:ascii="楷体_GB2312" w:eastAsia="楷体_GB2312" w:hint="eastAsia"/>
          <w:color w:val="0000CC"/>
          <w:sz w:val="21"/>
        </w:rPr>
        <w:t>)</w:t>
      </w:r>
    </w:p>
    <w:p w14:paraId="370F033D" w14:textId="77777777" w:rsidR="001A2177" w:rsidRDefault="001A2177">
      <w:pPr>
        <w:ind w:firstLineChars="200" w:firstLine="480"/>
        <w:rPr>
          <w:rFonts w:ascii="黑体" w:eastAsia="黑体" w:hint="eastAsia"/>
          <w:sz w:val="21"/>
        </w:rPr>
      </w:pPr>
      <w:r>
        <w:rPr>
          <w:rFonts w:ascii="黑体" w:eastAsia="黑体" w:hint="eastAsia"/>
          <w:szCs w:val="18"/>
        </w:rPr>
        <w:t>摘要</w:t>
      </w:r>
      <w:r>
        <w:rPr>
          <w:rFonts w:ascii="黑体" w:eastAsia="黑体" w:hint="eastAsia"/>
          <w:sz w:val="21"/>
        </w:rPr>
        <w:t>：</w:t>
      </w:r>
      <w:r>
        <w:rPr>
          <w:rFonts w:ascii="黑体" w:eastAsia="黑体" w:hint="eastAsia"/>
          <w:color w:val="0000CC"/>
          <w:szCs w:val="18"/>
        </w:rPr>
        <w:t>(</w:t>
      </w:r>
      <w:r>
        <w:rPr>
          <w:rFonts w:ascii="黑体" w:eastAsia="黑体" w:hint="eastAsia"/>
          <w:color w:val="0000CC"/>
          <w:szCs w:val="18"/>
        </w:rPr>
        <w:t>小五号黑体，缩进两格</w:t>
      </w:r>
      <w:r>
        <w:rPr>
          <w:rFonts w:ascii="黑体" w:eastAsia="黑体" w:hint="eastAsia"/>
          <w:color w:val="0000CC"/>
          <w:szCs w:val="18"/>
        </w:rPr>
        <w:t>)</w:t>
      </w:r>
      <w:r>
        <w:rPr>
          <w:rFonts w:ascii="楷体_GB2312" w:eastAsia="楷体_GB2312" w:hint="eastAsia"/>
          <w:szCs w:val="18"/>
        </w:rPr>
        <w:t>在航空航天等高端制造领域，焊接熔透状态对接头力学性能和服役可靠性具有决定性影响。传统熔透状态监测方法多依赖焊后无损检测或电弧电压、电流等单一信号，存在响应滞后、对环境噪声敏感以及对复杂工况适应性不足等问题。焊接电弧声信号作为过程本身的内禀表征，包含了电弧–熔池–键孔耦合作用的丰富信息，若能有效挖掘其特征并建立与熔透状态之间的映射关系，有望实现焊接质量的在线智能监测。本文以直流正接非熔化极惰性气体保护焊（</w:t>
      </w:r>
      <w:r>
        <w:rPr>
          <w:rFonts w:ascii="楷体_GB2312" w:eastAsia="楷体_GB2312" w:hint="eastAsia"/>
          <w:szCs w:val="18"/>
        </w:rPr>
        <w:t>TIG</w:t>
      </w:r>
      <w:r>
        <w:rPr>
          <w:rFonts w:ascii="楷体_GB2312" w:eastAsia="楷体_GB2312" w:hint="eastAsia"/>
          <w:szCs w:val="18"/>
        </w:rPr>
        <w:t>）过程中采集的电弧声为研究对象，围绕未熔透、完全熔透与过熔透三种典型焊缝状态，开展了焊接电弧声学机理分析、试验平台搭建、信号特征提取以及熔透状态识别方法研究。首先，从焊接工艺与电弧–熔池耦合机理出发，分析了不同熔透状态下电弧声在声压级、频谱质心、频带能量分布以及能量稳定性等方面的差异。然后，构建</w:t>
      </w:r>
      <w:r>
        <w:rPr>
          <w:rFonts w:ascii="楷体_GB2312" w:eastAsia="楷体_GB2312" w:hint="eastAsia"/>
          <w:szCs w:val="18"/>
        </w:rPr>
        <w:t xml:space="preserve"> TIG </w:t>
      </w:r>
      <w:r>
        <w:rPr>
          <w:rFonts w:ascii="楷体_GB2312" w:eastAsia="楷体_GB2312" w:hint="eastAsia"/>
          <w:szCs w:val="18"/>
        </w:rPr>
        <w:t>焊接与声学采集试验平台，系统采集并标注不同熔透状态下的电弧声数据。在此基础上，本文设计了包括预处理、传统声学特征、感知相关特征、主观感知嵌入以及深度学习特征在内的多源特征体系，并基于主观不相似度–多维尺度分析（</w:t>
      </w:r>
      <w:r>
        <w:rPr>
          <w:rFonts w:ascii="楷体_GB2312" w:eastAsia="楷体_GB2312" w:hint="eastAsia"/>
          <w:szCs w:val="18"/>
        </w:rPr>
        <w:t>MDS/Isomap</w:t>
      </w:r>
      <w:r>
        <w:rPr>
          <w:rFonts w:ascii="楷体_GB2312" w:eastAsia="楷体_GB2312" w:hint="eastAsia"/>
          <w:szCs w:val="18"/>
        </w:rPr>
        <w:t>）构建低维“人耳音色空间”。进一步地，提出了融合物</w:t>
      </w:r>
      <w:r>
        <w:rPr>
          <w:rFonts w:ascii="楷体_GB2312" w:eastAsia="楷体_GB2312" w:hint="eastAsia"/>
          <w:szCs w:val="18"/>
        </w:rPr>
        <w:t>理可解释特征与主观感知嵌入的熔透状态识别方法，引入距离核</w:t>
      </w:r>
      <w:r>
        <w:rPr>
          <w:rFonts w:ascii="楷体_GB2312" w:eastAsia="楷体_GB2312" w:hint="eastAsia"/>
          <w:szCs w:val="18"/>
        </w:rPr>
        <w:t xml:space="preserve"> SVM </w:t>
      </w:r>
      <w:r>
        <w:rPr>
          <w:rFonts w:ascii="楷体_GB2312" w:eastAsia="楷体_GB2312" w:hint="eastAsia"/>
          <w:szCs w:val="18"/>
        </w:rPr>
        <w:t>与</w:t>
      </w:r>
      <w:r>
        <w:rPr>
          <w:rFonts w:ascii="楷体_GB2312" w:eastAsia="楷体_GB2312" w:hint="eastAsia"/>
          <w:szCs w:val="18"/>
        </w:rPr>
        <w:t xml:space="preserve"> CNN+MDS </w:t>
      </w:r>
      <w:r>
        <w:rPr>
          <w:rFonts w:ascii="楷体_GB2312" w:eastAsia="楷体_GB2312" w:hint="eastAsia"/>
          <w:szCs w:val="18"/>
        </w:rPr>
        <w:t>等模型，并通过噪声增强策略系统评估方法在不同信噪比条件下的鲁棒性。实验结果表明，所提多源特征融合方案在强噪声环境下仍能保持较高的宏平均</w:t>
      </w:r>
      <w:r>
        <w:rPr>
          <w:rFonts w:ascii="楷体_GB2312" w:eastAsia="楷体_GB2312" w:hint="eastAsia"/>
          <w:szCs w:val="18"/>
        </w:rPr>
        <w:t xml:space="preserve"> F1 </w:t>
      </w:r>
      <w:r>
        <w:rPr>
          <w:rFonts w:ascii="楷体_GB2312" w:eastAsia="楷体_GB2312" w:hint="eastAsia"/>
          <w:szCs w:val="18"/>
        </w:rPr>
        <w:t>值和较低的误判率，为构建基于焊接声的熔透状态在线监测系统提供了可行技术路径。</w:t>
      </w:r>
      <w:r>
        <w:rPr>
          <w:rFonts w:ascii="楷体_GB2312" w:eastAsia="楷体_GB2312" w:hint="eastAsia"/>
          <w:sz w:val="21"/>
        </w:rPr>
        <w:t>……</w:t>
      </w:r>
      <w:r>
        <w:rPr>
          <w:rFonts w:ascii="楷体_GB2312" w:eastAsia="楷体_GB2312" w:hint="eastAsia"/>
          <w:color w:val="0000CC"/>
          <w:szCs w:val="18"/>
        </w:rPr>
        <w:t>(</w:t>
      </w:r>
      <w:r>
        <w:rPr>
          <w:rFonts w:ascii="楷体_GB2312" w:eastAsia="楷体_GB2312" w:hint="eastAsia"/>
          <w:color w:val="0000CC"/>
          <w:szCs w:val="18"/>
        </w:rPr>
        <w:t>小五号楷体</w:t>
      </w:r>
      <w:r>
        <w:rPr>
          <w:rFonts w:ascii="楷体_GB2312" w:eastAsia="楷体_GB2312" w:hint="eastAsia"/>
          <w:color w:val="0000CC"/>
          <w:szCs w:val="18"/>
        </w:rPr>
        <w:t>)</w:t>
      </w:r>
    </w:p>
    <w:p w14:paraId="55FC0F87" w14:textId="77777777" w:rsidR="001A2177" w:rsidRDefault="001A2177">
      <w:pPr>
        <w:ind w:firstLineChars="200" w:firstLine="480"/>
        <w:rPr>
          <w:rFonts w:hint="eastAsia"/>
          <w:color w:val="FF0000"/>
          <w:szCs w:val="18"/>
        </w:rPr>
      </w:pPr>
      <w:r>
        <w:rPr>
          <w:color w:val="FF0000"/>
          <w:szCs w:val="18"/>
        </w:rPr>
        <w:t>【说明：摘要长度</w:t>
      </w:r>
      <w:r>
        <w:rPr>
          <w:color w:val="FF0000"/>
          <w:szCs w:val="18"/>
        </w:rPr>
        <w:t>200</w:t>
      </w:r>
      <w:r>
        <w:rPr>
          <w:color w:val="FF0000"/>
          <w:szCs w:val="18"/>
        </w:rPr>
        <w:t>～</w:t>
      </w:r>
      <w:r>
        <w:rPr>
          <w:color w:val="FF0000"/>
          <w:szCs w:val="18"/>
        </w:rPr>
        <w:t>300</w:t>
      </w:r>
      <w:r>
        <w:rPr>
          <w:color w:val="FF0000"/>
          <w:szCs w:val="18"/>
        </w:rPr>
        <w:t>字</w:t>
      </w:r>
      <w:r>
        <w:rPr>
          <w:rFonts w:hint="eastAsia"/>
          <w:color w:val="FF0000"/>
          <w:szCs w:val="18"/>
        </w:rPr>
        <w:t>。</w:t>
      </w:r>
      <w:r>
        <w:rPr>
          <w:color w:val="FF0000"/>
          <w:szCs w:val="18"/>
        </w:rPr>
        <w:t>摘要一律采用第三人称表述，不使用</w:t>
      </w:r>
      <w:r>
        <w:rPr>
          <w:color w:val="FF0000"/>
          <w:szCs w:val="18"/>
        </w:rPr>
        <w:t>“</w:t>
      </w:r>
      <w:r>
        <w:rPr>
          <w:color w:val="FF0000"/>
          <w:szCs w:val="18"/>
        </w:rPr>
        <w:t>本文</w:t>
      </w:r>
      <w:r>
        <w:rPr>
          <w:color w:val="FF0000"/>
          <w:szCs w:val="18"/>
        </w:rPr>
        <w:t>”</w:t>
      </w:r>
      <w:r>
        <w:rPr>
          <w:color w:val="FF0000"/>
          <w:szCs w:val="18"/>
        </w:rPr>
        <w:t>、</w:t>
      </w:r>
      <w:r>
        <w:rPr>
          <w:color w:val="FF0000"/>
          <w:szCs w:val="18"/>
        </w:rPr>
        <w:t>“</w:t>
      </w:r>
      <w:r>
        <w:rPr>
          <w:color w:val="FF0000"/>
          <w:szCs w:val="18"/>
        </w:rPr>
        <w:t>文章</w:t>
      </w:r>
      <w:r>
        <w:rPr>
          <w:color w:val="FF0000"/>
          <w:szCs w:val="18"/>
        </w:rPr>
        <w:t>”</w:t>
      </w:r>
      <w:r>
        <w:rPr>
          <w:color w:val="FF0000"/>
          <w:szCs w:val="18"/>
        </w:rPr>
        <w:t>、</w:t>
      </w:r>
      <w:r>
        <w:rPr>
          <w:color w:val="FF0000"/>
          <w:szCs w:val="18"/>
        </w:rPr>
        <w:t>“</w:t>
      </w:r>
      <w:r>
        <w:rPr>
          <w:color w:val="FF0000"/>
          <w:szCs w:val="18"/>
        </w:rPr>
        <w:t>作者</w:t>
      </w:r>
      <w:r>
        <w:rPr>
          <w:color w:val="FF0000"/>
          <w:szCs w:val="18"/>
        </w:rPr>
        <w:t>”</w:t>
      </w:r>
      <w:r>
        <w:rPr>
          <w:color w:val="FF0000"/>
          <w:szCs w:val="18"/>
        </w:rPr>
        <w:t>、</w:t>
      </w:r>
      <w:r>
        <w:rPr>
          <w:color w:val="FF0000"/>
          <w:szCs w:val="18"/>
        </w:rPr>
        <w:t>“</w:t>
      </w:r>
      <w:r>
        <w:rPr>
          <w:color w:val="FF0000"/>
          <w:szCs w:val="18"/>
        </w:rPr>
        <w:t>本研究</w:t>
      </w:r>
      <w:r>
        <w:rPr>
          <w:color w:val="FF0000"/>
          <w:szCs w:val="18"/>
        </w:rPr>
        <w:t>”</w:t>
      </w:r>
      <w:r>
        <w:rPr>
          <w:color w:val="FF0000"/>
          <w:szCs w:val="18"/>
        </w:rPr>
        <w:t>等作为主语。】</w:t>
      </w:r>
    </w:p>
    <w:p w14:paraId="41EC9C1D" w14:textId="77777777" w:rsidR="001A2177" w:rsidRDefault="001A2177">
      <w:pPr>
        <w:ind w:firstLineChars="200" w:firstLine="480"/>
        <w:rPr>
          <w:rFonts w:ascii="黑体" w:eastAsia="黑体" w:hint="eastAsia"/>
          <w:sz w:val="21"/>
        </w:rPr>
      </w:pPr>
      <w:r>
        <w:rPr>
          <w:rFonts w:ascii="黑体" w:eastAsia="黑体" w:hint="eastAsia"/>
          <w:szCs w:val="18"/>
        </w:rPr>
        <w:t>关键词</w:t>
      </w:r>
      <w:r>
        <w:rPr>
          <w:rFonts w:ascii="黑体" w:eastAsia="黑体" w:hint="eastAsia"/>
          <w:sz w:val="21"/>
        </w:rPr>
        <w:t>：</w:t>
      </w:r>
      <w:r>
        <w:rPr>
          <w:rFonts w:ascii="楷体_GB2312" w:eastAsia="楷体_GB2312" w:hint="eastAsia"/>
          <w:szCs w:val="18"/>
        </w:rPr>
        <w:t xml:space="preserve">TIG </w:t>
      </w:r>
      <w:r>
        <w:rPr>
          <w:rFonts w:ascii="楷体_GB2312" w:eastAsia="楷体_GB2312" w:hint="eastAsia"/>
          <w:szCs w:val="18"/>
        </w:rPr>
        <w:t>焊；电弧声；熔透状态识别；多维尺度分析；多特征融合；噪声鲁棒性</w:t>
      </w:r>
    </w:p>
    <w:p w14:paraId="2D2DD7DB" w14:textId="77777777" w:rsidR="001A2177" w:rsidRDefault="001A2177">
      <w:pPr>
        <w:ind w:firstLineChars="200" w:firstLine="480"/>
        <w:rPr>
          <w:rFonts w:hint="eastAsia"/>
          <w:color w:val="FF0000"/>
          <w:szCs w:val="18"/>
        </w:rPr>
      </w:pPr>
      <w:r>
        <w:rPr>
          <w:rFonts w:hint="eastAsia"/>
          <w:color w:val="FF0000"/>
          <w:szCs w:val="18"/>
        </w:rPr>
        <w:t>【</w:t>
      </w:r>
      <w:r>
        <w:rPr>
          <w:color w:val="FF0000"/>
          <w:szCs w:val="18"/>
        </w:rPr>
        <w:t>说明：</w:t>
      </w:r>
      <w:r>
        <w:rPr>
          <w:rFonts w:hint="eastAsia"/>
          <w:color w:val="FF0000"/>
          <w:szCs w:val="18"/>
        </w:rPr>
        <w:t>关键词中至少有两个来自</w:t>
      </w:r>
      <w:r>
        <w:rPr>
          <w:rFonts w:hint="eastAsia"/>
          <w:color w:val="FF0000"/>
          <w:szCs w:val="18"/>
        </w:rPr>
        <w:t>EI</w:t>
      </w:r>
      <w:r>
        <w:rPr>
          <w:rFonts w:hint="eastAsia"/>
          <w:color w:val="FF0000"/>
          <w:szCs w:val="18"/>
        </w:rPr>
        <w:t>控词表。一般高校数字图书馆均可查到。】</w:t>
      </w:r>
    </w:p>
    <w:p w14:paraId="52BEC5CC" w14:textId="77777777" w:rsidR="001A2177" w:rsidRDefault="001A2177">
      <w:pPr>
        <w:ind w:firstLineChars="200" w:firstLine="480"/>
        <w:rPr>
          <w:rFonts w:ascii="黑体" w:eastAsia="黑体" w:hint="eastAsia"/>
          <w:color w:val="0000CC"/>
          <w:szCs w:val="18"/>
        </w:rPr>
      </w:pPr>
      <w:r>
        <w:rPr>
          <w:rFonts w:ascii="黑体" w:eastAsia="黑体" w:hint="eastAsia"/>
          <w:szCs w:val="18"/>
        </w:rPr>
        <w:t>中图分类号</w:t>
      </w:r>
      <w:r>
        <w:rPr>
          <w:rFonts w:ascii="黑体" w:eastAsia="黑体" w:hint="eastAsia"/>
          <w:sz w:val="21"/>
        </w:rPr>
        <w:t>：</w:t>
      </w:r>
      <w:r>
        <w:rPr>
          <w:rFonts w:ascii="黑体" w:eastAsia="黑体" w:hint="eastAsia"/>
          <w:color w:val="0000CC"/>
          <w:szCs w:val="18"/>
        </w:rPr>
        <w:t>(</w:t>
      </w:r>
      <w:r>
        <w:rPr>
          <w:rFonts w:ascii="黑体" w:eastAsia="黑体" w:hint="eastAsia"/>
          <w:color w:val="0000CC"/>
          <w:szCs w:val="18"/>
        </w:rPr>
        <w:t>小五号黑体，缩进两格</w:t>
      </w:r>
      <w:r>
        <w:rPr>
          <w:rFonts w:ascii="黑体" w:eastAsia="黑体" w:hint="eastAsia"/>
          <w:color w:val="0000CC"/>
          <w:szCs w:val="18"/>
        </w:rPr>
        <w:t>)</w:t>
      </w:r>
      <w:r>
        <w:rPr>
          <w:b/>
          <w:szCs w:val="18"/>
        </w:rPr>
        <w:t>TM 344.1</w:t>
      </w:r>
      <w:r>
        <w:rPr>
          <w:rFonts w:hint="eastAsia"/>
          <w:b/>
          <w:color w:val="0000CC"/>
          <w:szCs w:val="18"/>
        </w:rPr>
        <w:t>(</w:t>
      </w:r>
      <w:r>
        <w:rPr>
          <w:rFonts w:hint="eastAsia"/>
          <w:b/>
          <w:color w:val="0000CC"/>
          <w:szCs w:val="18"/>
        </w:rPr>
        <w:t>小五号</w:t>
      </w:r>
      <w:r>
        <w:rPr>
          <w:rFonts w:hint="eastAsia"/>
          <w:b/>
          <w:color w:val="0000CC"/>
          <w:szCs w:val="18"/>
        </w:rPr>
        <w:t>Times New Roman</w:t>
      </w:r>
      <w:r>
        <w:rPr>
          <w:rFonts w:hint="eastAsia"/>
          <w:b/>
          <w:color w:val="0000CC"/>
          <w:szCs w:val="18"/>
        </w:rPr>
        <w:t>体，加粗</w:t>
      </w:r>
      <w:r>
        <w:rPr>
          <w:rFonts w:hint="eastAsia"/>
          <w:b/>
          <w:color w:val="0000CC"/>
          <w:szCs w:val="18"/>
        </w:rPr>
        <w:t>)</w:t>
      </w:r>
      <w:r>
        <w:rPr>
          <w:rFonts w:hint="eastAsia"/>
          <w:color w:val="0000CC"/>
          <w:szCs w:val="18"/>
        </w:rPr>
        <w:t xml:space="preserve">    </w:t>
      </w:r>
      <w:r>
        <w:rPr>
          <w:rFonts w:ascii="黑体" w:eastAsia="黑体" w:hint="eastAsia"/>
          <w:szCs w:val="18"/>
        </w:rPr>
        <w:t>文献标志码：</w:t>
      </w:r>
      <w:r>
        <w:rPr>
          <w:rFonts w:ascii="黑体" w:eastAsia="黑体" w:hint="eastAsia"/>
          <w:color w:val="0000CC"/>
          <w:szCs w:val="18"/>
        </w:rPr>
        <w:t>(</w:t>
      </w:r>
      <w:r>
        <w:rPr>
          <w:rFonts w:ascii="黑体" w:eastAsia="黑体" w:hint="eastAsia"/>
          <w:color w:val="0000CC"/>
          <w:szCs w:val="18"/>
        </w:rPr>
        <w:t>小五号黑体，前空四格</w:t>
      </w:r>
      <w:r>
        <w:rPr>
          <w:rFonts w:ascii="黑体" w:eastAsia="黑体" w:hint="eastAsia"/>
          <w:color w:val="0000CC"/>
          <w:szCs w:val="18"/>
        </w:rPr>
        <w:t>)</w:t>
      </w:r>
      <w:r>
        <w:rPr>
          <w:rFonts w:eastAsia="黑体"/>
          <w:b/>
          <w:szCs w:val="18"/>
        </w:rPr>
        <w:t>A</w:t>
      </w:r>
      <w:r>
        <w:rPr>
          <w:rFonts w:hint="eastAsia"/>
          <w:b/>
          <w:color w:val="0000CC"/>
          <w:szCs w:val="18"/>
        </w:rPr>
        <w:t>(</w:t>
      </w:r>
      <w:r>
        <w:rPr>
          <w:rFonts w:hint="eastAsia"/>
          <w:b/>
          <w:color w:val="0000CC"/>
          <w:szCs w:val="18"/>
        </w:rPr>
        <w:t>小五号</w:t>
      </w:r>
      <w:r>
        <w:rPr>
          <w:rFonts w:hint="eastAsia"/>
          <w:b/>
          <w:color w:val="0000CC"/>
          <w:szCs w:val="18"/>
        </w:rPr>
        <w:t>Times New Roman</w:t>
      </w:r>
      <w:r>
        <w:rPr>
          <w:rFonts w:hint="eastAsia"/>
          <w:b/>
          <w:color w:val="0000CC"/>
          <w:szCs w:val="18"/>
        </w:rPr>
        <w:t>体，加粗</w:t>
      </w:r>
      <w:r>
        <w:rPr>
          <w:rFonts w:hint="eastAsia"/>
          <w:b/>
          <w:color w:val="0000CC"/>
          <w:szCs w:val="18"/>
        </w:rPr>
        <w:t>)</w:t>
      </w:r>
    </w:p>
    <w:p w14:paraId="7BB709C2" w14:textId="77777777" w:rsidR="001A2177" w:rsidRDefault="001A2177">
      <w:pPr>
        <w:ind w:firstLineChars="200" w:firstLine="480"/>
        <w:outlineLvl w:val="0"/>
        <w:rPr>
          <w:rFonts w:ascii="黑体" w:eastAsia="黑体" w:hint="eastAsia"/>
          <w:color w:val="0000CC"/>
          <w:szCs w:val="18"/>
        </w:rPr>
      </w:pPr>
      <w:r>
        <w:rPr>
          <w:rFonts w:hint="eastAsia"/>
          <w:color w:val="FF0000"/>
          <w:szCs w:val="18"/>
        </w:rPr>
        <w:t>【</w:t>
      </w:r>
      <w:r>
        <w:rPr>
          <w:color w:val="FF0000"/>
          <w:szCs w:val="18"/>
        </w:rPr>
        <w:t>说明：</w:t>
      </w:r>
      <w:r>
        <w:rPr>
          <w:rFonts w:hint="eastAsia"/>
          <w:color w:val="FF0000"/>
          <w:szCs w:val="18"/>
        </w:rPr>
        <w:t>请查阅</w:t>
      </w:r>
      <w:hyperlink r:id="rId6" w:history="1">
        <w:r>
          <w:rPr>
            <w:rFonts w:hint="eastAsia"/>
            <w:color w:val="FF0000"/>
            <w:szCs w:val="18"/>
          </w:rPr>
          <w:t>中国图书馆分类法</w:t>
        </w:r>
        <w:r>
          <w:rPr>
            <w:rFonts w:hint="eastAsia"/>
            <w:color w:val="FF0000"/>
            <w:szCs w:val="18"/>
          </w:rPr>
          <w:t>(</w:t>
        </w:r>
        <w:r>
          <w:rPr>
            <w:rFonts w:hint="eastAsia"/>
            <w:color w:val="FF0000"/>
            <w:szCs w:val="18"/>
          </w:rPr>
          <w:t>第</w:t>
        </w:r>
        <w:r>
          <w:rPr>
            <w:rFonts w:hint="eastAsia"/>
            <w:color w:val="FF0000"/>
            <w:szCs w:val="18"/>
          </w:rPr>
          <w:t>4</w:t>
        </w:r>
        <w:r>
          <w:rPr>
            <w:rFonts w:hint="eastAsia"/>
            <w:color w:val="FF0000"/>
            <w:szCs w:val="18"/>
          </w:rPr>
          <w:t>版</w:t>
        </w:r>
        <w:r>
          <w:rPr>
            <w:rFonts w:hint="eastAsia"/>
            <w:color w:val="FF0000"/>
            <w:szCs w:val="18"/>
          </w:rPr>
          <w:t>)</w:t>
        </w:r>
      </w:hyperlink>
      <w:r>
        <w:rPr>
          <w:rFonts w:hint="eastAsia"/>
          <w:color w:val="FF0000"/>
          <w:szCs w:val="18"/>
        </w:rPr>
        <w:t>(</w:t>
      </w:r>
      <w:r>
        <w:rPr>
          <w:rFonts w:hint="eastAsia"/>
          <w:color w:val="FF0000"/>
          <w:szCs w:val="18"/>
        </w:rPr>
        <w:t>一般要有</w:t>
      </w:r>
      <w:r>
        <w:rPr>
          <w:rFonts w:hint="eastAsia"/>
          <w:color w:val="FF0000"/>
          <w:szCs w:val="18"/>
        </w:rPr>
        <w:t>3</w:t>
      </w:r>
      <w:r>
        <w:rPr>
          <w:rFonts w:hint="eastAsia"/>
          <w:color w:val="FF0000"/>
          <w:szCs w:val="18"/>
        </w:rPr>
        <w:t>位数字，如</w:t>
      </w:r>
      <w:r>
        <w:rPr>
          <w:rFonts w:hint="eastAsia"/>
          <w:color w:val="FF0000"/>
          <w:szCs w:val="18"/>
        </w:rPr>
        <w:t>TM 344.1)</w:t>
      </w:r>
      <w:r>
        <w:rPr>
          <w:rFonts w:hint="eastAsia"/>
          <w:color w:val="FF0000"/>
          <w:szCs w:val="18"/>
        </w:rPr>
        <w:t>】</w:t>
      </w:r>
    </w:p>
    <w:p w14:paraId="37FE51D6" w14:textId="77777777" w:rsidR="001A2177" w:rsidRDefault="001A2177">
      <w:pPr>
        <w:pStyle w:val="2"/>
        <w:ind w:firstLine="551"/>
        <w:rPr>
          <w:rFonts w:hint="eastAsia"/>
        </w:rPr>
      </w:pPr>
      <w:r>
        <w:rPr>
          <w:rFonts w:hint="eastAsia"/>
        </w:rPr>
        <w:t xml:space="preserve">1 </w:t>
      </w:r>
      <w:r>
        <w:rPr>
          <w:rFonts w:hint="eastAsia"/>
        </w:rPr>
        <w:t>引言</w:t>
      </w:r>
      <w:r>
        <w:rPr>
          <w:rFonts w:hint="eastAsia"/>
        </w:rPr>
        <w:t>(</w:t>
      </w:r>
      <w:r>
        <w:rPr>
          <w:rFonts w:hint="eastAsia"/>
        </w:rPr>
        <w:t>四号宋体，加粗，顶格</w:t>
      </w:r>
      <w:r>
        <w:rPr>
          <w:rFonts w:hint="eastAsia"/>
        </w:rPr>
        <w:t>)</w:t>
      </w:r>
    </w:p>
    <w:p w14:paraId="32964A0C" w14:textId="77777777" w:rsidR="001A2177" w:rsidRDefault="001A2177">
      <w:pPr>
        <w:ind w:firstLine="470"/>
        <w:rPr>
          <w:rFonts w:hint="eastAsia"/>
        </w:rPr>
      </w:pPr>
      <w:r>
        <w:rPr>
          <w:rFonts w:hint="eastAsia"/>
        </w:rPr>
        <w:lastRenderedPageBreak/>
        <w:t>熔透状态是评价焊接接头成形质量和服役安全性的重要指标之一。对于航空航天等高可靠性结构，未熔透会导致有效承载截面不足，过熔透和焊穿则可能引起根部缺陷和结构弱化，因此在焊接过程中实时监测熔透状态具有重要工程意义。目前，工业现场仍以焊后无损检测和焊工经验判断为主，存在检测滞后、成本较高和依赖人工经验等问题，难以满足高端制造对焊接质量在线监控的需求。</w:t>
      </w:r>
    </w:p>
    <w:p w14:paraId="4AA376E4" w14:textId="77777777" w:rsidR="001A2177" w:rsidRDefault="001A2177">
      <w:pPr>
        <w:ind w:firstLine="470"/>
        <w:rPr>
          <w:rFonts w:hint="eastAsia"/>
        </w:rPr>
      </w:pPr>
      <w:r>
        <w:rPr>
          <w:rFonts w:hint="eastAsia"/>
        </w:rPr>
        <w:t>随着传感技术和智能算法的发展，基于过程信号的焊接质量监测方法受到广泛关注。电压、电流、光谱、视觉和声学信号等多类传感手段已在不同焊接工艺中得到应用。然而，单一信号往往仅反映电弧或熔池行为的某一侧面，对复杂熔透状态的判别能力有限。电弧声信号作为电弧等离子体膨胀、气体湍流以及熔池行为综合作用的结果，天然承载了焊接过程的丰富动态信息，若能实现声学信号与熔透状态之间的有效关联，将为开发非接触式、实时性强的焊接质量监测技术提供新的途径。</w:t>
      </w:r>
    </w:p>
    <w:p w14:paraId="7C14DC12" w14:textId="77777777" w:rsidR="001A2177" w:rsidRDefault="001A2177">
      <w:pPr>
        <w:ind w:firstLine="470"/>
        <w:rPr>
          <w:rFonts w:hint="eastAsia"/>
        </w:rPr>
      </w:pPr>
      <w:r>
        <w:rPr>
          <w:rFonts w:hint="eastAsia"/>
        </w:rPr>
        <w:t>目前，国内外学者在焊接质量监测方面开展了大量研究工作。基于电压、电流的监测方法结构简单、易于工程集成，但对焊缝成形和内部缺陷的反映较为间接。视觉和红外成像能够直观表征熔池形态和温度分布，但对焊接环境光、烟雾遮挡以及设备布局较为敏感。光谱信号则主要反映等离子体成分和温度，对于熔透状态判别仍需复杂数据建模。相比之下，焊接声信号具有非接触、易布置、对电磁干扰不敏感等优势，近年来逐渐成为研究热点之一。</w:t>
      </w:r>
    </w:p>
    <w:p w14:paraId="474B972C" w14:textId="77777777" w:rsidR="001A2177" w:rsidRDefault="001A2177">
      <w:pPr>
        <w:ind w:firstLine="470"/>
        <w:rPr>
          <w:rFonts w:hint="eastAsia"/>
        </w:rPr>
      </w:pPr>
      <w:r>
        <w:rPr>
          <w:rFonts w:hint="eastAsia"/>
        </w:rPr>
        <w:t>在声学监测方面，已有工作尝试利用时域能量、频谱分布、声压级和小波包能量等特征，对电弧稳定性、飞溅行为以及焊接缺陷进行分析和识别。一些研究引入了短时傅里叶变换、连续小波变换等时频分析方法，结合机器学习分类器实现焊接状态识别。然而多数学者主要从客观信号角度设计特征，缺乏对“声学机理–主观听感–特征空间”之间关系的系统研究，对噪声环境下的鲁棒性分析也相对不足。</w:t>
      </w:r>
    </w:p>
    <w:p w14:paraId="39F35DE8" w14:textId="77777777" w:rsidR="001A2177" w:rsidRDefault="001A2177">
      <w:pPr>
        <w:ind w:firstLine="470"/>
        <w:rPr>
          <w:rFonts w:hint="eastAsia"/>
        </w:rPr>
      </w:pPr>
      <w:r>
        <w:rPr>
          <w:rFonts w:hint="eastAsia"/>
        </w:rPr>
        <w:t>综合现有研究可以发现，基于焊接声的熔透状态识别仍面临若干关键问题：其一，电弧声产生机理复杂，不同熔透状态下熔池和键孔行为差异较大，如何从物理机理层面解释声学特征的变化趋势仍有待深入；其二，传统特征往往侧重于能量和频谱形状，对焊工主观听感难以充分刻画，缺乏从“人耳感知空间”构建特征的系统方法；其三，焊接现场噪声强且多变，如何提高基于声音的熔透识别算法在低信噪比工况下的稳定性，是走向工程应用的关键。</w:t>
      </w:r>
    </w:p>
    <w:p w14:paraId="48666ED6" w14:textId="77777777" w:rsidR="001A2177" w:rsidRDefault="001A2177">
      <w:pPr>
        <w:ind w:firstLine="470"/>
        <w:rPr>
          <w:rFonts w:hint="eastAsia"/>
        </w:rPr>
      </w:pPr>
      <w:r>
        <w:rPr>
          <w:rFonts w:hint="eastAsia"/>
        </w:rPr>
        <w:t>因此，本文拟围绕以下问题展开研究：一是分析直流正接</w:t>
      </w:r>
      <w:r>
        <w:rPr>
          <w:rFonts w:hint="eastAsia"/>
        </w:rPr>
        <w:t xml:space="preserve"> TIG </w:t>
      </w:r>
      <w:r>
        <w:rPr>
          <w:rFonts w:hint="eastAsia"/>
        </w:rPr>
        <w:t>工艺下电弧声的声学机理及其与熔透状态的关联；二是构建兼具物理可解释性与感知相关性的多源声学特征体系；三是利用主观成对比较与多维尺度分析构建焊接声的感知嵌入空间；四是设计具有噪声鲁棒性的熔透状态识别方法，并通过系统实验进行验证。</w:t>
      </w:r>
    </w:p>
    <w:p w14:paraId="1CB6F49E" w14:textId="77777777" w:rsidR="001A2177" w:rsidRDefault="001A2177">
      <w:pPr>
        <w:ind w:firstLineChars="0" w:firstLine="0"/>
        <w:rPr>
          <w:rFonts w:hint="eastAsia"/>
        </w:rPr>
      </w:pPr>
      <w:r>
        <w:rPr>
          <w:rFonts w:hint="eastAsia"/>
        </w:rPr>
        <w:lastRenderedPageBreak/>
        <w:t>图</w:t>
      </w:r>
      <w:r>
        <w:rPr>
          <w:rFonts w:hint="eastAsia"/>
        </w:rPr>
        <w:t xml:space="preserve">x </w:t>
      </w:r>
      <w:r>
        <w:rPr>
          <w:rFonts w:cs="宋体"/>
          <w:szCs w:val="24"/>
        </w:rPr>
        <w:t>论文研究思路与技术路线图</w:t>
      </w:r>
      <w:r>
        <w:rPr>
          <w:rFonts w:cs="宋体" w:hint="eastAsia"/>
          <w:szCs w:val="24"/>
        </w:rPr>
        <w:t>（</w:t>
      </w:r>
      <w:r>
        <w:rPr>
          <w:rFonts w:cs="宋体"/>
          <w:szCs w:val="24"/>
        </w:rPr>
        <w:t>整体展示从</w:t>
      </w:r>
      <w:r>
        <w:rPr>
          <w:rFonts w:cs="宋体"/>
          <w:szCs w:val="24"/>
        </w:rPr>
        <w:t>“</w:t>
      </w:r>
      <w:r>
        <w:rPr>
          <w:rFonts w:cs="宋体"/>
          <w:szCs w:val="24"/>
        </w:rPr>
        <w:t>焊接过程</w:t>
      </w:r>
      <w:r>
        <w:rPr>
          <w:rFonts w:cs="宋体"/>
          <w:szCs w:val="24"/>
        </w:rPr>
        <w:t xml:space="preserve"> → </w:t>
      </w:r>
      <w:r>
        <w:rPr>
          <w:rFonts w:cs="宋体"/>
          <w:szCs w:val="24"/>
        </w:rPr>
        <w:t>声信号采集</w:t>
      </w:r>
      <w:r>
        <w:rPr>
          <w:rFonts w:cs="宋体"/>
          <w:szCs w:val="24"/>
        </w:rPr>
        <w:t xml:space="preserve"> → </w:t>
      </w:r>
      <w:r>
        <w:rPr>
          <w:rFonts w:cs="宋体"/>
          <w:szCs w:val="24"/>
        </w:rPr>
        <w:t>多源特征提取</w:t>
      </w:r>
      <w:r>
        <w:rPr>
          <w:rFonts w:cs="宋体"/>
          <w:szCs w:val="24"/>
        </w:rPr>
        <w:t xml:space="preserve"> → MDS </w:t>
      </w:r>
      <w:r>
        <w:rPr>
          <w:rFonts w:cs="宋体"/>
          <w:szCs w:val="24"/>
        </w:rPr>
        <w:t>感知嵌入</w:t>
      </w:r>
      <w:r>
        <w:rPr>
          <w:rFonts w:cs="宋体"/>
          <w:szCs w:val="24"/>
        </w:rPr>
        <w:t xml:space="preserve"> → </w:t>
      </w:r>
      <w:r>
        <w:rPr>
          <w:rFonts w:cs="宋体"/>
          <w:szCs w:val="24"/>
        </w:rPr>
        <w:t>多模型分类</w:t>
      </w:r>
      <w:r>
        <w:rPr>
          <w:rFonts w:cs="宋体"/>
          <w:szCs w:val="24"/>
        </w:rPr>
        <w:t xml:space="preserve"> → </w:t>
      </w:r>
      <w:r>
        <w:rPr>
          <w:rFonts w:cs="宋体"/>
          <w:szCs w:val="24"/>
        </w:rPr>
        <w:t>熔透状态识别</w:t>
      </w:r>
      <w:r>
        <w:rPr>
          <w:rFonts w:cs="宋体"/>
          <w:szCs w:val="24"/>
        </w:rPr>
        <w:t>”</w:t>
      </w:r>
      <w:r>
        <w:rPr>
          <w:rFonts w:cs="宋体"/>
          <w:szCs w:val="24"/>
        </w:rPr>
        <w:t>的流程</w:t>
      </w:r>
      <w:r>
        <w:rPr>
          <w:rFonts w:cs="宋体" w:hint="eastAsia"/>
          <w:szCs w:val="24"/>
        </w:rPr>
        <w:t>）</w:t>
      </w:r>
    </w:p>
    <w:p w14:paraId="31D301F4" w14:textId="77777777" w:rsidR="001A2177" w:rsidRDefault="001A2177">
      <w:pPr>
        <w:ind w:firstLine="470"/>
        <w:rPr>
          <w:rFonts w:hint="eastAsia"/>
        </w:rPr>
      </w:pPr>
      <w:r>
        <w:rPr>
          <w:rFonts w:hint="eastAsia"/>
        </w:rPr>
        <w:t>针对上述问题，本文的主要工作和创新点概括如下：第一，从焊接工艺与熔池–电弧耦合出发，系统分析直流正接</w:t>
      </w:r>
      <w:r>
        <w:rPr>
          <w:rFonts w:hint="eastAsia"/>
        </w:rPr>
        <w:t xml:space="preserve"> TIG </w:t>
      </w:r>
      <w:r>
        <w:rPr>
          <w:rFonts w:hint="eastAsia"/>
        </w:rPr>
        <w:t>条件下未熔透、完全熔透与过熔透三种焊缝状态的声学差异，建立了熔透状态与声压级、频谱质心、频带能量分布及能量稳定性之间的联系。第二，构建了包括传统时频特征、感知相关特征以及基于主观不相似度的</w:t>
      </w:r>
      <w:r>
        <w:rPr>
          <w:rFonts w:hint="eastAsia"/>
        </w:rPr>
        <w:t xml:space="preserve"> MDS </w:t>
      </w:r>
      <w:r>
        <w:rPr>
          <w:rFonts w:hint="eastAsia"/>
        </w:rPr>
        <w:t>感知嵌入在内的多源声学特征体系，兼顾物理可解释性与主观听感表达能力。</w:t>
      </w:r>
    </w:p>
    <w:p w14:paraId="06FEBC18" w14:textId="77777777" w:rsidR="001A2177" w:rsidRDefault="001A2177">
      <w:pPr>
        <w:ind w:firstLine="470"/>
        <w:rPr>
          <w:rFonts w:hint="eastAsia"/>
        </w:rPr>
      </w:pPr>
      <w:r>
        <w:rPr>
          <w:rFonts w:hint="eastAsia"/>
        </w:rPr>
        <w:t>第三，引入主观成对比较实验获取焊接声不相似度矩阵，并采用</w:t>
      </w:r>
      <w:r>
        <w:rPr>
          <w:rFonts w:hint="eastAsia"/>
        </w:rPr>
        <w:t xml:space="preserve"> MDS/Isomap </w:t>
      </w:r>
      <w:r>
        <w:rPr>
          <w:rFonts w:hint="eastAsia"/>
        </w:rPr>
        <w:t>构建低维“人耳音色空间”，在此基础上设计了距离核</w:t>
      </w:r>
      <w:r>
        <w:rPr>
          <w:rFonts w:hint="eastAsia"/>
        </w:rPr>
        <w:t xml:space="preserve"> SVM </w:t>
      </w:r>
      <w:r>
        <w:rPr>
          <w:rFonts w:hint="eastAsia"/>
        </w:rPr>
        <w:t>及</w:t>
      </w:r>
      <w:r>
        <w:rPr>
          <w:rFonts w:hint="eastAsia"/>
        </w:rPr>
        <w:t xml:space="preserve"> CNN+MDS </w:t>
      </w:r>
      <w:r>
        <w:rPr>
          <w:rFonts w:hint="eastAsia"/>
        </w:rPr>
        <w:t>融合模型，实现了在感知几何上的熔透状态判别。第四，通过噪声增强策略系统评估所提方法在</w:t>
      </w:r>
      <w:r>
        <w:rPr>
          <w:rFonts w:hint="eastAsia"/>
        </w:rPr>
        <w:t xml:space="preserve"> SNR </w:t>
      </w:r>
      <w:r>
        <w:rPr>
          <w:rFonts w:hint="eastAsia"/>
        </w:rPr>
        <w:t>从清洁到</w:t>
      </w:r>
      <w:r>
        <w:rPr>
          <w:rFonts w:hint="eastAsia"/>
        </w:rPr>
        <w:t xml:space="preserve"> 0.5 dB </w:t>
      </w:r>
      <w:r>
        <w:rPr>
          <w:rFonts w:hint="eastAsia"/>
        </w:rPr>
        <w:t>多级噪声条件下的鲁棒性，结果表明多源特征融合与感知嵌入可显著提升熔透状态识别性能，为基于焊接声的在线质量监测提供了新的思路。</w:t>
      </w:r>
    </w:p>
    <w:p w14:paraId="75829F03" w14:textId="77777777" w:rsidR="001A2177" w:rsidRDefault="001A2177">
      <w:pPr>
        <w:pStyle w:val="2"/>
        <w:ind w:firstLine="551"/>
        <w:rPr>
          <w:rFonts w:hint="eastAsia"/>
          <w:bCs/>
        </w:rPr>
      </w:pPr>
      <w:r>
        <w:rPr>
          <w:rFonts w:hint="eastAsia"/>
          <w:bCs/>
        </w:rPr>
        <w:t>2</w:t>
      </w:r>
      <w:r>
        <w:rPr>
          <w:rFonts w:hint="eastAsia"/>
          <w:bCs/>
        </w:rPr>
        <w:t xml:space="preserve"> </w:t>
      </w:r>
      <w:r>
        <w:rPr>
          <w:rFonts w:hint="eastAsia"/>
          <w:bCs/>
        </w:rPr>
        <w:t>焊接工艺与电弧声学机理分析</w:t>
      </w:r>
    </w:p>
    <w:p w14:paraId="2F1B1C12" w14:textId="77777777" w:rsidR="001A2177" w:rsidRDefault="001A2177">
      <w:pPr>
        <w:pStyle w:val="3"/>
        <w:ind w:firstLine="472"/>
        <w:rPr>
          <w:rFonts w:hint="eastAsia"/>
        </w:rPr>
      </w:pPr>
      <w:r>
        <w:rPr>
          <w:rFonts w:hint="eastAsia"/>
        </w:rPr>
        <w:t>2</w:t>
      </w:r>
      <w:r>
        <w:rPr>
          <w:rFonts w:hint="eastAsia"/>
        </w:rPr>
        <w:t xml:space="preserve">.1 </w:t>
      </w:r>
      <w:r>
        <w:rPr>
          <w:rFonts w:hint="eastAsia"/>
        </w:rPr>
        <w:t>焊接工艺方案及熔透状态定义</w:t>
      </w:r>
    </w:p>
    <w:p w14:paraId="3E109A42" w14:textId="77777777" w:rsidR="001A2177" w:rsidRDefault="001A2177">
      <w:pPr>
        <w:ind w:firstLine="470"/>
        <w:rPr>
          <w:rFonts w:hint="eastAsia"/>
        </w:rPr>
      </w:pPr>
      <w:r>
        <w:rPr>
          <w:rFonts w:hint="eastAsia"/>
        </w:rPr>
        <w:t>本文采用非熔化极惰性气体保护焊（</w:t>
      </w:r>
      <w:r>
        <w:rPr>
          <w:rFonts w:hint="eastAsia"/>
        </w:rPr>
        <w:t>TIG</w:t>
      </w:r>
      <w:r>
        <w:rPr>
          <w:rFonts w:hint="eastAsia"/>
        </w:rPr>
        <w:t>）对铝合金板材进行单道焊接试验。焊接电源为佳士</w:t>
      </w:r>
      <w:r>
        <w:rPr>
          <w:rFonts w:hint="eastAsia"/>
        </w:rPr>
        <w:t xml:space="preserve"> JASIC-TIG300S </w:t>
      </w:r>
      <w:r>
        <w:rPr>
          <w:rFonts w:hint="eastAsia"/>
        </w:rPr>
        <w:t>直流钨极氩弧焊机，钨极选用直径</w:t>
      </w:r>
      <w:r>
        <w:rPr>
          <w:rFonts w:hint="eastAsia"/>
        </w:rPr>
        <w:t xml:space="preserve"> 2.4 mm </w:t>
      </w:r>
      <w:r>
        <w:rPr>
          <w:rFonts w:hint="eastAsia"/>
        </w:rPr>
        <w:t>的钍钨电极，工作方式为直流正接，即电源正极接工件、钨极为负极。在该极性下，大部分热量集中于工件，有利于形成稳定熔池并减小钨极烧损。保护气体为纯氩，流量根据焊接参数进行合理设置，以保证电弧稳定燃烧和熔池充分保护。</w:t>
      </w:r>
    </w:p>
    <w:p w14:paraId="1DFAA6E7" w14:textId="77777777" w:rsidR="001A2177" w:rsidRDefault="001A2177">
      <w:pPr>
        <w:ind w:firstLine="470"/>
        <w:rPr>
          <w:rFonts w:hint="eastAsia"/>
        </w:rPr>
      </w:pPr>
      <w:r>
        <w:rPr>
          <w:rFonts w:hint="eastAsia"/>
        </w:rPr>
        <w:t>通过调节焊接电流和焊接速度，本文构造了三种典型熔透状态：未熔透（热输入不足、焊缝根部未完全熔透）、完全熔透（熔池贯穿板厚且成形良好）以及过熔透</w:t>
      </w:r>
      <w:r>
        <w:rPr>
          <w:rFonts w:hint="eastAsia"/>
        </w:rPr>
        <w:t>/</w:t>
      </w:r>
      <w:r>
        <w:rPr>
          <w:rFonts w:hint="eastAsia"/>
        </w:rPr>
        <w:t>焊穿（热输入过大导致根部金属下垂或穿孔）。熔透状态的判定主要依据焊后截面宏观观察和金相分析，以保证声信号标签的准确性。不同熔透状态下，熔池形态、键孔行为和电弧根部附着方式存在本质差异，为声学分析提供了物理基础。</w:t>
      </w:r>
    </w:p>
    <w:p w14:paraId="33E1A5FD" w14:textId="77777777" w:rsidR="001A2177" w:rsidRDefault="001A2177">
      <w:pPr>
        <w:ind w:firstLineChars="0" w:firstLine="0"/>
        <w:jc w:val="center"/>
      </w:pPr>
      <w:r>
        <w:rPr>
          <w:rFonts w:hint="eastAsia"/>
        </w:rPr>
        <w:t>图</w:t>
      </w:r>
      <w:r>
        <w:rPr>
          <w:rFonts w:hint="eastAsia"/>
        </w:rPr>
        <w:t xml:space="preserve">x </w:t>
      </w:r>
      <w:r>
        <w:rPr>
          <w:rFonts w:cs="宋体"/>
          <w:szCs w:val="24"/>
        </w:rPr>
        <w:t>三种熔透状态焊缝截面对比图</w:t>
      </w:r>
    </w:p>
    <w:p w14:paraId="72A9ABFB" w14:textId="77777777" w:rsidR="001A2177" w:rsidRDefault="001A2177">
      <w:pPr>
        <w:pStyle w:val="3"/>
        <w:ind w:firstLine="472"/>
        <w:rPr>
          <w:rFonts w:hint="eastAsia"/>
        </w:rPr>
      </w:pPr>
      <w:r>
        <w:rPr>
          <w:rFonts w:hint="eastAsia"/>
        </w:rPr>
        <w:t>2</w:t>
      </w:r>
      <w:r>
        <w:rPr>
          <w:rFonts w:hint="eastAsia"/>
        </w:rPr>
        <w:t xml:space="preserve">.2 </w:t>
      </w:r>
      <w:r>
        <w:t xml:space="preserve">TIG </w:t>
      </w:r>
      <w:r>
        <w:t>电弧声产生机理及基本特性</w:t>
      </w:r>
    </w:p>
    <w:p w14:paraId="7237AA8D" w14:textId="77777777" w:rsidR="001A2177" w:rsidRDefault="001A2177">
      <w:pPr>
        <w:ind w:firstLineChars="0" w:firstLine="420"/>
        <w:rPr>
          <w:rFonts w:hint="eastAsia"/>
        </w:rPr>
      </w:pPr>
      <w:r>
        <w:rPr>
          <w:rFonts w:hint="eastAsia"/>
        </w:rPr>
        <w:t xml:space="preserve">TIG </w:t>
      </w:r>
      <w:r>
        <w:rPr>
          <w:rFonts w:hint="eastAsia"/>
        </w:rPr>
        <w:t>电弧声主要由电弧等离子体的周期性膨胀、气体射流湍流以及熔池表面振荡诱发的压力波叠加形成。</w:t>
      </w:r>
      <w:r>
        <w:rPr>
          <w:rFonts w:hint="eastAsia"/>
        </w:rPr>
        <w:t>在</w:t>
      </w:r>
      <w:r>
        <w:rPr>
          <w:rFonts w:hint="eastAsia"/>
        </w:rPr>
        <w:t>直流正接条件下，等离子体柱较为细长稳定，电弧根部附着区域受工件表面形貌和熔池流动影响而缓慢变化。在频域上，</w:t>
      </w:r>
      <w:r>
        <w:rPr>
          <w:rFonts w:hint="eastAsia"/>
        </w:rPr>
        <w:t xml:space="preserve">TIG </w:t>
      </w:r>
      <w:r>
        <w:rPr>
          <w:rFonts w:hint="eastAsia"/>
        </w:rPr>
        <w:t>电弧声通常表现为以中高频为主的宽</w:t>
      </w:r>
      <w:r>
        <w:rPr>
          <w:rFonts w:hint="eastAsia"/>
        </w:rPr>
        <w:lastRenderedPageBreak/>
        <w:t>带噪声，其中几百</w:t>
      </w:r>
      <w:r>
        <w:rPr>
          <w:rFonts w:hint="eastAsia"/>
        </w:rPr>
        <w:t xml:space="preserve"> Hz </w:t>
      </w:r>
      <w:r>
        <w:rPr>
          <w:rFonts w:hint="eastAsia"/>
        </w:rPr>
        <w:t>至数</w:t>
      </w:r>
      <w:r>
        <w:rPr>
          <w:rFonts w:hint="eastAsia"/>
        </w:rPr>
        <w:t xml:space="preserve"> kHz </w:t>
      </w:r>
      <w:r>
        <w:rPr>
          <w:rFonts w:hint="eastAsia"/>
        </w:rPr>
        <w:t>频带集中反映等离子体膨胀和气流湍流，低于数百</w:t>
      </w:r>
      <w:r>
        <w:rPr>
          <w:rFonts w:hint="eastAsia"/>
        </w:rPr>
        <w:t xml:space="preserve"> Hz </w:t>
      </w:r>
      <w:r>
        <w:rPr>
          <w:rFonts w:hint="eastAsia"/>
        </w:rPr>
        <w:t>的成分更多与熔池和键孔的低频振荡相关。</w:t>
      </w:r>
    </w:p>
    <w:p w14:paraId="5C96D27D" w14:textId="77777777" w:rsidR="001A2177" w:rsidRDefault="001A2177">
      <w:pPr>
        <w:ind w:firstLineChars="0" w:firstLine="420"/>
        <w:rPr>
          <w:rFonts w:hint="eastAsia"/>
        </w:rPr>
      </w:pPr>
      <w:r>
        <w:rPr>
          <w:rFonts w:hint="eastAsia"/>
        </w:rPr>
        <w:t>与短路过渡等熔化极焊接工艺不同，</w:t>
      </w:r>
      <w:r>
        <w:rPr>
          <w:rFonts w:hint="eastAsia"/>
        </w:rPr>
        <w:t xml:space="preserve">TIG </w:t>
      </w:r>
      <w:r>
        <w:rPr>
          <w:rFonts w:hint="eastAsia"/>
        </w:rPr>
        <w:t>焊接不存在规律性的熔滴过渡和爆裂过程，故声信号中很少出现孤立的高幅度脉冲，时间波形以持续的“嘶嘶</w:t>
      </w:r>
      <w:r>
        <w:rPr>
          <w:rFonts w:hint="eastAsia"/>
        </w:rPr>
        <w:t>/</w:t>
      </w:r>
      <w:r>
        <w:rPr>
          <w:rFonts w:hint="eastAsia"/>
        </w:rPr>
        <w:t>沙沙”声为主。频谱形状则呈现较为平滑的宽带分布，高频区域不含明显窄带共振峰。在此背景下，不同熔透状态之间的声学差异主要体现在整体声压级、频谱质心位置、各频带能量比例以及能量随时间的稳定性上。</w:t>
      </w:r>
    </w:p>
    <w:p w14:paraId="2115FB93" w14:textId="77777777" w:rsidR="001A2177" w:rsidRDefault="001A2177">
      <w:pPr>
        <w:pStyle w:val="3"/>
        <w:ind w:firstLine="472"/>
      </w:pPr>
      <w:r>
        <w:rPr>
          <w:rFonts w:hint="eastAsia"/>
        </w:rPr>
        <w:t xml:space="preserve">2.3 </w:t>
      </w:r>
      <w:r>
        <w:t>不同熔透状态下的电弧声学差异</w:t>
      </w:r>
    </w:p>
    <w:p w14:paraId="6360FB09" w14:textId="77777777" w:rsidR="001A2177" w:rsidRDefault="001A2177">
      <w:pPr>
        <w:ind w:firstLine="470"/>
      </w:pPr>
      <w:r>
        <w:t>未熔透工况下，熔池浅、热量主要集中于表面层，电弧根部附着面积较小，对电弧束缚作用有限。此时电弧声整体声压级相对较低，频谱质心偏低，低、中、高频段能量分布较为均衡，但短时能量包络存在较明显波动，反映出电弧</w:t>
      </w:r>
      <w:r>
        <w:t>–</w:t>
      </w:r>
      <w:r>
        <w:t>熔池耦合过程中的轻微不稳定性。主观听感上表现为声压偏低、略带起伏的</w:t>
      </w:r>
      <w:r>
        <w:t>“</w:t>
      </w:r>
      <w:r>
        <w:t>轻嘶声</w:t>
      </w:r>
      <w:r>
        <w:t>”</w:t>
      </w:r>
      <w:r>
        <w:t>。</w:t>
      </w:r>
    </w:p>
    <w:p w14:paraId="1A8B70CC" w14:textId="77777777" w:rsidR="001A2177" w:rsidRDefault="001A2177">
      <w:pPr>
        <w:ind w:firstLine="470"/>
      </w:pPr>
      <w:r>
        <w:t>完全熔透时，熔池贯穿板厚并形成稳定的导热通道，电弧</w:t>
      </w:r>
      <w:r>
        <w:t>–</w:t>
      </w:r>
      <w:r>
        <w:t>熔池</w:t>
      </w:r>
      <w:r>
        <w:t>–</w:t>
      </w:r>
      <w:r>
        <w:t>根部之间耦合关系最为稳定。此时电弧声的声压级最高，高频能量占比较高，频谱平坦度较大，短时能量变化平滑，整体呈现</w:t>
      </w:r>
      <w:r>
        <w:t>“</w:t>
      </w:r>
      <w:r>
        <w:t>响而稳</w:t>
      </w:r>
      <w:r>
        <w:t>”</w:t>
      </w:r>
      <w:r>
        <w:t>的宽带噪声。过熔透</w:t>
      </w:r>
      <w:r>
        <w:t>/</w:t>
      </w:r>
      <w:r>
        <w:t>焊穿工况下，熔池过深甚至形成根部金属下垂和周期性塌陷，键孔</w:t>
      </w:r>
      <w:r>
        <w:t>–</w:t>
      </w:r>
      <w:r>
        <w:t>熔池系统振荡增强，导致中高频压力波和气流脉动显著增加。表现为频谱质心进一步上移，中频能量明显增强，低频能量下降，主观听感上更为</w:t>
      </w:r>
      <w:r>
        <w:t>“</w:t>
      </w:r>
      <w:r>
        <w:t>紧张</w:t>
      </w:r>
      <w:r>
        <w:t>”</w:t>
      </w:r>
      <w:r>
        <w:t>和</w:t>
      </w:r>
      <w:r>
        <w:t>“</w:t>
      </w:r>
      <w:r>
        <w:t>粗糙</w:t>
      </w:r>
      <w:r>
        <w:t>”</w:t>
      </w:r>
      <w:r>
        <w:t>。这一系列声学差异为后续利用特征与模型区分熔透状态提供了依据。</w:t>
      </w:r>
    </w:p>
    <w:p w14:paraId="7273047E" w14:textId="77777777" w:rsidR="001A2177" w:rsidRDefault="001A2177">
      <w:pPr>
        <w:pStyle w:val="2"/>
        <w:ind w:firstLine="551"/>
      </w:pPr>
      <w:r>
        <w:t xml:space="preserve">3 </w:t>
      </w:r>
      <w:r>
        <w:t>试验平台与数据采集</w:t>
      </w:r>
    </w:p>
    <w:p w14:paraId="4180536E" w14:textId="77777777" w:rsidR="001A2177" w:rsidRDefault="001A2177">
      <w:pPr>
        <w:pStyle w:val="3"/>
        <w:ind w:firstLine="472"/>
      </w:pPr>
      <w:r>
        <w:t xml:space="preserve">3.1 </w:t>
      </w:r>
      <w:r>
        <w:t>焊接试验平台构建</w:t>
      </w:r>
    </w:p>
    <w:p w14:paraId="730D6DF6" w14:textId="77777777" w:rsidR="001A2177" w:rsidRDefault="001A2177">
      <w:pPr>
        <w:ind w:firstLine="470"/>
      </w:pPr>
      <w:r>
        <w:t>为获取不同熔透状态下高质量的焊接声数据，本文搭建了包含焊接电源、焊接工装、声学采集系统以及同步触发模块在内的试验平台。焊接电源采用</w:t>
      </w:r>
      <w:r>
        <w:rPr>
          <w:rFonts w:hint="eastAsia"/>
        </w:rPr>
        <w:t>直流</w:t>
      </w:r>
      <w:r>
        <w:t>恒流控制模式，焊炬与工件之间的相对运动由焊接机器人实现，以保证焊速稳定。</w:t>
      </w:r>
    </w:p>
    <w:p w14:paraId="65406FC0" w14:textId="77777777" w:rsidR="001A2177" w:rsidRDefault="001A2177">
      <w:pPr>
        <w:ind w:firstLine="470"/>
      </w:pPr>
      <w:r>
        <w:t>在熔透状态控制方面，通过预先进行多组工艺试验，确定不同板厚和坡口形式下实现未熔透、完全熔透和过熔透的典型电流</w:t>
      </w:r>
      <w:r>
        <w:t>–</w:t>
      </w:r>
      <w:r>
        <w:t>焊速组合。正式采集阶段，严格按照预定工艺参数执行焊接，并记录焊接时间、焊缝位置等信息，为声学信号与焊缝截面结果的对应提供基础。</w:t>
      </w:r>
    </w:p>
    <w:p w14:paraId="740BFC7A" w14:textId="77777777" w:rsidR="001A2177" w:rsidRDefault="001A2177">
      <w:pPr>
        <w:ind w:firstLineChars="0" w:firstLine="0"/>
        <w:jc w:val="center"/>
      </w:pPr>
      <w:r>
        <w:rPr>
          <w:rFonts w:hint="eastAsia"/>
        </w:rPr>
        <w:t>表</w:t>
      </w:r>
      <w:r>
        <w:rPr>
          <w:rFonts w:hint="eastAsia"/>
        </w:rPr>
        <w:t xml:space="preserve">1 </w:t>
      </w:r>
      <w:r>
        <w:rPr>
          <w:rFonts w:hint="eastAsia"/>
        </w:rPr>
        <w:t>焊接试验工艺参数</w:t>
      </w:r>
    </w:p>
    <w:tbl>
      <w:tblPr>
        <w:tblStyle w:val="af2"/>
        <w:tblW w:w="0" w:type="auto"/>
        <w:jc w:val="center"/>
        <w:tblInd w:w="0" w:type="dxa"/>
        <w:tblLook w:val="0000" w:firstRow="0" w:lastRow="0" w:firstColumn="0" w:lastColumn="0" w:noHBand="0" w:noVBand="0"/>
      </w:tblPr>
      <w:tblGrid>
        <w:gridCol w:w="1970"/>
        <w:gridCol w:w="1970"/>
        <w:gridCol w:w="1971"/>
        <w:gridCol w:w="1971"/>
      </w:tblGrid>
      <w:tr w:rsidR="00000000" w14:paraId="27878EDB" w14:textId="77777777">
        <w:trPr>
          <w:jc w:val="center"/>
        </w:trPr>
        <w:tc>
          <w:tcPr>
            <w:tcW w:w="1970" w:type="dxa"/>
          </w:tcPr>
          <w:p w14:paraId="0AE1CB76" w14:textId="77777777" w:rsidR="001A2177" w:rsidRDefault="001A2177">
            <w:pPr>
              <w:ind w:firstLine="470"/>
              <w:jc w:val="center"/>
            </w:pPr>
            <w:r>
              <w:rPr>
                <w:rFonts w:hint="eastAsia"/>
              </w:rPr>
              <w:t>实验类型</w:t>
            </w:r>
          </w:p>
        </w:tc>
        <w:tc>
          <w:tcPr>
            <w:tcW w:w="1970" w:type="dxa"/>
          </w:tcPr>
          <w:p w14:paraId="13471A27" w14:textId="77777777" w:rsidR="001A2177" w:rsidRDefault="001A2177">
            <w:pPr>
              <w:ind w:firstLine="470"/>
            </w:pPr>
            <w:r>
              <w:rPr>
                <w:rFonts w:hint="eastAsia"/>
              </w:rPr>
              <w:t>熔透状态</w:t>
            </w:r>
          </w:p>
        </w:tc>
        <w:tc>
          <w:tcPr>
            <w:tcW w:w="1971" w:type="dxa"/>
          </w:tcPr>
          <w:p w14:paraId="29C30B0F" w14:textId="77777777" w:rsidR="001A2177" w:rsidRDefault="001A2177">
            <w:pPr>
              <w:ind w:firstLineChars="0" w:firstLine="0"/>
              <w:jc w:val="center"/>
            </w:pPr>
            <w:r>
              <w:rPr>
                <w:rFonts w:hint="eastAsia"/>
              </w:rPr>
              <w:t>焊接速度</w:t>
            </w:r>
            <w:r>
              <w:rPr>
                <w:rFonts w:hint="eastAsia"/>
              </w:rPr>
              <w:t>(mm/min)</w:t>
            </w:r>
          </w:p>
        </w:tc>
        <w:tc>
          <w:tcPr>
            <w:tcW w:w="1971" w:type="dxa"/>
          </w:tcPr>
          <w:p w14:paraId="3A8BFD77" w14:textId="77777777" w:rsidR="001A2177" w:rsidRDefault="001A2177">
            <w:pPr>
              <w:ind w:firstLineChars="0" w:firstLine="0"/>
            </w:pPr>
            <w:r>
              <w:rPr>
                <w:rFonts w:hint="eastAsia"/>
              </w:rPr>
              <w:t>焊接电流</w:t>
            </w:r>
            <w:r>
              <w:rPr>
                <w:rFonts w:hint="eastAsia"/>
              </w:rPr>
              <w:t>(A)</w:t>
            </w:r>
          </w:p>
        </w:tc>
      </w:tr>
      <w:tr w:rsidR="00000000" w14:paraId="2EAAD02E" w14:textId="77777777">
        <w:trPr>
          <w:jc w:val="center"/>
        </w:trPr>
        <w:tc>
          <w:tcPr>
            <w:tcW w:w="1970" w:type="dxa"/>
          </w:tcPr>
          <w:p w14:paraId="16802C1F" w14:textId="77777777" w:rsidR="001A2177" w:rsidRDefault="001A2177">
            <w:pPr>
              <w:ind w:firstLine="470"/>
              <w:rPr>
                <w:rFonts w:hint="eastAsia"/>
              </w:rPr>
            </w:pPr>
            <w:r>
              <w:rPr>
                <w:rFonts w:hint="eastAsia"/>
              </w:rPr>
              <w:lastRenderedPageBreak/>
              <w:t>1</w:t>
            </w:r>
          </w:p>
        </w:tc>
        <w:tc>
          <w:tcPr>
            <w:tcW w:w="1970" w:type="dxa"/>
          </w:tcPr>
          <w:p w14:paraId="4E295C74" w14:textId="77777777" w:rsidR="001A2177" w:rsidRDefault="001A2177">
            <w:pPr>
              <w:ind w:firstLine="470"/>
              <w:rPr>
                <w:rFonts w:hint="eastAsia"/>
              </w:rPr>
            </w:pPr>
            <w:r>
              <w:rPr>
                <w:rFonts w:hint="eastAsia"/>
              </w:rPr>
              <w:t>未熔透</w:t>
            </w:r>
          </w:p>
        </w:tc>
        <w:tc>
          <w:tcPr>
            <w:tcW w:w="1971" w:type="dxa"/>
          </w:tcPr>
          <w:p w14:paraId="23CCBB03" w14:textId="77777777" w:rsidR="001A2177" w:rsidRDefault="001A2177">
            <w:pPr>
              <w:ind w:firstLine="470"/>
            </w:pPr>
            <w:r>
              <w:rPr>
                <w:rFonts w:hint="eastAsia"/>
              </w:rPr>
              <w:t>20</w:t>
            </w:r>
          </w:p>
        </w:tc>
        <w:tc>
          <w:tcPr>
            <w:tcW w:w="1971" w:type="dxa"/>
          </w:tcPr>
          <w:p w14:paraId="002F3903" w14:textId="77777777" w:rsidR="001A2177" w:rsidRDefault="001A2177">
            <w:pPr>
              <w:ind w:firstLine="470"/>
            </w:pPr>
            <w:r>
              <w:rPr>
                <w:rFonts w:hint="eastAsia"/>
              </w:rPr>
              <w:t>105</w:t>
            </w:r>
          </w:p>
        </w:tc>
      </w:tr>
      <w:tr w:rsidR="00000000" w14:paraId="14DA2366" w14:textId="77777777">
        <w:trPr>
          <w:jc w:val="center"/>
        </w:trPr>
        <w:tc>
          <w:tcPr>
            <w:tcW w:w="1970" w:type="dxa"/>
          </w:tcPr>
          <w:p w14:paraId="6A012F01" w14:textId="77777777" w:rsidR="001A2177" w:rsidRDefault="001A2177">
            <w:pPr>
              <w:ind w:firstLine="470"/>
              <w:rPr>
                <w:rFonts w:hint="eastAsia"/>
              </w:rPr>
            </w:pPr>
            <w:r>
              <w:rPr>
                <w:rFonts w:hint="eastAsia"/>
              </w:rPr>
              <w:t>2</w:t>
            </w:r>
          </w:p>
        </w:tc>
        <w:tc>
          <w:tcPr>
            <w:tcW w:w="1970" w:type="dxa"/>
          </w:tcPr>
          <w:p w14:paraId="4A752DBA" w14:textId="77777777" w:rsidR="001A2177" w:rsidRDefault="001A2177">
            <w:pPr>
              <w:ind w:firstLine="470"/>
              <w:rPr>
                <w:rFonts w:hint="eastAsia"/>
              </w:rPr>
            </w:pPr>
            <w:r>
              <w:rPr>
                <w:rFonts w:hint="eastAsia"/>
              </w:rPr>
              <w:t>全熔透</w:t>
            </w:r>
          </w:p>
        </w:tc>
        <w:tc>
          <w:tcPr>
            <w:tcW w:w="1971" w:type="dxa"/>
          </w:tcPr>
          <w:p w14:paraId="0C6815C9" w14:textId="77777777" w:rsidR="001A2177" w:rsidRDefault="001A2177">
            <w:pPr>
              <w:ind w:firstLine="470"/>
            </w:pPr>
            <w:r>
              <w:rPr>
                <w:rFonts w:hint="eastAsia"/>
              </w:rPr>
              <w:t>22</w:t>
            </w:r>
          </w:p>
        </w:tc>
        <w:tc>
          <w:tcPr>
            <w:tcW w:w="1971" w:type="dxa"/>
          </w:tcPr>
          <w:p w14:paraId="10187200" w14:textId="77777777" w:rsidR="001A2177" w:rsidRDefault="001A2177">
            <w:pPr>
              <w:ind w:firstLine="470"/>
            </w:pPr>
            <w:r>
              <w:rPr>
                <w:rFonts w:hint="eastAsia"/>
              </w:rPr>
              <w:t>110</w:t>
            </w:r>
          </w:p>
        </w:tc>
      </w:tr>
      <w:tr w:rsidR="00000000" w14:paraId="33697C8F" w14:textId="77777777">
        <w:trPr>
          <w:jc w:val="center"/>
        </w:trPr>
        <w:tc>
          <w:tcPr>
            <w:tcW w:w="1970" w:type="dxa"/>
          </w:tcPr>
          <w:p w14:paraId="0F8CB8C7" w14:textId="77777777" w:rsidR="001A2177" w:rsidRDefault="001A2177">
            <w:pPr>
              <w:ind w:firstLine="470"/>
              <w:rPr>
                <w:rFonts w:hint="eastAsia"/>
              </w:rPr>
            </w:pPr>
            <w:r>
              <w:rPr>
                <w:rFonts w:hint="eastAsia"/>
              </w:rPr>
              <w:t>3</w:t>
            </w:r>
          </w:p>
        </w:tc>
        <w:tc>
          <w:tcPr>
            <w:tcW w:w="1970" w:type="dxa"/>
          </w:tcPr>
          <w:p w14:paraId="24997107" w14:textId="77777777" w:rsidR="001A2177" w:rsidRDefault="001A2177">
            <w:pPr>
              <w:ind w:firstLine="470"/>
              <w:rPr>
                <w:rFonts w:hint="eastAsia"/>
              </w:rPr>
            </w:pPr>
            <w:r>
              <w:rPr>
                <w:rFonts w:hint="eastAsia"/>
              </w:rPr>
              <w:t>过熔透</w:t>
            </w:r>
          </w:p>
        </w:tc>
        <w:tc>
          <w:tcPr>
            <w:tcW w:w="1971" w:type="dxa"/>
          </w:tcPr>
          <w:p w14:paraId="2D91DF01" w14:textId="77777777" w:rsidR="001A2177" w:rsidRDefault="001A2177">
            <w:pPr>
              <w:ind w:firstLine="470"/>
            </w:pPr>
            <w:r>
              <w:rPr>
                <w:rFonts w:hint="eastAsia"/>
              </w:rPr>
              <w:t>16</w:t>
            </w:r>
          </w:p>
        </w:tc>
        <w:tc>
          <w:tcPr>
            <w:tcW w:w="1971" w:type="dxa"/>
          </w:tcPr>
          <w:p w14:paraId="5024EB73" w14:textId="77777777" w:rsidR="001A2177" w:rsidRDefault="001A2177">
            <w:pPr>
              <w:ind w:firstLine="470"/>
            </w:pPr>
            <w:r>
              <w:rPr>
                <w:rFonts w:hint="eastAsia"/>
              </w:rPr>
              <w:t>115</w:t>
            </w:r>
          </w:p>
        </w:tc>
      </w:tr>
    </w:tbl>
    <w:p w14:paraId="70DC555C" w14:textId="77777777" w:rsidR="001A2177" w:rsidRDefault="001A2177">
      <w:pPr>
        <w:ind w:firstLineChars="0" w:firstLine="0"/>
      </w:pPr>
    </w:p>
    <w:p w14:paraId="4FC39B57" w14:textId="77777777" w:rsidR="001A2177" w:rsidRDefault="001A2177">
      <w:pPr>
        <w:pStyle w:val="3"/>
        <w:ind w:firstLine="472"/>
      </w:pPr>
      <w:r>
        <w:t xml:space="preserve">3.2 </w:t>
      </w:r>
      <w:r>
        <w:t>声学采集系统与传感器布置</w:t>
      </w:r>
    </w:p>
    <w:p w14:paraId="1E2B2842" w14:textId="77777777" w:rsidR="001A2177" w:rsidRDefault="001A2177">
      <w:pPr>
        <w:ind w:firstLine="470"/>
      </w:pPr>
      <w:r>
        <w:t>声学采集系统主要包括测量级电容麦克风、前置放大器和数据采集卡等。麦克风布置于焊缝侧上方适当位置，以兼顾信号强度与安全性，同时减少直接暴露于高温飞溅和烟尘环境。采样率设置为</w:t>
      </w:r>
      <w:r>
        <w:t xml:space="preserve"> 40 kHz</w:t>
      </w:r>
      <w:r>
        <w:t>，以充分覆盖</w:t>
      </w:r>
      <w:r>
        <w:t xml:space="preserve"> TIG </w:t>
      </w:r>
      <w:r>
        <w:t>电弧声的主要频带。采集系统在试验前进行频响校准和噪声水平测试，确保系统在目标频段内具有较好的线性响应和信噪比。同时，通过同步记录电流、电压等过程信号，可以在后续分析中与声信号进行对齐与比对，增强对异常样本的判读能力。</w:t>
      </w:r>
    </w:p>
    <w:p w14:paraId="78B422AC" w14:textId="77777777" w:rsidR="001A2177" w:rsidRDefault="001A2177">
      <w:pPr>
        <w:pStyle w:val="2"/>
        <w:widowControl/>
        <w:ind w:firstLine="551"/>
      </w:pPr>
      <w:r>
        <w:t xml:space="preserve">3.3 </w:t>
      </w:r>
      <w:r>
        <w:t>数据集构建与标注策略</w:t>
      </w:r>
    </w:p>
    <w:p w14:paraId="31A31141" w14:textId="77777777" w:rsidR="001A2177" w:rsidRDefault="001A2177">
      <w:pPr>
        <w:ind w:firstLine="470"/>
      </w:pPr>
      <w:r>
        <w:t>在每条焊缝的稳态焊接阶段，连续采集电弧声信号，并根据焊接时间轴将原始信号划分为多段固定长度的声片段。为保证数据质量，剔除起弧、收弧以及明显受外界干扰的片段，仅保留焊接过程稳定时段的数据。通过焊后截面观察和工艺记录，将每个声片段标注为未熔透、完全熔透或过熔透类别，确保标签与实际熔透状态一致。</w:t>
      </w:r>
    </w:p>
    <w:p w14:paraId="57D9AC53" w14:textId="77777777" w:rsidR="001A2177" w:rsidRDefault="001A2177">
      <w:pPr>
        <w:ind w:firstLine="470"/>
      </w:pPr>
      <w:r>
        <w:t>最终构建的数据集中，三种熔透状态的样本数量尽可能保持平衡，以避免类别不均衡对模型训练的影响。数据集进一步划分为训练集、验证集和测试集，划分方式以焊缝编号为单位进行，避免同一焊缝的不同片段同时出现在训练集和测试集中，从而减弱潜在的数据泄漏问题。这些工作为后续特征提取和模型评估奠定了可靠的数据基础。</w:t>
      </w:r>
    </w:p>
    <w:p w14:paraId="54B4D174" w14:textId="77777777" w:rsidR="001A2177" w:rsidRDefault="001A2177">
      <w:pPr>
        <w:pStyle w:val="2"/>
        <w:ind w:firstLine="551"/>
        <w:rPr>
          <w:rFonts w:cs="宋体"/>
          <w:sz w:val="24"/>
          <w:szCs w:val="24"/>
        </w:rPr>
      </w:pPr>
      <w:r>
        <w:rPr>
          <w:rFonts w:hint="eastAsia"/>
        </w:rPr>
        <w:t xml:space="preserve">4 </w:t>
      </w:r>
      <w:r>
        <w:rPr>
          <w:rFonts w:cs="宋体"/>
          <w:sz w:val="24"/>
          <w:szCs w:val="24"/>
        </w:rPr>
        <w:t>焊接电弧声信号特征提取</w:t>
      </w:r>
    </w:p>
    <w:p w14:paraId="37D43F29" w14:textId="77777777" w:rsidR="001A2177" w:rsidRDefault="001A2177">
      <w:pPr>
        <w:pStyle w:val="3"/>
        <w:ind w:firstLine="472"/>
      </w:pPr>
      <w:r>
        <w:t xml:space="preserve">4.1 </w:t>
      </w:r>
      <w:r>
        <w:t>声信号预处理</w:t>
      </w:r>
    </w:p>
    <w:p w14:paraId="6487D093" w14:textId="77777777" w:rsidR="001A2177" w:rsidRDefault="001A2177">
      <w:pPr>
        <w:ind w:firstLine="470"/>
      </w:pPr>
      <w:r>
        <w:t>焊接现场采集到的原始声信号包含环境噪声、电磁干扰和设备振动等多种非理想成分，直接用于特征提取会影响模型鲁棒性。为此，本文首先对原始信号进行幅值归一化，将不同工况和采集增益下的波形统一映射至</w:t>
      </w:r>
      <w:r>
        <w:t xml:space="preserve"> [−1,1][-1,1][−1,1] </w:t>
      </w:r>
      <w:r>
        <w:t>区间，以消除绝对幅值差异带来的影响。随后采用</w:t>
      </w:r>
      <w:r>
        <w:t xml:space="preserve"> 300–18 kHz </w:t>
      </w:r>
      <w:r>
        <w:t>的带通滤波器保留与电弧声相关的主要频带，并使用窄带陷波器抑制</w:t>
      </w:r>
      <w:r>
        <w:t xml:space="preserve"> 50 Hz </w:t>
      </w:r>
      <w:r>
        <w:t>工频及其谐波，减弱电网噪声的干扰。</w:t>
      </w:r>
    </w:p>
    <w:p w14:paraId="49597896" w14:textId="77777777" w:rsidR="001A2177" w:rsidRDefault="001A2177">
      <w:pPr>
        <w:ind w:firstLine="470"/>
      </w:pPr>
      <w:r>
        <w:t>在频域过滤之后，对信号进行一阶预加重，以补偿高频部分的能量衰减并增强音色相关细节。在时域上，采用固定帧长和帧移对信号分帧，并加汉明窗以减小边界效应。帧级处理</w:t>
      </w:r>
      <w:r>
        <w:lastRenderedPageBreak/>
        <w:t>有助于在</w:t>
      </w:r>
      <w:r>
        <w:t>“</w:t>
      </w:r>
      <w:r>
        <w:t>短时平稳</w:t>
      </w:r>
      <w:r>
        <w:t>”</w:t>
      </w:r>
      <w:r>
        <w:t>假设下提取时频特征，同时保留焊接过程随时间缓慢变化的信息。考虑到现场噪声的不可控性，本文还引入加性高斯白噪声构造多级信噪比样本，以实现后续模型的噪声增强训练和鲁棒性评估。</w:t>
      </w:r>
    </w:p>
    <w:p w14:paraId="0873DC86" w14:textId="77777777" w:rsidR="001A2177" w:rsidRDefault="001A2177">
      <w:pPr>
        <w:pStyle w:val="3"/>
        <w:ind w:firstLine="472"/>
      </w:pPr>
      <w:r>
        <w:t xml:space="preserve">4.2 </w:t>
      </w:r>
      <w:r>
        <w:t>传统声学特征</w:t>
      </w:r>
    </w:p>
    <w:p w14:paraId="5FDFC5D6" w14:textId="77777777" w:rsidR="001A2177" w:rsidRDefault="001A2177">
      <w:pPr>
        <w:ind w:firstLine="470"/>
      </w:pPr>
      <w:r>
        <w:t>传统声学特征包括时域能量、零交叉率以及多种频域统计量，是焊接声信号分析的基础。短时能量和全局均方根值反映了声压级和声强变化，与熔池热输入和电弧稳定性密切相关；零交叉率则从粗略频率角度描述信号中高频成分的丰富程度。通过统计不同熔透状态下这些特征的均值与方差，可以初步观察到未熔透、完全熔透与过熔透之间的能量和振荡差异。</w:t>
      </w:r>
    </w:p>
    <w:p w14:paraId="26B595AF" w14:textId="77777777" w:rsidR="001A2177" w:rsidRDefault="001A2177">
      <w:pPr>
        <w:ind w:firstLine="470"/>
      </w:pPr>
      <w:r>
        <w:t>在频域上，本文提取谱质心、谱带宽、谱滚降频率和谱平坦度等特征，以刻画频谱形状和频带能量分布。谱质心位置与主观</w:t>
      </w:r>
      <w:r>
        <w:t>“</w:t>
      </w:r>
      <w:r>
        <w:t>亮度</w:t>
      </w:r>
      <w:r>
        <w:t>”</w:t>
      </w:r>
      <w:r>
        <w:t>相关，能反映中高频能量的偏重程度；谱平坦度则描述频谱是否接近白噪声，对判断电弧声的宽带性和是否存在窄带共振具有参考意义。此外，将频带划分为低、中、高三个子带，计算各带能量占比，可以更加直观地揭示不同熔透状态下能量在频率轴上的迁移趋势。</w:t>
      </w:r>
    </w:p>
    <w:p w14:paraId="1F3C267B" w14:textId="77777777" w:rsidR="001A2177" w:rsidRDefault="001A2177">
      <w:pPr>
        <w:pStyle w:val="2"/>
        <w:widowControl/>
        <w:ind w:firstLine="551"/>
      </w:pPr>
      <w:r>
        <w:t xml:space="preserve">4.3 </w:t>
      </w:r>
      <w:r>
        <w:t>感知相关声学特征</w:t>
      </w:r>
    </w:p>
    <w:p w14:paraId="619CF03C" w14:textId="77777777" w:rsidR="001A2177" w:rsidRDefault="001A2177">
      <w:pPr>
        <w:ind w:firstLine="470"/>
      </w:pPr>
      <w:r>
        <w:t>传统特征从物理信号角度出发，尚难充分表达人耳对焊接声的主观感知。为此，本文引入梅尔频率倒谱系数（</w:t>
      </w:r>
      <w:r>
        <w:t>MFCC</w:t>
      </w:r>
      <w:r>
        <w:t>）、</w:t>
      </w:r>
      <w:r>
        <w:t xml:space="preserve">RASTA-PLP </w:t>
      </w:r>
      <w:r>
        <w:t>和</w:t>
      </w:r>
      <w:r>
        <w:t xml:space="preserve"> PNCC </w:t>
      </w:r>
      <w:r>
        <w:t>等感知相关特征。</w:t>
      </w:r>
      <w:r>
        <w:t xml:space="preserve">MFCC </w:t>
      </w:r>
      <w:r>
        <w:t>通过</w:t>
      </w:r>
      <w:r>
        <w:t xml:space="preserve"> Mel </w:t>
      </w:r>
      <w:r>
        <w:t>滤波组和对数压缩，模拟了人耳对频率和响度的非线性响应特性，适合描述音色差异；</w:t>
      </w:r>
      <w:r>
        <w:t xml:space="preserve">RASTA-PLP </w:t>
      </w:r>
      <w:r>
        <w:t>在对数功率谱域施加带通滤波，以抑制缓慢变化的背景噪声和通道效应；</w:t>
      </w:r>
      <w:r>
        <w:t xml:space="preserve">PNCC </w:t>
      </w:r>
      <w:r>
        <w:t>则引入自适应噪声抑制和强度非线性映射，对非平稳噪声具有更强鲁棒性。</w:t>
      </w:r>
    </w:p>
    <w:p w14:paraId="5CB90670" w14:textId="77777777" w:rsidR="001A2177" w:rsidRDefault="001A2177">
      <w:pPr>
        <w:ind w:firstLine="470"/>
      </w:pPr>
      <w:r>
        <w:t>这些感知相关特征在语音和声纹识别领域已被广泛应用，本文将其迁移至焊接电弧声场景，旨在更好地刻画不同熔透状态下</w:t>
      </w:r>
      <w:r>
        <w:t>“</w:t>
      </w:r>
      <w:r>
        <w:t>听感</w:t>
      </w:r>
      <w:r>
        <w:t>”</w:t>
      </w:r>
      <w:r>
        <w:t>层面的细微差异。在实验部分，可以对比仅使用传统特征和加入感知特征方案的分类性能，定量评估感知特征对熔透状态识别性能的提升幅度。</w:t>
      </w:r>
    </w:p>
    <w:p w14:paraId="4138CBF5" w14:textId="77777777" w:rsidR="001A2177" w:rsidRDefault="001A2177">
      <w:pPr>
        <w:pStyle w:val="2"/>
        <w:widowControl/>
        <w:ind w:firstLine="551"/>
      </w:pPr>
      <w:r>
        <w:t xml:space="preserve">4.4 </w:t>
      </w:r>
      <w:r>
        <w:t>主观感知嵌入特征</w:t>
      </w:r>
    </w:p>
    <w:p w14:paraId="3AF5449B" w14:textId="77777777" w:rsidR="001A2177" w:rsidRDefault="001A2177">
      <w:pPr>
        <w:ind w:firstLine="470"/>
      </w:pPr>
      <w:r>
        <w:t>仅依靠客观特征难以全面表达焊工对焊接声的主观评价。为此，本文设计了主观成对比较实验，邀请多名受试者对来自不同熔透状态的焊接声片段进行不相似度评分，构建声音样本之间的主观不相似度矩阵。利用加权非度量</w:t>
      </w:r>
      <w:r>
        <w:t xml:space="preserve"> MDS </w:t>
      </w:r>
      <w:r>
        <w:t>或</w:t>
      </w:r>
      <w:r>
        <w:t xml:space="preserve"> Isomap</w:t>
      </w:r>
      <w:r>
        <w:t>，将该矩阵映射至低维欧氏空间，得到每条样本对应的感知嵌入向量。</w:t>
      </w:r>
    </w:p>
    <w:p w14:paraId="6E55B689" w14:textId="77777777" w:rsidR="001A2177" w:rsidRDefault="001A2177">
      <w:pPr>
        <w:ind w:firstLine="470"/>
      </w:pPr>
      <w:r>
        <w:t>这一低维嵌入可视为</w:t>
      </w:r>
      <w:r>
        <w:t>“</w:t>
      </w:r>
      <w:r>
        <w:t>人耳音色空间</w:t>
      </w:r>
      <w:r>
        <w:t>”</w:t>
      </w:r>
      <w:r>
        <w:t>的数据驱动表示，其几何距离与主观听感差异保</w:t>
      </w:r>
      <w:r>
        <w:lastRenderedPageBreak/>
        <w:t>持较好一致。本文将感知嵌入作为一类新的高层特征，与传统和感知相关特征进行融合。一方面，可以单独考察感知嵌入在熔透状态分类任务中的表现；另一方面，将其与客观特征结合，有助于提升特征空间的可分性和模型在噪声条件下的鲁棒性。</w:t>
      </w:r>
    </w:p>
    <w:p w14:paraId="6948A9DE" w14:textId="77777777" w:rsidR="001A2177" w:rsidRDefault="001A2177">
      <w:pPr>
        <w:pStyle w:val="2"/>
        <w:widowControl/>
        <w:ind w:firstLine="551"/>
      </w:pPr>
      <w:r>
        <w:t xml:space="preserve">4.5 </w:t>
      </w:r>
      <w:r>
        <w:t>深度学习特征</w:t>
      </w:r>
    </w:p>
    <w:p w14:paraId="23A98C7B" w14:textId="77777777" w:rsidR="001A2177" w:rsidRDefault="001A2177">
      <w:pPr>
        <w:ind w:firstLine="470"/>
      </w:pPr>
      <w:r>
        <w:t>除手工特征外，本文还采用</w:t>
      </w:r>
      <w:r>
        <w:t xml:space="preserve"> 2D-CNN </w:t>
      </w:r>
      <w:r>
        <w:t>从对数幅度谱图或</w:t>
      </w:r>
      <w:r>
        <w:t xml:space="preserve"> Mel </w:t>
      </w:r>
      <w:r>
        <w:t>频谱图中自动学习高层特征。通过多层卷积和池化操作，网络可以提取焊接声时频分布中的局部模式和结构信息，在复杂特征关系建模方面具有优势。在训练完成后，提取倒数第二层的隐藏向量作为深度嵌入特征，并将其作为独立特征或与</w:t>
      </w:r>
      <w:r>
        <w:t xml:space="preserve"> MDS </w:t>
      </w:r>
      <w:r>
        <w:t>感知嵌入进行后端融合。</w:t>
      </w:r>
    </w:p>
    <w:p w14:paraId="3A7F1490" w14:textId="77777777" w:rsidR="001A2177" w:rsidRDefault="001A2177">
      <w:pPr>
        <w:pStyle w:val="ae"/>
        <w:widowControl/>
        <w:ind w:firstLine="470"/>
      </w:pPr>
      <w:r>
        <w:t>深度学习特征与手工特征之间具有互补性：前者善于捕捉复杂、非线性的时频结构，后者则具备良好的物理解释性。通过在实验中对比不同特征组合的分类性能，可以为后续焊接质量监测系统的特征设计提供参考。</w:t>
      </w:r>
    </w:p>
    <w:p w14:paraId="3844B5E6" w14:textId="77777777" w:rsidR="001A2177" w:rsidRDefault="001A2177">
      <w:pPr>
        <w:pStyle w:val="2"/>
        <w:ind w:firstLine="551"/>
      </w:pPr>
      <w:r>
        <w:t xml:space="preserve">5 </w:t>
      </w:r>
      <w:r>
        <w:t>基于多源特征与主观感知嵌入的熔透状态识别方法</w:t>
      </w:r>
    </w:p>
    <w:p w14:paraId="3F030D60" w14:textId="77777777" w:rsidR="001A2177" w:rsidRDefault="001A2177">
      <w:pPr>
        <w:pStyle w:val="3"/>
        <w:ind w:firstLine="472"/>
      </w:pPr>
      <w:r>
        <w:t xml:space="preserve">5.1 </w:t>
      </w:r>
      <w:r>
        <w:t>方法总体框架</w:t>
      </w:r>
    </w:p>
    <w:p w14:paraId="7324E706" w14:textId="77777777" w:rsidR="001A2177" w:rsidRDefault="001A2177">
      <w:pPr>
        <w:ind w:firstLine="470"/>
      </w:pPr>
      <w:r>
        <w:t>在前述特征提取基础上，本文构建了面向</w:t>
      </w:r>
      <w:r>
        <w:t xml:space="preserve"> TIG </w:t>
      </w:r>
      <w:r>
        <w:t>焊接熔透状态识别的多源特征融合与分类方法。整体框架包括信号预处理、多源特征提取、主观感知嵌入构建、特征融合以及多模型分类决策等模块。原始焊接声经预处理后，分别提取传统时频特征、感知相关特征和深度学习特征，并通过</w:t>
      </w:r>
      <w:r>
        <w:t xml:space="preserve"> MDS/Isomap </w:t>
      </w:r>
      <w:r>
        <w:t>获得低维感知嵌入。</w:t>
      </w:r>
    </w:p>
    <w:p w14:paraId="69BFD87F" w14:textId="77777777" w:rsidR="001A2177" w:rsidRDefault="001A2177">
      <w:pPr>
        <w:ind w:firstLine="470"/>
      </w:pPr>
      <w:r>
        <w:t>在特征层面，本文设计了多种组合方式，以探索不同特征之间的互补性；在模型层面，引入</w:t>
      </w:r>
      <w:r>
        <w:t xml:space="preserve"> SVM</w:t>
      </w:r>
      <w:r>
        <w:t>、距离核</w:t>
      </w:r>
      <w:r>
        <w:t xml:space="preserve"> SVM</w:t>
      </w:r>
      <w:r>
        <w:t>、随机森林、</w:t>
      </w:r>
      <w:r>
        <w:t xml:space="preserve">MLP </w:t>
      </w:r>
      <w:r>
        <w:t>和</w:t>
      </w:r>
      <w:r>
        <w:t xml:space="preserve"> CNN </w:t>
      </w:r>
      <w:r>
        <w:t>等多种分类器，对熔透状态进行多视角建模与对比。通过在统一评估协议下对不同特征</w:t>
      </w:r>
      <w:r>
        <w:t>–</w:t>
      </w:r>
      <w:r>
        <w:t>模型组合进行系统实验，分析其在识别精度与噪声鲁棒性方面的表现，最终形成面向工程应用的推荐方案。</w:t>
      </w:r>
    </w:p>
    <w:p w14:paraId="7FE18222" w14:textId="77777777" w:rsidR="001A2177" w:rsidRDefault="001A2177">
      <w:pPr>
        <w:pStyle w:val="2"/>
        <w:widowControl/>
        <w:ind w:firstLine="551"/>
      </w:pPr>
      <w:r>
        <w:t xml:space="preserve">5.2 </w:t>
      </w:r>
      <w:r>
        <w:t>主观不相似度采集与</w:t>
      </w:r>
      <w:r>
        <w:t xml:space="preserve"> MDS/Isomap </w:t>
      </w:r>
      <w:r>
        <w:t>嵌入</w:t>
      </w:r>
    </w:p>
    <w:p w14:paraId="094A582D" w14:textId="77777777" w:rsidR="001A2177" w:rsidRDefault="001A2177">
      <w:pPr>
        <w:ind w:firstLine="470"/>
      </w:pPr>
      <w:r>
        <w:t>主观不相似度采集是构建感知嵌入的关键步骤。本文从三种熔透状态中选取若干代表性焊接声片段，随机组合成声音对，邀请具有焊接经验或听辨训练的受试者对每一对声音进行</w:t>
      </w:r>
      <w:r>
        <w:t>“</w:t>
      </w:r>
      <w:r>
        <w:t>音色差异</w:t>
      </w:r>
      <w:r>
        <w:t>”</w:t>
      </w:r>
      <w:r>
        <w:t>打分。打分标度采用有限等级（如</w:t>
      </w:r>
      <w:r>
        <w:t xml:space="preserve"> 1–7 </w:t>
      </w:r>
      <w:r>
        <w:t>级），数值越大表示两段声音差异越明显。通过对多名受试者评分求平均，得到一个对称的不相似度矩阵。</w:t>
      </w:r>
    </w:p>
    <w:p w14:paraId="042579B6" w14:textId="77777777" w:rsidR="001A2177" w:rsidRDefault="001A2177">
      <w:pPr>
        <w:ind w:firstLine="470"/>
      </w:pPr>
      <w:r>
        <w:t>在此基础上，采用非度量</w:t>
      </w:r>
      <w:r>
        <w:t xml:space="preserve"> MDS </w:t>
      </w:r>
      <w:r>
        <w:t>将不相似度矩阵嵌入到低维欧氏空间，使低维空间中样本</w:t>
      </w:r>
      <w:r>
        <w:lastRenderedPageBreak/>
        <w:t>间的欧氏距离尽可能匹配主观不相似度排序。为进一步考虑潜在非线性结构，本文还尝试使用</w:t>
      </w:r>
      <w:r>
        <w:t xml:space="preserve"> Isomap </w:t>
      </w:r>
      <w:r>
        <w:t>利用局部邻接关系和测地距离构建嵌入。通过比较两种方法的应力函数和下游分类性能，选取效果更优的嵌入方式。最终得到的感知嵌入向量被视为焊接声在</w:t>
      </w:r>
      <w:r>
        <w:t>“</w:t>
      </w:r>
      <w:r>
        <w:t>主观听感空间</w:t>
      </w:r>
      <w:r>
        <w:t>”</w:t>
      </w:r>
      <w:r>
        <w:t>中的坐标，可直接用于分类或与其他特征融合。</w:t>
      </w:r>
    </w:p>
    <w:p w14:paraId="2CBAF9E9" w14:textId="77777777" w:rsidR="001A2177" w:rsidRDefault="001A2177">
      <w:pPr>
        <w:pStyle w:val="2"/>
        <w:widowControl/>
        <w:ind w:firstLine="551"/>
      </w:pPr>
      <w:r>
        <w:t xml:space="preserve">5.3 </w:t>
      </w:r>
      <w:r>
        <w:t>多特征融合策略</w:t>
      </w:r>
    </w:p>
    <w:p w14:paraId="1C121B5D" w14:textId="77777777" w:rsidR="001A2177" w:rsidRDefault="001A2177">
      <w:pPr>
        <w:pStyle w:val="ae"/>
        <w:widowControl/>
        <w:ind w:firstLine="470"/>
      </w:pPr>
      <w:r>
        <w:t>为了充分利用不同特征的互补信息，本文设计了早期融合与后端融合两类策略。早期融合中，将传统特征、感知特征和感知嵌入在特征维度上进行级联，形成高维综合特征向量。为避免不同特征量纲和尺度差异带来训练困难，对各特征进行标准化，并在必要时采用</w:t>
      </w:r>
      <w:r>
        <w:t xml:space="preserve"> PCA </w:t>
      </w:r>
      <w:r>
        <w:t>等方法进行降维，以减弱冗余和噪声。</w:t>
      </w:r>
    </w:p>
    <w:p w14:paraId="7DB08FB4" w14:textId="77777777" w:rsidR="001A2177" w:rsidRDefault="001A2177">
      <w:pPr>
        <w:pStyle w:val="ae"/>
        <w:widowControl/>
        <w:ind w:firstLine="470"/>
      </w:pPr>
      <w:r>
        <w:t>后端融合策略主要用于结合</w:t>
      </w:r>
      <w:r>
        <w:t xml:space="preserve"> CNN </w:t>
      </w:r>
      <w:r>
        <w:t>深度特征和感知嵌入。首先基于谱图训练</w:t>
      </w:r>
      <w:r>
        <w:t xml:space="preserve"> CNN </w:t>
      </w:r>
      <w:r>
        <w:t>分类模型，并从中间层提取深度嵌入向量；然后分别基于</w:t>
      </w:r>
      <w:r>
        <w:t>“</w:t>
      </w:r>
      <w:r>
        <w:t>手工特征</w:t>
      </w:r>
      <w:r>
        <w:t>+MDS”</w:t>
      </w:r>
      <w:r>
        <w:t>和</w:t>
      </w:r>
      <w:r>
        <w:t xml:space="preserve">“CNN </w:t>
      </w:r>
      <w:r>
        <w:t>特征</w:t>
      </w:r>
      <w:r>
        <w:t>+MDS”</w:t>
      </w:r>
      <w:r>
        <w:t>训练两个子模型。在推理阶段，将两个子模型的输出后验概率或决策分数进行加权平均，得到最终分类结果。通过调节权重，可以在解释性与自动表示能力之间取得平衡，从而提升整体识别性能。</w:t>
      </w:r>
    </w:p>
    <w:p w14:paraId="7985F32F" w14:textId="77777777" w:rsidR="001A2177" w:rsidRDefault="001A2177">
      <w:pPr>
        <w:pStyle w:val="2"/>
        <w:widowControl/>
        <w:ind w:firstLine="551"/>
      </w:pPr>
      <w:r>
        <w:t xml:space="preserve">5.4 </w:t>
      </w:r>
      <w:r>
        <w:t>分类器设计</w:t>
      </w:r>
    </w:p>
    <w:p w14:paraId="22CF4996" w14:textId="77777777" w:rsidR="001A2177" w:rsidRDefault="001A2177">
      <w:pPr>
        <w:ind w:firstLine="470"/>
      </w:pPr>
      <w:r>
        <w:t>在分类器选择上，本文以</w:t>
      </w:r>
      <w:r>
        <w:t xml:space="preserve"> SVM </w:t>
      </w:r>
      <w:r>
        <w:t>作为基准模型。对于基于特征向量的输入，采用</w:t>
      </w:r>
      <w:r>
        <w:t xml:space="preserve"> RBF </w:t>
      </w:r>
      <w:r>
        <w:t>核函数的</w:t>
      </w:r>
      <w:r>
        <w:t xml:space="preserve"> SVM</w:t>
      </w:r>
      <w:r>
        <w:t>，通过交叉验证确定参数</w:t>
      </w:r>
      <w:r>
        <w:t xml:space="preserve"> CCC </w:t>
      </w:r>
      <w:r>
        <w:t>和</w:t>
      </w:r>
      <w:r>
        <w:t xml:space="preserve"> γ\gammaγ</w:t>
      </w:r>
      <w:r>
        <w:t>。此外，引入基于主观不相似度的距离核</w:t>
      </w:r>
      <w:r>
        <w:t xml:space="preserve"> SVM</w:t>
      </w:r>
      <w:r>
        <w:t>，将不相似度矩阵转换为核矩阵，实现直接在感知几何中进行最优间隔划分。该模型在理论上可视为充分利用主观评价信息的</w:t>
      </w:r>
      <w:r>
        <w:t>“</w:t>
      </w:r>
      <w:r>
        <w:t>上限性能</w:t>
      </w:r>
      <w:r>
        <w:t>”</w:t>
      </w:r>
      <w:r>
        <w:t>。</w:t>
      </w:r>
    </w:p>
    <w:p w14:paraId="0546CE8C" w14:textId="77777777" w:rsidR="001A2177" w:rsidRDefault="001A2177">
      <w:pPr>
        <w:ind w:firstLine="470"/>
      </w:pPr>
      <w:r>
        <w:t>随机森林和多层感知机作为补充模型，用于考察树模型和浅层神经网络在多特征融合下的表现。对于</w:t>
      </w:r>
      <w:r>
        <w:t xml:space="preserve"> CNN </w:t>
      </w:r>
      <w:r>
        <w:t>模型，以对数谱图为输入，通过端到端训练获得分类器和深度特征。多模型的引入有助于从不同学习机制角度评价特征设计的有效性，并为工程部署提供多种备选实现方案。</w:t>
      </w:r>
    </w:p>
    <w:p w14:paraId="086E762D" w14:textId="77777777" w:rsidR="001A2177" w:rsidRDefault="001A2177">
      <w:pPr>
        <w:pStyle w:val="2"/>
        <w:widowControl/>
        <w:ind w:firstLine="551"/>
      </w:pPr>
      <w:r>
        <w:t xml:space="preserve">5.5 </w:t>
      </w:r>
      <w:r>
        <w:t>训练与评估协议</w:t>
      </w:r>
    </w:p>
    <w:p w14:paraId="10B8615C" w14:textId="77777777" w:rsidR="001A2177" w:rsidRDefault="001A2177">
      <w:pPr>
        <w:ind w:firstLine="470"/>
      </w:pPr>
      <w:r>
        <w:t>为保证评估结果的可靠性与可比性，本文采用统一的训练与评估协议。首先，以焊缝编号为单位划分训练集、验证集和测试集，确保不同集合之间样本互不重叠。对于传统机器学习模型，通过</w:t>
      </w:r>
      <w:r>
        <w:t xml:space="preserve"> k </w:t>
      </w:r>
      <w:r>
        <w:t>折交叉验证选取最佳超参数，并在独立测试集上报告性能。对于</w:t>
      </w:r>
      <w:r>
        <w:t xml:space="preserve"> CNN </w:t>
      </w:r>
      <w:r>
        <w:t>模型，</w:t>
      </w:r>
      <w:r>
        <w:lastRenderedPageBreak/>
        <w:t>采用早停策略和权重衰减抑制过拟合。</w:t>
      </w:r>
    </w:p>
    <w:p w14:paraId="0C7BC511" w14:textId="77777777" w:rsidR="001A2177" w:rsidRDefault="001A2177">
      <w:pPr>
        <w:ind w:firstLine="470"/>
      </w:pPr>
      <w:r>
        <w:t>在噪声鲁棒性评估中，分别在</w:t>
      </w:r>
      <w:r>
        <w:t xml:space="preserve"> SNR = ∞</w:t>
      </w:r>
      <w:r>
        <w:t>、</w:t>
      </w:r>
      <w:r>
        <w:t>10 dB</w:t>
      </w:r>
      <w:r>
        <w:t>、</w:t>
      </w:r>
      <w:r>
        <w:t>8 dB</w:t>
      </w:r>
      <w:r>
        <w:t>、</w:t>
      </w:r>
      <w:r>
        <w:t xml:space="preserve">5 dB </w:t>
      </w:r>
      <w:r>
        <w:t>和</w:t>
      </w:r>
      <w:r>
        <w:t xml:space="preserve"> 0.5 dB </w:t>
      </w:r>
      <w:r>
        <w:t>条件下测试各模型性能，绘制识别率或</w:t>
      </w:r>
      <w:r>
        <w:t xml:space="preserve"> Macro-F1 </w:t>
      </w:r>
      <w:r>
        <w:t>随</w:t>
      </w:r>
      <w:r>
        <w:t xml:space="preserve"> SNR </w:t>
      </w:r>
      <w:r>
        <w:t>变化的曲线。评价指标包括总体准确率、宏平均</w:t>
      </w:r>
      <w:r>
        <w:t xml:space="preserve"> F1 </w:t>
      </w:r>
      <w:r>
        <w:t>值以及混淆矩阵，特别关注不同熔透类别的召回率和误判情况，以全面分析模型的实际应用潜力。</w:t>
      </w:r>
    </w:p>
    <w:p w14:paraId="0343CAF6" w14:textId="77777777" w:rsidR="001A2177" w:rsidRDefault="001A2177">
      <w:pPr>
        <w:widowControl/>
        <w:ind w:firstLine="470"/>
      </w:pPr>
      <w:r>
        <w:pict w14:anchorId="0DC9AC6C">
          <v:rect id="矩形 1" o:spid="_x0000_i1025" style="width:6in;height:1.5pt" o:hralign="center" o:allowincell="f" o:hrstd="t" o:hr="t" fillcolor="#a0a0a0" stroked="f"/>
        </w:pict>
      </w:r>
    </w:p>
    <w:p w14:paraId="5ACDF22B" w14:textId="77777777" w:rsidR="001A2177" w:rsidRDefault="001A2177">
      <w:pPr>
        <w:pStyle w:val="2"/>
        <w:ind w:firstLine="551"/>
      </w:pPr>
      <w:r>
        <w:t xml:space="preserve">6 </w:t>
      </w:r>
      <w:r>
        <w:t>实验结果与分析</w:t>
      </w:r>
    </w:p>
    <w:p w14:paraId="29D03B4F" w14:textId="77777777" w:rsidR="001A2177" w:rsidRDefault="001A2177">
      <w:pPr>
        <w:pStyle w:val="3"/>
        <w:ind w:firstLine="472"/>
      </w:pPr>
      <w:r>
        <w:t xml:space="preserve">6.1 </w:t>
      </w:r>
      <w:r>
        <w:t>实验设置</w:t>
      </w:r>
    </w:p>
    <w:p w14:paraId="34800E75" w14:textId="77777777" w:rsidR="001A2177" w:rsidRDefault="001A2177">
      <w:pPr>
        <w:ind w:firstLine="470"/>
      </w:pPr>
      <w:r>
        <w:t>本章在前述数据集和方法基础上，对不同特征组合和分类模型的熔透状态识别性能及噪声鲁棒性进行对比分析。实验环境包括若干台通用工作站和深度学习训练平台，采用</w:t>
      </w:r>
      <w:r>
        <w:t xml:space="preserve"> Python </w:t>
      </w:r>
      <w:r>
        <w:t>及相关开源库实现特征提取与模型训练。所有实验均严格遵循第</w:t>
      </w:r>
      <w:r>
        <w:t xml:space="preserve"> 5.5 </w:t>
      </w:r>
      <w:r>
        <w:t>节所述训练与评估协议，以保证对比的公平性。</w:t>
      </w:r>
    </w:p>
    <w:p w14:paraId="2FB7604B" w14:textId="77777777" w:rsidR="001A2177" w:rsidRDefault="001A2177">
      <w:pPr>
        <w:ind w:firstLine="470"/>
      </w:pPr>
      <w:r>
        <w:t>实验首先在清洁条件下比较不同特征组合方案在基准</w:t>
      </w:r>
      <w:r>
        <w:t xml:space="preserve"> SVM </w:t>
      </w:r>
      <w:r>
        <w:t>模型上的性能，随后在固定特征组合下对比不同分类器的表现。最后，通过噪声增强样本评估各方法在多级</w:t>
      </w:r>
      <w:r>
        <w:t xml:space="preserve"> SNR </w:t>
      </w:r>
      <w:r>
        <w:t>条件下的性能衰减特性，分析其噪声鲁棒性。部分关键结果以表格和曲线形式展示，以便直观比较和讨论。</w:t>
      </w:r>
    </w:p>
    <w:p w14:paraId="28F5E328" w14:textId="77777777" w:rsidR="001A2177" w:rsidRDefault="001A2177">
      <w:pPr>
        <w:pStyle w:val="2"/>
        <w:widowControl/>
        <w:ind w:firstLine="551"/>
      </w:pPr>
      <w:r>
        <w:t xml:space="preserve">6.2 </w:t>
      </w:r>
      <w:r>
        <w:t>不同特征组合的识别性能比较</w:t>
      </w:r>
    </w:p>
    <w:p w14:paraId="7C183B10" w14:textId="77777777" w:rsidR="001A2177" w:rsidRDefault="001A2177">
      <w:pPr>
        <w:ind w:firstLine="470"/>
      </w:pPr>
      <w:r>
        <w:t>在基于</w:t>
      </w:r>
      <w:r>
        <w:t xml:space="preserve"> SVM </w:t>
      </w:r>
      <w:r>
        <w:t>的统一框架下，本文比较了仅使用传统特征、引入感知特征、仅使用</w:t>
      </w:r>
      <w:r>
        <w:t xml:space="preserve"> MDS </w:t>
      </w:r>
      <w:r>
        <w:t>感知嵌入以及多源特征融合等多种方案。在清洁条件下，结果表明，传统时频特征已能够实现较高的熔透状态识别准确率，说明不同熔透状态在能量水平和频谱形状方面存在显著差异。引入</w:t>
      </w:r>
      <w:r>
        <w:t xml:space="preserve"> MFCC</w:t>
      </w:r>
      <w:r>
        <w:t>、</w:t>
      </w:r>
      <w:r>
        <w:t xml:space="preserve">PNCC </w:t>
      </w:r>
      <w:r>
        <w:t>等感知特征后，</w:t>
      </w:r>
      <w:r>
        <w:t xml:space="preserve">Macro-F1 </w:t>
      </w:r>
      <w:r>
        <w:t>值进一步提升，表明感知特征能有效捕捉</w:t>
      </w:r>
      <w:r>
        <w:t>“</w:t>
      </w:r>
      <w:r>
        <w:t>音色</w:t>
      </w:r>
      <w:r>
        <w:t>”</w:t>
      </w:r>
      <w:r>
        <w:t>差异，增强类间可分性。</w:t>
      </w:r>
    </w:p>
    <w:p w14:paraId="489EC43B" w14:textId="77777777" w:rsidR="001A2177" w:rsidRDefault="001A2177">
      <w:pPr>
        <w:ind w:firstLine="470"/>
      </w:pPr>
      <w:r>
        <w:t>值得注意的是，单独使用</w:t>
      </w:r>
      <w:r>
        <w:t xml:space="preserve"> MDS </w:t>
      </w:r>
      <w:r>
        <w:t>感知嵌入特征即可获得与传统特征相当的识别性能，验证了主观不相似度矩阵中蕴含的有效判别信息。将传统特征、感知特征与感知嵌入进行早期融合后，模型整体性能达到最高，说明多源特征在刻画焊接声与熔透状态关系方面具有明显互补性。该结果为后续多特征融合策略的采用提供了实验证据。</w:t>
      </w:r>
    </w:p>
    <w:p w14:paraId="0DDAE92C" w14:textId="77777777" w:rsidR="001A2177" w:rsidRDefault="001A2177">
      <w:pPr>
        <w:pStyle w:val="2"/>
        <w:widowControl/>
        <w:ind w:firstLine="551"/>
      </w:pPr>
      <w:r>
        <w:t xml:space="preserve">6.3 </w:t>
      </w:r>
      <w:r>
        <w:t>不同分类器的性能对比</w:t>
      </w:r>
    </w:p>
    <w:p w14:paraId="222FF961" w14:textId="77777777" w:rsidR="001A2177" w:rsidRDefault="001A2177">
      <w:pPr>
        <w:ind w:firstLine="470"/>
      </w:pPr>
      <w:r>
        <w:t>在固定使用</w:t>
      </w:r>
      <w:r>
        <w:t>“</w:t>
      </w:r>
      <w:r>
        <w:t>传统</w:t>
      </w:r>
      <w:r>
        <w:t>+</w:t>
      </w:r>
      <w:r>
        <w:t>感知</w:t>
      </w:r>
      <w:r>
        <w:t>+MDS”</w:t>
      </w:r>
      <w:r>
        <w:t>融合特征的条件下，本文比较了</w:t>
      </w:r>
      <w:r>
        <w:t xml:space="preserve"> SVM</w:t>
      </w:r>
      <w:r>
        <w:t>、距离核</w:t>
      </w:r>
      <w:r>
        <w:t xml:space="preserve"> SVM</w:t>
      </w:r>
      <w:r>
        <w:t>、随机森林、</w:t>
      </w:r>
      <w:r>
        <w:t xml:space="preserve">MLP </w:t>
      </w:r>
      <w:r>
        <w:t>和</w:t>
      </w:r>
      <w:r>
        <w:t xml:space="preserve"> CNN </w:t>
      </w:r>
      <w:r>
        <w:t>等多种模型的表现。实验结果显示，</w:t>
      </w:r>
      <w:r>
        <w:t xml:space="preserve">RBF-SVM </w:t>
      </w:r>
      <w:r>
        <w:t>在大多数场景下表现稳定，</w:t>
      </w:r>
      <w:r>
        <w:lastRenderedPageBreak/>
        <w:t>是可靠的基准方法；随机森林在特征维度较低时具有良好效果，但在高维融合特征上容易受到冗余影响，性能略逊于</w:t>
      </w:r>
      <w:r>
        <w:t xml:space="preserve"> SVM</w:t>
      </w:r>
      <w:r>
        <w:t>。</w:t>
      </w:r>
      <w:r>
        <w:t xml:space="preserve">MLP </w:t>
      </w:r>
      <w:r>
        <w:t>能通过非线性映射适应复杂特征，但在样本规模有限时需谨慎防止过拟合。</w:t>
      </w:r>
    </w:p>
    <w:p w14:paraId="257EC127" w14:textId="77777777" w:rsidR="001A2177" w:rsidRDefault="001A2177">
      <w:pPr>
        <w:ind w:firstLine="470"/>
      </w:pPr>
      <w:r>
        <w:t>基于主观不相似度构造的距离核</w:t>
      </w:r>
      <w:r>
        <w:t xml:space="preserve"> SVM </w:t>
      </w:r>
      <w:r>
        <w:t>在多数实验中取得了略优于</w:t>
      </w:r>
      <w:r>
        <w:t xml:space="preserve"> RBF-SVM </w:t>
      </w:r>
      <w:r>
        <w:t>的分类性能，体现了直接在感知几何中划分决策边界的优势。</w:t>
      </w:r>
      <w:r>
        <w:t xml:space="preserve">CNN </w:t>
      </w:r>
      <w:r>
        <w:t>模型在以谱图为输入时，也能学习到区分不同熔透状态的稳定时频模式，其单独性能与传统</w:t>
      </w:r>
      <w:r>
        <w:t xml:space="preserve"> SVM </w:t>
      </w:r>
      <w:r>
        <w:t>相当。当进一步与</w:t>
      </w:r>
      <w:r>
        <w:t xml:space="preserve"> MDS </w:t>
      </w:r>
      <w:r>
        <w:t>感知嵌入进行后端融合时，</w:t>
      </w:r>
      <w:r>
        <w:t xml:space="preserve">CNN+MDS </w:t>
      </w:r>
      <w:r>
        <w:t>模型的总体性能可与距离核</w:t>
      </w:r>
      <w:r>
        <w:t xml:space="preserve"> SVM </w:t>
      </w:r>
      <w:r>
        <w:t>相媲美甚至略有提升。</w:t>
      </w:r>
    </w:p>
    <w:p w14:paraId="0AC4B084" w14:textId="77777777" w:rsidR="001A2177" w:rsidRDefault="001A2177">
      <w:pPr>
        <w:pStyle w:val="2"/>
        <w:widowControl/>
        <w:ind w:firstLine="551"/>
      </w:pPr>
      <w:r>
        <w:t xml:space="preserve">6.4 </w:t>
      </w:r>
      <w:r>
        <w:t>噪声鲁棒性分析</w:t>
      </w:r>
    </w:p>
    <w:p w14:paraId="36B46609" w14:textId="77777777" w:rsidR="001A2177" w:rsidRDefault="001A2177">
      <w:pPr>
        <w:ind w:firstLine="470"/>
      </w:pPr>
      <w:r>
        <w:t>为评估不同方法在噪声环境下的稳定性，本文在</w:t>
      </w:r>
      <w:r>
        <w:t xml:space="preserve"> SNR = ∞</w:t>
      </w:r>
      <w:r>
        <w:t>、</w:t>
      </w:r>
      <w:r>
        <w:t>10 dB</w:t>
      </w:r>
      <w:r>
        <w:t>、</w:t>
      </w:r>
      <w:r>
        <w:t>8 dB</w:t>
      </w:r>
      <w:r>
        <w:t>、</w:t>
      </w:r>
      <w:r>
        <w:t>5 dB</w:t>
      </w:r>
      <w:r>
        <w:t>、</w:t>
      </w:r>
      <w:r>
        <w:t xml:space="preserve">0.5 dB </w:t>
      </w:r>
      <w:r>
        <w:t>五个噪声等级下分别测试各模型的识别性能。结果表明，仅使用传统特征的基线模型对加性高斯噪声较为敏感，在</w:t>
      </w:r>
      <w:r>
        <w:t xml:space="preserve"> SNR </w:t>
      </w:r>
      <w:r>
        <w:t>降至中低水平时</w:t>
      </w:r>
      <w:r>
        <w:t xml:space="preserve"> Macro-F1 </w:t>
      </w:r>
      <w:r>
        <w:t>值显著下降。加入</w:t>
      </w:r>
      <w:r>
        <w:t xml:space="preserve"> MFCC</w:t>
      </w:r>
      <w:r>
        <w:t>、</w:t>
      </w:r>
      <w:r>
        <w:t xml:space="preserve">PNCC </w:t>
      </w:r>
      <w:r>
        <w:t>等感知特征后，模型在</w:t>
      </w:r>
      <w:r>
        <w:t xml:space="preserve"> 10–8 dB </w:t>
      </w:r>
      <w:r>
        <w:t>范围内的性能退化明显减缓，说明感知特征对噪声具有一定鲁棒性。</w:t>
      </w:r>
    </w:p>
    <w:p w14:paraId="41BB35F2" w14:textId="77777777" w:rsidR="001A2177" w:rsidRDefault="001A2177">
      <w:pPr>
        <w:ind w:firstLine="470"/>
      </w:pPr>
      <w:r>
        <w:t>多源特征融合方案，尤其是</w:t>
      </w:r>
      <w:r>
        <w:t>“</w:t>
      </w:r>
      <w:r>
        <w:t>传统</w:t>
      </w:r>
      <w:r>
        <w:t>+</w:t>
      </w:r>
      <w:r>
        <w:t>感知</w:t>
      </w:r>
      <w:r>
        <w:t>+MDS”</w:t>
      </w:r>
      <w:r>
        <w:t>和</w:t>
      </w:r>
      <w:r>
        <w:t>“CNN+MDS”</w:t>
      </w:r>
      <w:r>
        <w:t>组合，在所有噪声等级下均表现出更缓和的性能衰减曲线。在极低</w:t>
      </w:r>
      <w:r>
        <w:t xml:space="preserve"> SNR </w:t>
      </w:r>
      <w:r>
        <w:t>条件下，这些方案的</w:t>
      </w:r>
      <w:r>
        <w:t xml:space="preserve"> Macro-F1 </w:t>
      </w:r>
      <w:r>
        <w:t>仍明显高于仅使用单一特征或单一模型的对照方法。该现象表明，通过联合利用物理可解释特征、接近人耳听感的感知特征和直接来源于主观评价的感知嵌入，可以在较大程度上抑制噪声带来的随机干扰，从而提高熔透状态识别的稳定性。</w:t>
      </w:r>
    </w:p>
    <w:p w14:paraId="4611541D" w14:textId="77777777" w:rsidR="001A2177" w:rsidRDefault="001A2177">
      <w:pPr>
        <w:pStyle w:val="2"/>
        <w:widowControl/>
        <w:ind w:firstLine="551"/>
      </w:pPr>
      <w:r>
        <w:t xml:space="preserve">6.5 </w:t>
      </w:r>
      <w:r>
        <w:t>错误分析与讨论</w:t>
      </w:r>
    </w:p>
    <w:p w14:paraId="21D4B627" w14:textId="77777777" w:rsidR="001A2177" w:rsidRDefault="001A2177">
      <w:pPr>
        <w:ind w:firstLine="470"/>
      </w:pPr>
      <w:r>
        <w:t>为进一步理解模型的误判机理，本文对典型模型在测试集上的混淆矩阵进行分析。结果发现，在中高</w:t>
      </w:r>
      <w:r>
        <w:t xml:space="preserve"> SNR </w:t>
      </w:r>
      <w:r>
        <w:t>条件下，完全熔透类别的识别率最高，未熔透与过熔透之间存在一定混淆。物理上看，这两类状态在部分工况下熔池表面形态相近，而声学差异主要体现在根部行为和某些频带能量分布上，导致边界样本较难区分。在低</w:t>
      </w:r>
      <w:r>
        <w:t xml:space="preserve"> SNR </w:t>
      </w:r>
      <w:r>
        <w:t>条件下，部分未熔透样本被误判为完全熔透，主要原因在于噪声掩盖了声压级和频谱质心的差异。</w:t>
      </w:r>
    </w:p>
    <w:p w14:paraId="785CB2EF" w14:textId="77777777" w:rsidR="001A2177" w:rsidRDefault="001A2177">
      <w:pPr>
        <w:ind w:firstLine="470"/>
      </w:pPr>
      <w:r>
        <w:t>结合第</w:t>
      </w:r>
      <w:r>
        <w:t xml:space="preserve"> 2 </w:t>
      </w:r>
      <w:r>
        <w:t>章的声学机理分析可以看出，未熔透、完全熔透和过熔透在声压、频带能量分布和调制特性上的差异为分类提供了主信息源。当噪声强度过大或局部焊接过程发生扰动时，这些结构性特征在特征空间中的投影会被压缩或扭曲，导致样本接近决策边界。通过引入主观感知嵌入和多模型融合，可以在一定程度上缓解这一问题，但在极端噪声条件下仍存在改进空间。</w:t>
      </w:r>
    </w:p>
    <w:p w14:paraId="17496094" w14:textId="77777777" w:rsidR="001A2177" w:rsidRDefault="001A2177">
      <w:pPr>
        <w:pStyle w:val="2"/>
        <w:widowControl/>
        <w:ind w:firstLine="551"/>
      </w:pPr>
      <w:r>
        <w:lastRenderedPageBreak/>
        <w:t xml:space="preserve">6.6 </w:t>
      </w:r>
      <w:r>
        <w:t>本章小结</w:t>
      </w:r>
    </w:p>
    <w:p w14:paraId="750ADB04" w14:textId="77777777" w:rsidR="001A2177" w:rsidRDefault="001A2177">
      <w:pPr>
        <w:ind w:firstLine="470"/>
      </w:pPr>
      <w:r>
        <w:t>本章围绕</w:t>
      </w:r>
      <w:r>
        <w:t xml:space="preserve"> TIG </w:t>
      </w:r>
      <w:r>
        <w:t>焊接熔透状态识别，系统给出了多源声学特征与主观感知嵌入驱动的实验结果与分析。通过对不同特征组合、不同分类器以及不同噪声条件下的性能比较，验证了本文方法在识别精度和噪声鲁棒性方面的有效性。实验结果表明，多源特征融合和基于主观不相似度的感知嵌入是提升熔透识别性能的关键因素，距离核</w:t>
      </w:r>
      <w:r>
        <w:t xml:space="preserve"> SVM </w:t>
      </w:r>
      <w:r>
        <w:t>与</w:t>
      </w:r>
      <w:r>
        <w:t xml:space="preserve"> CNN+MDS </w:t>
      </w:r>
      <w:r>
        <w:t>模型在多数场景下取得了最优或接近最优的</w:t>
      </w:r>
      <w:r>
        <w:t xml:space="preserve"> Macro-F1</w:t>
      </w:r>
      <w:r>
        <w:t>。</w:t>
      </w:r>
    </w:p>
    <w:p w14:paraId="3C810CB5" w14:textId="77777777" w:rsidR="001A2177" w:rsidRDefault="001A2177">
      <w:pPr>
        <w:ind w:firstLine="470"/>
      </w:pPr>
      <w:r>
        <w:t>上述研究为构建基于焊接声的熔透状态在线监测系统提供了重要参考，也为后续在更复杂工况和多传感融合框架下拓展研究奠定了基础。下一章将在此基础上对本文的主要工作进行总结，并展望未来的研究方向。</w:t>
      </w:r>
    </w:p>
    <w:p w14:paraId="3DD15718" w14:textId="77777777" w:rsidR="001A2177" w:rsidRDefault="001A2177">
      <w:pPr>
        <w:widowControl/>
        <w:ind w:firstLine="470"/>
      </w:pPr>
      <w:r>
        <w:pict w14:anchorId="0CE870FF">
          <v:rect id="矩形 2" o:spid="_x0000_i1026" style="width:6in;height:1.5pt" o:hralign="center" o:allowincell="f" o:hrstd="t" o:hr="t" fillcolor="#a0a0a0" stroked="f"/>
        </w:pict>
      </w:r>
    </w:p>
    <w:p w14:paraId="2306F74E" w14:textId="77777777" w:rsidR="001A2177" w:rsidRDefault="001A2177">
      <w:pPr>
        <w:pStyle w:val="2"/>
        <w:ind w:firstLine="551"/>
      </w:pPr>
      <w:r>
        <w:t>7</w:t>
      </w:r>
      <w:r>
        <w:rPr>
          <w:rFonts w:hint="eastAsia"/>
        </w:rPr>
        <w:t xml:space="preserve"> </w:t>
      </w:r>
      <w:r>
        <w:t>结论与展望</w:t>
      </w:r>
    </w:p>
    <w:p w14:paraId="5D4A3F08" w14:textId="77777777" w:rsidR="001A2177" w:rsidRDefault="001A2177">
      <w:pPr>
        <w:pStyle w:val="3"/>
        <w:ind w:firstLine="472"/>
      </w:pPr>
      <w:r>
        <w:t xml:space="preserve">7.1 </w:t>
      </w:r>
      <w:r>
        <w:t>研究工作总结</w:t>
      </w:r>
    </w:p>
    <w:p w14:paraId="0460EBA1" w14:textId="77777777" w:rsidR="001A2177" w:rsidRDefault="001A2177">
      <w:pPr>
        <w:ind w:firstLine="470"/>
      </w:pPr>
      <w:r>
        <w:t>本文围绕直流正接</w:t>
      </w:r>
      <w:r>
        <w:t xml:space="preserve"> TIG </w:t>
      </w:r>
      <w:r>
        <w:t>焊接过程中电弧声信号与熔透状态之间的关系，开展了从声学机理分析、试验平台搭建、特征提取到多源特征融合识别方法的一系列研究。首先，通过对三种典型熔透状态下电弧声的分析，揭示了声压级、频谱质心、频带能量分布和能量稳定性等特征与熔透状态之间的关联，构建了焊接声学机理的基础认识。其次，搭建了焊接</w:t>
      </w:r>
      <w:r>
        <w:t>–</w:t>
      </w:r>
      <w:r>
        <w:t>声学一体化试验平台，采集并构建了标注完备的</w:t>
      </w:r>
      <w:r>
        <w:t xml:space="preserve"> TIG </w:t>
      </w:r>
      <w:r>
        <w:t>电弧声数据集。</w:t>
      </w:r>
    </w:p>
    <w:p w14:paraId="153C2B2D" w14:textId="77777777" w:rsidR="001A2177" w:rsidRDefault="001A2177">
      <w:pPr>
        <w:ind w:firstLine="470"/>
      </w:pPr>
      <w:r>
        <w:t>在方法层面，本文提出了一套包含传统时频特征、感知相关特征、主观感知嵌入和深度学习特征的多源特征体系，并基于主观成对比较与</w:t>
      </w:r>
      <w:r>
        <w:t xml:space="preserve"> MDS/Isomap </w:t>
      </w:r>
      <w:r>
        <w:t>构建焊接声的感知嵌入空间。进一步地，结合</w:t>
      </w:r>
      <w:r>
        <w:t xml:space="preserve"> SVM</w:t>
      </w:r>
      <w:r>
        <w:t>、距离核</w:t>
      </w:r>
      <w:r>
        <w:t xml:space="preserve"> SVM</w:t>
      </w:r>
      <w:r>
        <w:t>、随机森林、</w:t>
      </w:r>
      <w:r>
        <w:t xml:space="preserve">MLP </w:t>
      </w:r>
      <w:r>
        <w:t>和</w:t>
      </w:r>
      <w:r>
        <w:t xml:space="preserve"> CNN </w:t>
      </w:r>
      <w:r>
        <w:t>等模型，构建了多特征融合的熔透状态识别方法，利用噪声增强样本系统评估了不同方案在多级</w:t>
      </w:r>
      <w:r>
        <w:t xml:space="preserve"> SNR </w:t>
      </w:r>
      <w:r>
        <w:t>条件下的性能。实验结果表明，多源特征融合与感知嵌入显著提升了熔透状态识别精度和噪声鲁棒性。</w:t>
      </w:r>
    </w:p>
    <w:p w14:paraId="40510CDA" w14:textId="77777777" w:rsidR="001A2177" w:rsidRDefault="001A2177">
      <w:pPr>
        <w:pStyle w:val="2"/>
        <w:widowControl/>
        <w:ind w:firstLine="551"/>
      </w:pPr>
      <w:r>
        <w:t xml:space="preserve">7.2 </w:t>
      </w:r>
      <w:r>
        <w:t>创新点与不足</w:t>
      </w:r>
    </w:p>
    <w:p w14:paraId="0066E72F" w14:textId="77777777" w:rsidR="001A2177" w:rsidRDefault="001A2177">
      <w:pPr>
        <w:ind w:firstLine="470"/>
      </w:pPr>
      <w:r>
        <w:t>本文的主要创新点在于：一是从焊接工艺与电弧</w:t>
      </w:r>
      <w:r>
        <w:t>–</w:t>
      </w:r>
      <w:r>
        <w:t>熔池耦合机理出发，系统分析了不同熔透状态下电弧声的物理和声学特征，为基于声学的熔透状态识别提供了理论支撑；二是引入主观成对比较和</w:t>
      </w:r>
      <w:r>
        <w:t xml:space="preserve"> MDS/Isomap</w:t>
      </w:r>
      <w:r>
        <w:t>，构建了焊接声的低维感知嵌入，建立了</w:t>
      </w:r>
      <w:r>
        <w:t>“</w:t>
      </w:r>
      <w:r>
        <w:t>主观听感</w:t>
      </w:r>
      <w:r>
        <w:t>–</w:t>
      </w:r>
      <w:r>
        <w:t>特征空间</w:t>
      </w:r>
      <w:r>
        <w:t>–</w:t>
      </w:r>
      <w:r>
        <w:t>分类决策</w:t>
      </w:r>
      <w:r>
        <w:t>”</w:t>
      </w:r>
      <w:r>
        <w:t>之间的联系；三是提出了多源声学特征与感知嵌入的融合方法，结合距离核</w:t>
      </w:r>
      <w:r>
        <w:t xml:space="preserve"> SVM </w:t>
      </w:r>
      <w:r>
        <w:t>和</w:t>
      </w:r>
      <w:r>
        <w:t xml:space="preserve"> CNN+MDS </w:t>
      </w:r>
      <w:r>
        <w:t>模型，在复杂噪声环境下实现了噪声鲁棒的熔透状态识别。</w:t>
      </w:r>
    </w:p>
    <w:p w14:paraId="06BF9D57" w14:textId="77777777" w:rsidR="001A2177" w:rsidRDefault="001A2177">
      <w:pPr>
        <w:ind w:firstLine="470"/>
      </w:pPr>
      <w:r>
        <w:t>然而，本文仍存在一些不足之处。首先，试验数据主要来源于特定材料和板厚条件下的</w:t>
      </w:r>
      <w:r>
        <w:lastRenderedPageBreak/>
        <w:t>直线焊缝，工况多样性有限，方法在更复杂焊接场景下的泛化能力有待进一步验证。其次，主观评价实验样本数量和受试者规模有限，对感知嵌入的统计稳定性可能存在影响。再次，本文主要考虑了高斯白噪声干扰，尚未系统考察焊接现场多源非高斯噪声对识别性能的影响。</w:t>
      </w:r>
    </w:p>
    <w:p w14:paraId="0003CCFB" w14:textId="77777777" w:rsidR="001A2177" w:rsidRDefault="001A2177">
      <w:pPr>
        <w:pStyle w:val="2"/>
        <w:widowControl/>
        <w:ind w:firstLine="551"/>
      </w:pPr>
      <w:r>
        <w:t xml:space="preserve">7.3 </w:t>
      </w:r>
      <w:r>
        <w:t>后续工作展望</w:t>
      </w:r>
    </w:p>
    <w:p w14:paraId="2CDB67C8" w14:textId="77777777" w:rsidR="001A2177" w:rsidRDefault="001A2177">
      <w:pPr>
        <w:ind w:firstLine="470"/>
      </w:pPr>
      <w:r>
        <w:t>未来工作可从以下几个方面展开：一是扩展试验工况和材料体系，将方法推广至多层多道焊、异种金属焊接以及不同板厚和坡口形式下的熔透状态识别，提升方法的工程适用性。二是结合电压、电流、光谱和视觉等多模态传感信息，构建基于物理机理和数据融合的焊接质量在线监测框架，进一步提高对复杂缺陷的综合识别能力。三是在主观感知建模方面，设计更大规模、更细致的主观评价实验，引入度量学习等方法优化感知嵌入空间。</w:t>
      </w:r>
    </w:p>
    <w:p w14:paraId="78292D7D" w14:textId="77777777" w:rsidR="001A2177" w:rsidRDefault="001A2177">
      <w:pPr>
        <w:ind w:firstLine="470"/>
      </w:pPr>
      <w:r>
        <w:t>此外，在算法层面可以探索图神经网络、对比学习和不确定性估计等新技术，引入样本质量评估和主动学习机制，以提高模型在小样本和分布漂移条件下的鲁棒性。最终目标是将焊接声学监测与焊接机器人控制系统深度融合，实现焊接过程的实时质量评估与自适应调节，为高端制造领域焊接工艺的智能化升级提供有力支撑。</w:t>
      </w:r>
    </w:p>
    <w:p w14:paraId="5EC30045" w14:textId="77777777" w:rsidR="001A2177" w:rsidRDefault="001A2177">
      <w:pPr>
        <w:pStyle w:val="ae"/>
        <w:widowControl/>
        <w:ind w:firstLineChars="0" w:firstLine="0"/>
      </w:pPr>
    </w:p>
    <w:p w14:paraId="79EE2FDA" w14:textId="77777777" w:rsidR="001A2177" w:rsidRDefault="001A2177">
      <w:pPr>
        <w:pStyle w:val="a0"/>
        <w:ind w:firstLine="412"/>
      </w:pPr>
    </w:p>
    <w:p w14:paraId="41AEC7C4" w14:textId="77777777" w:rsidR="001A2177" w:rsidRDefault="001A2177">
      <w:pPr>
        <w:outlineLvl w:val="0"/>
        <w:rPr>
          <w:rFonts w:hint="eastAsia"/>
          <w:sz w:val="21"/>
        </w:rPr>
      </w:pPr>
      <w:r>
        <w:rPr>
          <w:rFonts w:hint="eastAsia"/>
          <w:sz w:val="21"/>
        </w:rPr>
        <w:t xml:space="preserve">1.2.1 </w:t>
      </w:r>
      <w:r>
        <w:rPr>
          <w:rFonts w:hint="eastAsia"/>
          <w:sz w:val="21"/>
        </w:rPr>
        <w:t>正体</w:t>
      </w:r>
      <w:r>
        <w:rPr>
          <w:rFonts w:hint="eastAsia"/>
          <w:color w:val="0000CC"/>
          <w:sz w:val="21"/>
        </w:rPr>
        <w:t>(</w:t>
      </w:r>
      <w:r>
        <w:rPr>
          <w:rFonts w:hint="eastAsia"/>
          <w:color w:val="0000CC"/>
          <w:sz w:val="21"/>
        </w:rPr>
        <w:t>五号宋体，顶格，序号和标题文字间空半格</w:t>
      </w:r>
      <w:r>
        <w:rPr>
          <w:rFonts w:hint="eastAsia"/>
          <w:color w:val="0000CC"/>
          <w:sz w:val="21"/>
        </w:rPr>
        <w:t>)</w:t>
      </w:r>
    </w:p>
    <w:p w14:paraId="6932708F" w14:textId="77777777" w:rsidR="001A2177" w:rsidRDefault="001A2177">
      <w:pPr>
        <w:ind w:firstLineChars="200" w:firstLine="480"/>
        <w:rPr>
          <w:rFonts w:hint="eastAsia"/>
          <w:color w:val="FF0000"/>
          <w:szCs w:val="18"/>
        </w:rPr>
      </w:pPr>
      <w:r>
        <w:rPr>
          <w:rFonts w:hint="eastAsia"/>
          <w:color w:val="FF0000"/>
          <w:szCs w:val="18"/>
        </w:rPr>
        <w:t>【说明：变量名称用斜体单字母表示，需要区分时可加下标；下标中由文字转化来的说明性字符用正体，由变量转化来的用斜体。】</w:t>
      </w:r>
    </w:p>
    <w:p w14:paraId="4F150D4B" w14:textId="77777777" w:rsidR="001A2177" w:rsidRDefault="001A2177">
      <w:pPr>
        <w:outlineLvl w:val="0"/>
        <w:rPr>
          <w:rFonts w:hint="eastAsia"/>
          <w:sz w:val="21"/>
        </w:rPr>
      </w:pPr>
      <w:r>
        <w:rPr>
          <w:rFonts w:hint="eastAsia"/>
          <w:sz w:val="21"/>
        </w:rPr>
        <w:t xml:space="preserve">1.2.2 </w:t>
      </w:r>
      <w:r>
        <w:rPr>
          <w:rFonts w:hint="eastAsia"/>
          <w:sz w:val="21"/>
        </w:rPr>
        <w:t>斜体</w:t>
      </w:r>
    </w:p>
    <w:p w14:paraId="75ABCCEF" w14:textId="77777777" w:rsidR="001A2177" w:rsidRDefault="001A2177">
      <w:pPr>
        <w:ind w:firstLineChars="200" w:firstLine="480"/>
        <w:rPr>
          <w:rFonts w:hint="eastAsia"/>
          <w:color w:val="FF0000"/>
          <w:szCs w:val="18"/>
        </w:rPr>
      </w:pPr>
      <w:r>
        <w:rPr>
          <w:rFonts w:hint="eastAsia"/>
          <w:color w:val="FF0000"/>
          <w:szCs w:val="18"/>
        </w:rPr>
        <w:t>【说明：量单位及词头用正体。如</w:t>
      </w:r>
      <w:r>
        <w:rPr>
          <w:rFonts w:hint="eastAsia"/>
          <w:color w:val="FF0000"/>
          <w:szCs w:val="18"/>
        </w:rPr>
        <w:t>kg</w:t>
      </w:r>
      <w:r>
        <w:rPr>
          <w:rFonts w:hint="eastAsia"/>
          <w:color w:val="FF0000"/>
          <w:szCs w:val="18"/>
        </w:rPr>
        <w:t>、</w:t>
      </w:r>
      <w:r>
        <w:rPr>
          <w:rFonts w:hint="eastAsia"/>
          <w:color w:val="FF0000"/>
          <w:szCs w:val="18"/>
        </w:rPr>
        <w:t>n</w:t>
      </w:r>
      <w:r>
        <w:rPr>
          <w:color w:val="FF0000"/>
          <w:szCs w:val="18"/>
        </w:rPr>
        <w:t>m</w:t>
      </w:r>
      <w:r>
        <w:rPr>
          <w:rFonts w:hint="eastAsia"/>
          <w:color w:val="FF0000"/>
          <w:szCs w:val="18"/>
        </w:rPr>
        <w:t>等。运算符用正体，如</w:t>
      </w:r>
      <w:r>
        <w:rPr>
          <w:color w:val="FF0000"/>
          <w:szCs w:val="18"/>
        </w:rPr>
        <w:t>d</w:t>
      </w:r>
      <w:r>
        <w:rPr>
          <w:rFonts w:hint="eastAsia"/>
          <w:color w:val="FF0000"/>
          <w:szCs w:val="18"/>
        </w:rPr>
        <w:t>、</w:t>
      </w:r>
      <w:r>
        <w:rPr>
          <w:color w:val="FF0000"/>
          <w:szCs w:val="18"/>
        </w:rPr>
        <w:t>exp</w:t>
      </w:r>
      <w:r>
        <w:rPr>
          <w:rFonts w:hint="eastAsia"/>
          <w:color w:val="FF0000"/>
          <w:szCs w:val="18"/>
        </w:rPr>
        <w:t>、</w:t>
      </w:r>
      <w:r>
        <w:rPr>
          <w:color w:val="FF0000"/>
          <w:szCs w:val="18"/>
        </w:rPr>
        <w:t>lg</w:t>
      </w:r>
      <w:r>
        <w:rPr>
          <w:rFonts w:hint="eastAsia"/>
          <w:color w:val="FF0000"/>
          <w:szCs w:val="18"/>
        </w:rPr>
        <w:t>、</w:t>
      </w:r>
      <w:r>
        <w:rPr>
          <w:color w:val="FF0000"/>
          <w:szCs w:val="18"/>
        </w:rPr>
        <w:t>max</w:t>
      </w:r>
      <w:r>
        <w:rPr>
          <w:rFonts w:hint="eastAsia"/>
          <w:color w:val="FF0000"/>
          <w:szCs w:val="18"/>
        </w:rPr>
        <w:t>、</w:t>
      </w:r>
      <w:r>
        <w:rPr>
          <w:color w:val="FF0000"/>
          <w:szCs w:val="18"/>
        </w:rPr>
        <w:t>min</w:t>
      </w:r>
      <w:r>
        <w:rPr>
          <w:rFonts w:hint="eastAsia"/>
          <w:color w:val="FF0000"/>
          <w:szCs w:val="18"/>
        </w:rPr>
        <w:t>等；几个特殊常数用正体，如</w:t>
      </w:r>
      <w:r>
        <w:rPr>
          <w:color w:val="FF0000"/>
          <w:szCs w:val="18"/>
        </w:rPr>
        <w:t>e</w:t>
      </w:r>
      <w:r>
        <w:rPr>
          <w:rFonts w:hint="eastAsia"/>
          <w:color w:val="FF0000"/>
          <w:szCs w:val="18"/>
        </w:rPr>
        <w:t>、π、</w:t>
      </w:r>
      <w:r>
        <w:rPr>
          <w:color w:val="FF0000"/>
          <w:szCs w:val="18"/>
        </w:rPr>
        <w:t>I</w:t>
      </w:r>
      <w:r>
        <w:rPr>
          <w:rFonts w:hint="eastAsia"/>
          <w:color w:val="FF0000"/>
          <w:szCs w:val="18"/>
        </w:rPr>
        <w:t>。】</w:t>
      </w:r>
    </w:p>
    <w:p w14:paraId="5AE1F318" w14:textId="77777777" w:rsidR="001A2177" w:rsidRDefault="001A2177">
      <w:pPr>
        <w:ind w:firstLine="413"/>
        <w:outlineLvl w:val="0"/>
        <w:rPr>
          <w:rFonts w:hint="eastAsia"/>
          <w:b/>
          <w:sz w:val="21"/>
        </w:rPr>
      </w:pPr>
      <w:r>
        <w:rPr>
          <w:rFonts w:hint="eastAsia"/>
          <w:b/>
          <w:sz w:val="21"/>
        </w:rPr>
        <w:t xml:space="preserve">1.3 </w:t>
      </w:r>
      <w:r>
        <w:rPr>
          <w:rFonts w:hint="eastAsia"/>
          <w:b/>
          <w:sz w:val="21"/>
        </w:rPr>
        <w:t>黑体</w:t>
      </w:r>
    </w:p>
    <w:p w14:paraId="2937CCBE" w14:textId="77777777" w:rsidR="001A2177" w:rsidRDefault="001A2177">
      <w:pPr>
        <w:ind w:firstLineChars="200" w:firstLine="480"/>
        <w:rPr>
          <w:rFonts w:hint="eastAsia"/>
          <w:color w:val="FF0000"/>
          <w:szCs w:val="18"/>
        </w:rPr>
      </w:pPr>
      <w:r>
        <w:rPr>
          <w:rFonts w:hint="eastAsia"/>
          <w:color w:val="FF0000"/>
          <w:szCs w:val="18"/>
        </w:rPr>
        <w:t>【说明：矩阵、矢量、张量名称用黑斜体表示。】</w:t>
      </w:r>
    </w:p>
    <w:p w14:paraId="5CB65383" w14:textId="77777777" w:rsidR="001A2177" w:rsidRDefault="001A2177">
      <w:pPr>
        <w:ind w:firstLine="551"/>
        <w:outlineLvl w:val="0"/>
        <w:rPr>
          <w:rFonts w:hint="eastAsia"/>
          <w:b/>
          <w:sz w:val="28"/>
          <w:szCs w:val="28"/>
        </w:rPr>
      </w:pPr>
      <w:r>
        <w:rPr>
          <w:rFonts w:hint="eastAsia"/>
          <w:b/>
          <w:sz w:val="28"/>
          <w:szCs w:val="28"/>
        </w:rPr>
        <w:t xml:space="preserve">2 </w:t>
      </w:r>
      <w:r>
        <w:rPr>
          <w:rFonts w:hint="eastAsia"/>
          <w:b/>
          <w:sz w:val="28"/>
          <w:szCs w:val="28"/>
        </w:rPr>
        <w:t>层次标题</w:t>
      </w:r>
    </w:p>
    <w:p w14:paraId="59AEB529" w14:textId="77777777" w:rsidR="001A2177" w:rsidRDefault="001A2177">
      <w:pPr>
        <w:ind w:firstLineChars="200" w:firstLine="480"/>
        <w:rPr>
          <w:color w:val="FF0000"/>
          <w:szCs w:val="18"/>
        </w:rPr>
      </w:pPr>
      <w:r>
        <w:rPr>
          <w:rFonts w:hint="eastAsia"/>
          <w:color w:val="FF0000"/>
          <w:szCs w:val="18"/>
        </w:rPr>
        <w:t>【说明：层次标题是指除文章题名外的不同级别的分标题。各级层次标题都要简短明确，同一层次的标题应尽可能</w:t>
      </w:r>
      <w:r>
        <w:rPr>
          <w:color w:val="FF0000"/>
          <w:szCs w:val="18"/>
        </w:rPr>
        <w:t>“</w:t>
      </w:r>
      <w:r>
        <w:rPr>
          <w:rFonts w:hint="eastAsia"/>
          <w:color w:val="FF0000"/>
          <w:szCs w:val="18"/>
        </w:rPr>
        <w:t>排比</w:t>
      </w:r>
      <w:r>
        <w:rPr>
          <w:color w:val="FF0000"/>
          <w:szCs w:val="18"/>
        </w:rPr>
        <w:t>”</w:t>
      </w:r>
      <w:r>
        <w:rPr>
          <w:rFonts w:hint="eastAsia"/>
          <w:color w:val="FF0000"/>
          <w:szCs w:val="18"/>
        </w:rPr>
        <w:t>。即词</w:t>
      </w:r>
      <w:r>
        <w:rPr>
          <w:rFonts w:hint="eastAsia"/>
          <w:color w:val="FF0000"/>
          <w:szCs w:val="18"/>
        </w:rPr>
        <w:t>(</w:t>
      </w:r>
      <w:r>
        <w:rPr>
          <w:rFonts w:hint="eastAsia"/>
          <w:color w:val="FF0000"/>
          <w:szCs w:val="18"/>
        </w:rPr>
        <w:t>或词组</w:t>
      </w:r>
      <w:r>
        <w:rPr>
          <w:rFonts w:hint="eastAsia"/>
          <w:color w:val="FF0000"/>
          <w:szCs w:val="18"/>
        </w:rPr>
        <w:t>)</w:t>
      </w:r>
      <w:r>
        <w:rPr>
          <w:rFonts w:hint="eastAsia"/>
          <w:color w:val="FF0000"/>
          <w:szCs w:val="18"/>
        </w:rPr>
        <w:t>类型相同</w:t>
      </w:r>
      <w:r>
        <w:rPr>
          <w:rFonts w:hint="eastAsia"/>
          <w:color w:val="FF0000"/>
          <w:szCs w:val="18"/>
        </w:rPr>
        <w:t>(</w:t>
      </w:r>
      <w:r>
        <w:rPr>
          <w:rFonts w:hint="eastAsia"/>
          <w:color w:val="FF0000"/>
          <w:szCs w:val="18"/>
        </w:rPr>
        <w:t>或相近</w:t>
      </w:r>
      <w:r>
        <w:rPr>
          <w:rFonts w:hint="eastAsia"/>
          <w:color w:val="FF0000"/>
          <w:szCs w:val="18"/>
        </w:rPr>
        <w:t>)</w:t>
      </w:r>
      <w:r>
        <w:rPr>
          <w:rFonts w:hint="eastAsia"/>
          <w:color w:val="FF0000"/>
          <w:szCs w:val="18"/>
        </w:rPr>
        <w:t>，意义相关，语气一致。】</w:t>
      </w:r>
    </w:p>
    <w:p w14:paraId="1E68C74E" w14:textId="77777777" w:rsidR="001A2177" w:rsidRDefault="001A2177">
      <w:pPr>
        <w:ind w:firstLine="551"/>
        <w:rPr>
          <w:rFonts w:hint="eastAsia"/>
          <w:b/>
          <w:sz w:val="28"/>
          <w:szCs w:val="28"/>
        </w:rPr>
      </w:pPr>
      <w:r>
        <w:rPr>
          <w:rFonts w:hint="eastAsia"/>
          <w:b/>
          <w:sz w:val="28"/>
          <w:szCs w:val="28"/>
        </w:rPr>
        <w:t xml:space="preserve">3 </w:t>
      </w:r>
      <w:r>
        <w:rPr>
          <w:rFonts w:hint="eastAsia"/>
          <w:b/>
          <w:sz w:val="28"/>
          <w:szCs w:val="28"/>
        </w:rPr>
        <w:t>插图</w:t>
      </w:r>
      <w:r>
        <w:rPr>
          <w:rFonts w:hint="eastAsia"/>
          <w:b/>
          <w:color w:val="0000CC"/>
          <w:szCs w:val="18"/>
        </w:rPr>
        <w:t>(</w:t>
      </w:r>
      <w:r>
        <w:rPr>
          <w:rFonts w:hint="eastAsia"/>
          <w:b/>
          <w:color w:val="0000CC"/>
          <w:szCs w:val="18"/>
        </w:rPr>
        <w:t>图题使用小五号黑体，居中，列于图下</w:t>
      </w:r>
      <w:r>
        <w:rPr>
          <w:rFonts w:hint="eastAsia"/>
          <w:b/>
          <w:color w:val="0000CC"/>
          <w:szCs w:val="18"/>
        </w:rPr>
        <w:t>)</w:t>
      </w:r>
    </w:p>
    <w:p w14:paraId="34B2B3E8" w14:textId="77777777" w:rsidR="001A2177" w:rsidRDefault="001A2177">
      <w:pPr>
        <w:ind w:firstLineChars="200" w:firstLine="480"/>
        <w:rPr>
          <w:rFonts w:hint="eastAsia"/>
          <w:color w:val="FF0000"/>
          <w:szCs w:val="18"/>
        </w:rPr>
      </w:pPr>
      <w:r>
        <w:rPr>
          <w:rFonts w:hint="eastAsia"/>
          <w:color w:val="FF0000"/>
          <w:szCs w:val="18"/>
        </w:rPr>
        <w:lastRenderedPageBreak/>
        <w:t>【说明：</w:t>
      </w:r>
    </w:p>
    <w:p w14:paraId="46ACAA71" w14:textId="77777777" w:rsidR="001A2177" w:rsidRDefault="001A2177">
      <w:pPr>
        <w:ind w:firstLineChars="200" w:firstLine="480"/>
        <w:rPr>
          <w:rFonts w:hint="eastAsia"/>
          <w:color w:val="FF0000"/>
          <w:szCs w:val="18"/>
        </w:rPr>
      </w:pPr>
      <w:r>
        <w:rPr>
          <w:rFonts w:hint="eastAsia"/>
          <w:color w:val="FF0000"/>
          <w:szCs w:val="18"/>
        </w:rPr>
        <w:t xml:space="preserve">1) </w:t>
      </w:r>
      <w:r>
        <w:rPr>
          <w:rFonts w:hint="eastAsia"/>
          <w:color w:val="FF0000"/>
          <w:szCs w:val="18"/>
        </w:rPr>
        <w:t>插图要精选，应具有自明性，切忌与表及文字表述重复。一般不超过</w:t>
      </w:r>
      <w:r>
        <w:rPr>
          <w:rFonts w:hint="eastAsia"/>
          <w:color w:val="FF0000"/>
          <w:szCs w:val="18"/>
        </w:rPr>
        <w:t>6</w:t>
      </w:r>
      <w:r>
        <w:rPr>
          <w:rFonts w:hint="eastAsia"/>
          <w:color w:val="FF0000"/>
          <w:szCs w:val="18"/>
        </w:rPr>
        <w:t>幅。</w:t>
      </w:r>
    </w:p>
    <w:p w14:paraId="69137EC0" w14:textId="77777777" w:rsidR="001A2177" w:rsidRDefault="001A2177">
      <w:pPr>
        <w:ind w:firstLineChars="200" w:firstLine="480"/>
        <w:rPr>
          <w:rFonts w:hint="eastAsia"/>
          <w:color w:val="FF0000"/>
          <w:szCs w:val="18"/>
        </w:rPr>
      </w:pPr>
      <w:r>
        <w:rPr>
          <w:color w:val="FF0000"/>
          <w:szCs w:val="18"/>
        </w:rPr>
        <w:t>2</w:t>
      </w:r>
      <w:r>
        <w:rPr>
          <w:rFonts w:hint="eastAsia"/>
          <w:color w:val="FF0000"/>
          <w:szCs w:val="18"/>
        </w:rPr>
        <w:t xml:space="preserve">) </w:t>
      </w:r>
      <w:r>
        <w:rPr>
          <w:rFonts w:hint="eastAsia"/>
          <w:color w:val="FF0000"/>
          <w:szCs w:val="18"/>
        </w:rPr>
        <w:t>插图要精心设计和绘制，要大小适中，线条均匀，主辅线分明。插图中文字与符号均应植字，缩尺后字的大小以处于六号或小五号为宜。</w:t>
      </w:r>
    </w:p>
    <w:p w14:paraId="2BF27374" w14:textId="77777777" w:rsidR="001A2177" w:rsidRDefault="001A2177">
      <w:pPr>
        <w:ind w:firstLineChars="200" w:firstLine="480"/>
        <w:rPr>
          <w:rFonts w:hint="eastAsia"/>
          <w:color w:val="FF0000"/>
          <w:szCs w:val="18"/>
        </w:rPr>
      </w:pPr>
      <w:r>
        <w:rPr>
          <w:color w:val="FF0000"/>
          <w:szCs w:val="18"/>
        </w:rPr>
        <w:t>3</w:t>
      </w:r>
      <w:r>
        <w:rPr>
          <w:rFonts w:hint="eastAsia"/>
          <w:color w:val="FF0000"/>
          <w:szCs w:val="18"/>
        </w:rPr>
        <w:t xml:space="preserve">) </w:t>
      </w:r>
      <w:r>
        <w:rPr>
          <w:rFonts w:hint="eastAsia"/>
          <w:color w:val="FF0000"/>
          <w:szCs w:val="18"/>
        </w:rPr>
        <w:t>插图中的术语、符号、单位等应与表格及文字表述所用的一致。</w:t>
      </w:r>
    </w:p>
    <w:p w14:paraId="0F43EB9B" w14:textId="77777777" w:rsidR="001A2177" w:rsidRDefault="001A2177">
      <w:pPr>
        <w:ind w:firstLineChars="200" w:firstLine="480"/>
        <w:rPr>
          <w:color w:val="FF0000"/>
          <w:szCs w:val="18"/>
        </w:rPr>
      </w:pPr>
      <w:r>
        <w:rPr>
          <w:color w:val="FF0000"/>
          <w:szCs w:val="18"/>
        </w:rPr>
        <w:t>4</w:t>
      </w:r>
      <w:r>
        <w:rPr>
          <w:rFonts w:hint="eastAsia"/>
          <w:color w:val="FF0000"/>
          <w:szCs w:val="18"/>
        </w:rPr>
        <w:t xml:space="preserve">) </w:t>
      </w:r>
      <w:r>
        <w:rPr>
          <w:rFonts w:hint="eastAsia"/>
          <w:color w:val="FF0000"/>
          <w:szCs w:val="18"/>
        </w:rPr>
        <w:t>插图应有以阿拉伯数字连续编号的图序</w:t>
      </w:r>
      <w:r>
        <w:rPr>
          <w:rFonts w:hint="eastAsia"/>
          <w:color w:val="FF0000"/>
          <w:szCs w:val="18"/>
        </w:rPr>
        <w:t>(</w:t>
      </w:r>
      <w:r>
        <w:rPr>
          <w:rFonts w:hint="eastAsia"/>
          <w:color w:val="FF0000"/>
          <w:szCs w:val="18"/>
        </w:rPr>
        <w:t>如仅有</w:t>
      </w:r>
      <w:r>
        <w:rPr>
          <w:color w:val="FF0000"/>
          <w:szCs w:val="18"/>
        </w:rPr>
        <w:t>1</w:t>
      </w:r>
      <w:r>
        <w:rPr>
          <w:rFonts w:hint="eastAsia"/>
          <w:color w:val="FF0000"/>
          <w:szCs w:val="18"/>
        </w:rPr>
        <w:t>个图，可定名为</w:t>
      </w:r>
      <w:r>
        <w:rPr>
          <w:color w:val="FF0000"/>
          <w:szCs w:val="18"/>
        </w:rPr>
        <w:t>“</w:t>
      </w:r>
      <w:r>
        <w:rPr>
          <w:rFonts w:hint="eastAsia"/>
          <w:color w:val="FF0000"/>
          <w:szCs w:val="18"/>
        </w:rPr>
        <w:t>图</w:t>
      </w:r>
      <w:r>
        <w:rPr>
          <w:color w:val="FF0000"/>
          <w:szCs w:val="18"/>
        </w:rPr>
        <w:t>1”</w:t>
      </w:r>
      <w:r>
        <w:rPr>
          <w:rFonts w:hint="eastAsia"/>
          <w:color w:val="FF0000"/>
          <w:szCs w:val="18"/>
        </w:rPr>
        <w:t>)</w:t>
      </w:r>
      <w:r>
        <w:rPr>
          <w:rFonts w:hint="eastAsia"/>
          <w:color w:val="FF0000"/>
          <w:szCs w:val="18"/>
        </w:rPr>
        <w:t>和图题，居中排于图下。</w:t>
      </w:r>
    </w:p>
    <w:p w14:paraId="3BB25135" w14:textId="77777777" w:rsidR="001A2177" w:rsidRDefault="001A2177">
      <w:pPr>
        <w:ind w:firstLineChars="200" w:firstLine="480"/>
        <w:rPr>
          <w:rFonts w:hint="eastAsia"/>
          <w:color w:val="FF0000"/>
          <w:szCs w:val="18"/>
        </w:rPr>
      </w:pPr>
      <w:r>
        <w:rPr>
          <w:rFonts w:hint="eastAsia"/>
          <w:color w:val="FF0000"/>
          <w:szCs w:val="18"/>
        </w:rPr>
        <w:t xml:space="preserve">5) </w:t>
      </w:r>
      <w:r>
        <w:rPr>
          <w:rFonts w:hint="eastAsia"/>
          <w:color w:val="FF0000"/>
          <w:szCs w:val="18"/>
        </w:rPr>
        <w:t>函数图要有标目</w:t>
      </w:r>
      <w:r>
        <w:rPr>
          <w:color w:val="FF0000"/>
          <w:szCs w:val="18"/>
        </w:rPr>
        <w:t>，</w:t>
      </w:r>
      <w:r>
        <w:rPr>
          <w:rFonts w:hint="eastAsia"/>
          <w:color w:val="FF0000"/>
          <w:szCs w:val="18"/>
        </w:rPr>
        <w:t>用量符号与该量单位符号之比表示</w:t>
      </w:r>
      <w:r>
        <w:rPr>
          <w:color w:val="FF0000"/>
          <w:szCs w:val="18"/>
        </w:rPr>
        <w:t>，</w:t>
      </w:r>
      <w:r>
        <w:rPr>
          <w:rFonts w:hint="eastAsia"/>
          <w:color w:val="FF0000"/>
          <w:szCs w:val="18"/>
        </w:rPr>
        <w:t>如“</w:t>
      </w:r>
      <w:r>
        <w:rPr>
          <w:color w:val="FF0000"/>
          <w:szCs w:val="18"/>
        </w:rPr>
        <w:t>p</w:t>
      </w:r>
      <w:r>
        <w:rPr>
          <w:rFonts w:hint="eastAsia"/>
          <w:color w:val="FF0000"/>
          <w:szCs w:val="18"/>
        </w:rPr>
        <w:t xml:space="preserve"> </w:t>
      </w:r>
      <w:r>
        <w:rPr>
          <w:color w:val="FF0000"/>
          <w:szCs w:val="18"/>
        </w:rPr>
        <w:t>/</w:t>
      </w:r>
      <w:r>
        <w:rPr>
          <w:rFonts w:hint="eastAsia"/>
          <w:color w:val="FF0000"/>
          <w:szCs w:val="18"/>
        </w:rPr>
        <w:t xml:space="preserve"> </w:t>
      </w:r>
      <w:r>
        <w:rPr>
          <w:color w:val="FF0000"/>
          <w:szCs w:val="18"/>
        </w:rPr>
        <w:t>MPa”</w:t>
      </w:r>
      <w:r>
        <w:rPr>
          <w:rFonts w:hint="eastAsia"/>
          <w:color w:val="FF0000"/>
          <w:szCs w:val="18"/>
        </w:rPr>
        <w:t>；标线数目</w:t>
      </w:r>
      <w:r>
        <w:rPr>
          <w:color w:val="FF0000"/>
          <w:szCs w:val="18"/>
        </w:rPr>
        <w:t>3</w:t>
      </w:r>
      <w:r>
        <w:rPr>
          <w:rFonts w:hint="eastAsia"/>
          <w:color w:val="FF0000"/>
          <w:szCs w:val="18"/>
        </w:rPr>
        <w:t>～</w:t>
      </w:r>
      <w:r>
        <w:rPr>
          <w:color w:val="FF0000"/>
          <w:szCs w:val="18"/>
        </w:rPr>
        <w:t>7</w:t>
      </w:r>
      <w:r>
        <w:rPr>
          <w:rFonts w:hint="eastAsia"/>
          <w:color w:val="FF0000"/>
          <w:szCs w:val="18"/>
        </w:rPr>
        <w:t>个；标线刻度朝向图内；标值圆整，一般采用</w:t>
      </w:r>
      <w:r>
        <w:rPr>
          <w:rFonts w:hint="eastAsia"/>
          <w:color w:val="FF0000"/>
          <w:szCs w:val="18"/>
        </w:rPr>
        <w:t>0.1 n, 0.2 n, 0.5 n</w:t>
      </w:r>
      <w:r>
        <w:rPr>
          <w:rFonts w:hint="eastAsia"/>
          <w:color w:val="FF0000"/>
          <w:szCs w:val="18"/>
        </w:rPr>
        <w:t>和</w:t>
      </w:r>
      <w:r>
        <w:rPr>
          <w:rFonts w:hint="eastAsia"/>
          <w:color w:val="FF0000"/>
          <w:szCs w:val="18"/>
        </w:rPr>
        <w:t>1 n, 2 n, 5 n</w:t>
      </w:r>
      <w:r>
        <w:rPr>
          <w:rFonts w:hint="eastAsia"/>
          <w:color w:val="FF0000"/>
          <w:szCs w:val="18"/>
        </w:rPr>
        <w:t>以及</w:t>
      </w:r>
      <w:r>
        <w:rPr>
          <w:rFonts w:hint="eastAsia"/>
          <w:color w:val="FF0000"/>
          <w:szCs w:val="18"/>
        </w:rPr>
        <w:t>10 n, 20 n, 30 n, 50 n(n</w:t>
      </w:r>
      <w:r>
        <w:rPr>
          <w:rFonts w:hint="eastAsia"/>
          <w:color w:val="FF0000"/>
          <w:szCs w:val="18"/>
        </w:rPr>
        <w:t>＝</w:t>
      </w:r>
      <w:r>
        <w:rPr>
          <w:rFonts w:hint="eastAsia"/>
          <w:color w:val="FF0000"/>
          <w:szCs w:val="18"/>
        </w:rPr>
        <w:t>1,2,3,</w:t>
      </w:r>
      <w:r>
        <w:rPr>
          <w:color w:val="FF0000"/>
          <w:szCs w:val="18"/>
        </w:rPr>
        <w:t>…</w:t>
      </w:r>
      <w:r>
        <w:rPr>
          <w:rFonts w:hint="eastAsia"/>
          <w:color w:val="FF0000"/>
          <w:szCs w:val="18"/>
        </w:rPr>
        <w:t>)</w:t>
      </w:r>
      <w:r>
        <w:rPr>
          <w:rFonts w:hint="eastAsia"/>
          <w:color w:val="FF0000"/>
          <w:szCs w:val="18"/>
        </w:rPr>
        <w:t>较好，不要把实验数据点直接拿来作为标值，如可将</w:t>
      </w:r>
      <w:r>
        <w:rPr>
          <w:rFonts w:hint="eastAsia"/>
          <w:color w:val="FF0000"/>
          <w:szCs w:val="18"/>
        </w:rPr>
        <w:t>0.385, 0.770, 1.155,</w:t>
      </w:r>
      <w:r>
        <w:rPr>
          <w:color w:val="FF0000"/>
          <w:szCs w:val="18"/>
        </w:rPr>
        <w:t>…</w:t>
      </w:r>
      <w:r>
        <w:rPr>
          <w:rFonts w:hint="eastAsia"/>
          <w:color w:val="FF0000"/>
          <w:szCs w:val="18"/>
        </w:rPr>
        <w:t>改为</w:t>
      </w:r>
      <w:r>
        <w:rPr>
          <w:rFonts w:hint="eastAsia"/>
          <w:color w:val="FF0000"/>
          <w:szCs w:val="18"/>
        </w:rPr>
        <w:t>0.4, 0.8, 1.2,</w:t>
      </w:r>
      <w:r>
        <w:rPr>
          <w:color w:val="FF0000"/>
          <w:szCs w:val="18"/>
        </w:rPr>
        <w:t>…</w:t>
      </w:r>
      <w:r>
        <w:rPr>
          <w:rFonts w:hint="eastAsia"/>
          <w:color w:val="FF0000"/>
          <w:szCs w:val="18"/>
        </w:rPr>
        <w:t>,</w:t>
      </w:r>
      <w:r>
        <w:rPr>
          <w:rFonts w:hint="eastAsia"/>
          <w:color w:val="FF0000"/>
          <w:szCs w:val="18"/>
        </w:rPr>
        <w:t>将</w:t>
      </w:r>
      <w:r>
        <w:rPr>
          <w:rFonts w:hint="eastAsia"/>
          <w:color w:val="FF0000"/>
          <w:szCs w:val="18"/>
        </w:rPr>
        <w:t>62.5, 78.3, 101.4,</w:t>
      </w:r>
      <w:r>
        <w:rPr>
          <w:color w:val="FF0000"/>
          <w:szCs w:val="18"/>
        </w:rPr>
        <w:t>…</w:t>
      </w:r>
      <w:r>
        <w:rPr>
          <w:rFonts w:hint="eastAsia"/>
          <w:color w:val="FF0000"/>
          <w:szCs w:val="18"/>
        </w:rPr>
        <w:t>改为</w:t>
      </w:r>
      <w:r>
        <w:rPr>
          <w:rFonts w:hint="eastAsia"/>
          <w:color w:val="FF0000"/>
          <w:szCs w:val="18"/>
        </w:rPr>
        <w:t>60, 80, 100,</w:t>
      </w:r>
      <w:r>
        <w:rPr>
          <w:color w:val="FF0000"/>
          <w:szCs w:val="18"/>
        </w:rPr>
        <w:t>…</w:t>
      </w:r>
      <w:r>
        <w:rPr>
          <w:rFonts w:hint="eastAsia"/>
          <w:color w:val="FF0000"/>
          <w:szCs w:val="18"/>
        </w:rPr>
        <w:t>，并相应平移标值线</w:t>
      </w:r>
      <w:r>
        <w:rPr>
          <w:rFonts w:hint="eastAsia"/>
          <w:color w:val="FF0000"/>
          <w:szCs w:val="18"/>
        </w:rPr>
        <w:t>(</w:t>
      </w:r>
      <w:r>
        <w:rPr>
          <w:rFonts w:hint="eastAsia"/>
          <w:color w:val="FF0000"/>
          <w:szCs w:val="18"/>
        </w:rPr>
        <w:t>当然图面内的数据点或曲线不能变动</w:t>
      </w:r>
      <w:r>
        <w:rPr>
          <w:rFonts w:hint="eastAsia"/>
          <w:color w:val="FF0000"/>
          <w:szCs w:val="18"/>
        </w:rPr>
        <w:t>)</w:t>
      </w:r>
      <w:r>
        <w:rPr>
          <w:rFonts w:hint="eastAsia"/>
          <w:color w:val="FF0000"/>
          <w:szCs w:val="18"/>
        </w:rPr>
        <w:t>。标值的数字一般不应超过</w:t>
      </w:r>
      <w:r>
        <w:rPr>
          <w:rFonts w:hint="eastAsia"/>
          <w:color w:val="FF0000"/>
          <w:szCs w:val="18"/>
        </w:rPr>
        <w:t>3</w:t>
      </w:r>
      <w:r>
        <w:rPr>
          <w:rFonts w:hint="eastAsia"/>
          <w:color w:val="FF0000"/>
          <w:szCs w:val="18"/>
        </w:rPr>
        <w:t>个数位，或小数点后面不超过</w:t>
      </w:r>
      <w:r>
        <w:rPr>
          <w:rFonts w:hint="eastAsia"/>
          <w:color w:val="FF0000"/>
          <w:szCs w:val="18"/>
        </w:rPr>
        <w:t>1</w:t>
      </w:r>
      <w:r>
        <w:rPr>
          <w:rFonts w:hint="eastAsia"/>
          <w:color w:val="FF0000"/>
          <w:szCs w:val="18"/>
        </w:rPr>
        <w:t>个“</w:t>
      </w:r>
      <w:r>
        <w:rPr>
          <w:rFonts w:hint="eastAsia"/>
          <w:color w:val="FF0000"/>
          <w:szCs w:val="18"/>
        </w:rPr>
        <w:t>0</w:t>
      </w:r>
      <w:r>
        <w:rPr>
          <w:color w:val="FF0000"/>
          <w:szCs w:val="18"/>
        </w:rPr>
        <w:t>”</w:t>
      </w:r>
      <w:r>
        <w:rPr>
          <w:rFonts w:hint="eastAsia"/>
          <w:color w:val="FF0000"/>
          <w:szCs w:val="18"/>
        </w:rPr>
        <w:t>。为此，可通过改用标目中单位的词头或量符号前的因数来保证标值的数值尽可能处在</w:t>
      </w:r>
      <w:r>
        <w:rPr>
          <w:rFonts w:hint="eastAsia"/>
          <w:color w:val="FF0000"/>
          <w:szCs w:val="18"/>
        </w:rPr>
        <w:t>0.1</w:t>
      </w:r>
      <w:r>
        <w:rPr>
          <w:rFonts w:hint="eastAsia"/>
          <w:color w:val="FF0000"/>
          <w:szCs w:val="18"/>
        </w:rPr>
        <w:t>～</w:t>
      </w:r>
      <w:r>
        <w:rPr>
          <w:rFonts w:hint="eastAsia"/>
          <w:color w:val="FF0000"/>
          <w:szCs w:val="18"/>
        </w:rPr>
        <w:t>1 000</w:t>
      </w:r>
      <w:r>
        <w:rPr>
          <w:rFonts w:hint="eastAsia"/>
          <w:color w:val="FF0000"/>
          <w:szCs w:val="18"/>
        </w:rPr>
        <w:t>。例如：</w:t>
      </w:r>
    </w:p>
    <w:p w14:paraId="42E22510" w14:textId="77777777" w:rsidR="001A2177" w:rsidRDefault="001A2177">
      <w:pPr>
        <w:ind w:firstLine="470"/>
        <w:rPr>
          <w:rFonts w:hint="eastAsia"/>
          <w:color w:val="FF0000"/>
          <w:szCs w:val="18"/>
        </w:rPr>
      </w:pPr>
      <w:r>
        <w:rPr>
          <w:rFonts w:hint="eastAsia"/>
          <w:color w:val="FF0000"/>
          <w:szCs w:val="18"/>
        </w:rPr>
        <w:t>某图上标值是</w:t>
      </w:r>
      <w:r>
        <w:rPr>
          <w:rFonts w:hint="eastAsia"/>
          <w:color w:val="FF0000"/>
          <w:szCs w:val="18"/>
        </w:rPr>
        <w:t>1 200, 1 400,</w:t>
      </w:r>
      <w:r>
        <w:rPr>
          <w:color w:val="FF0000"/>
          <w:szCs w:val="18"/>
        </w:rPr>
        <w:t>…</w:t>
      </w:r>
      <w:r>
        <w:rPr>
          <w:rFonts w:hint="eastAsia"/>
          <w:color w:val="FF0000"/>
          <w:szCs w:val="18"/>
        </w:rPr>
        <w:t>，标目为</w:t>
      </w:r>
      <w:r>
        <w:rPr>
          <w:color w:val="FF0000"/>
          <w:szCs w:val="18"/>
        </w:rPr>
        <w:t>p</w:t>
      </w:r>
      <w:r>
        <w:rPr>
          <w:rFonts w:hint="eastAsia"/>
          <w:color w:val="FF0000"/>
          <w:szCs w:val="18"/>
        </w:rPr>
        <w:t xml:space="preserve"> </w:t>
      </w:r>
      <w:r>
        <w:rPr>
          <w:color w:val="FF0000"/>
          <w:szCs w:val="18"/>
        </w:rPr>
        <w:t>/</w:t>
      </w:r>
      <w:r>
        <w:rPr>
          <w:rFonts w:hint="eastAsia"/>
          <w:color w:val="FF0000"/>
          <w:szCs w:val="18"/>
        </w:rPr>
        <w:t xml:space="preserve"> </w:t>
      </w:r>
      <w:r>
        <w:rPr>
          <w:color w:val="FF0000"/>
          <w:szCs w:val="18"/>
        </w:rPr>
        <w:t>Pa</w:t>
      </w:r>
      <w:r>
        <w:rPr>
          <w:rFonts w:hint="eastAsia"/>
          <w:color w:val="FF0000"/>
          <w:szCs w:val="18"/>
        </w:rPr>
        <w:t>，则可将标目改为</w:t>
      </w:r>
      <w:r>
        <w:rPr>
          <w:color w:val="FF0000"/>
          <w:szCs w:val="18"/>
        </w:rPr>
        <w:t>p</w:t>
      </w:r>
      <w:r>
        <w:rPr>
          <w:rFonts w:hint="eastAsia"/>
          <w:color w:val="FF0000"/>
          <w:szCs w:val="18"/>
        </w:rPr>
        <w:t xml:space="preserve"> </w:t>
      </w:r>
      <w:r>
        <w:rPr>
          <w:color w:val="FF0000"/>
          <w:szCs w:val="18"/>
        </w:rPr>
        <w:t>/</w:t>
      </w:r>
      <w:r>
        <w:rPr>
          <w:rFonts w:hint="eastAsia"/>
          <w:color w:val="FF0000"/>
          <w:szCs w:val="18"/>
        </w:rPr>
        <w:t xml:space="preserve"> k</w:t>
      </w:r>
      <w:r>
        <w:rPr>
          <w:color w:val="FF0000"/>
          <w:szCs w:val="18"/>
        </w:rPr>
        <w:t>Pa</w:t>
      </w:r>
      <w:r>
        <w:rPr>
          <w:rFonts w:hint="eastAsia"/>
          <w:color w:val="FF0000"/>
          <w:szCs w:val="18"/>
        </w:rPr>
        <w:t>，相应地标值即改成</w:t>
      </w:r>
      <w:r>
        <w:rPr>
          <w:rFonts w:hint="eastAsia"/>
          <w:color w:val="FF0000"/>
          <w:szCs w:val="18"/>
        </w:rPr>
        <w:t>1.2, 1.4,</w:t>
      </w:r>
      <w:r>
        <w:rPr>
          <w:color w:val="FF0000"/>
          <w:szCs w:val="18"/>
        </w:rPr>
        <w:t>…</w:t>
      </w:r>
      <w:r>
        <w:rPr>
          <w:rFonts w:hint="eastAsia"/>
          <w:color w:val="FF0000"/>
          <w:szCs w:val="18"/>
        </w:rPr>
        <w:t>。某图上标值是</w:t>
      </w:r>
      <w:r>
        <w:rPr>
          <w:rFonts w:hint="eastAsia"/>
          <w:color w:val="FF0000"/>
          <w:szCs w:val="18"/>
        </w:rPr>
        <w:t>0.005, 0.010, 0.015,</w:t>
      </w:r>
      <w:r>
        <w:rPr>
          <w:color w:val="FF0000"/>
          <w:szCs w:val="18"/>
        </w:rPr>
        <w:t>…</w:t>
      </w:r>
      <w:r>
        <w:rPr>
          <w:rFonts w:hint="eastAsia"/>
          <w:color w:val="FF0000"/>
          <w:szCs w:val="18"/>
        </w:rPr>
        <w:t>，标目为</w:t>
      </w:r>
      <w:r>
        <w:rPr>
          <w:rFonts w:hint="eastAsia"/>
          <w:color w:val="FF0000"/>
          <w:szCs w:val="18"/>
        </w:rPr>
        <w:t>R</w:t>
      </w:r>
      <w:r>
        <w:rPr>
          <w:rFonts w:hint="eastAsia"/>
          <w:color w:val="FF0000"/>
          <w:szCs w:val="18"/>
        </w:rPr>
        <w:t>，则可将标目改为</w:t>
      </w:r>
      <w:r>
        <w:rPr>
          <w:rFonts w:hint="eastAsia"/>
          <w:color w:val="FF0000"/>
          <w:szCs w:val="18"/>
        </w:rPr>
        <w:t>103R</w:t>
      </w:r>
      <w:r>
        <w:rPr>
          <w:rFonts w:hint="eastAsia"/>
          <w:color w:val="FF0000"/>
          <w:szCs w:val="18"/>
        </w:rPr>
        <w:t>，相应地标值即改成</w:t>
      </w:r>
      <w:r>
        <w:rPr>
          <w:rFonts w:hint="eastAsia"/>
          <w:color w:val="FF0000"/>
          <w:szCs w:val="18"/>
        </w:rPr>
        <w:t xml:space="preserve">5, 10,15, </w:t>
      </w:r>
      <w:r>
        <w:rPr>
          <w:color w:val="FF0000"/>
          <w:szCs w:val="18"/>
        </w:rPr>
        <w:t>…</w:t>
      </w:r>
      <w:r>
        <w:rPr>
          <w:rFonts w:hint="eastAsia"/>
          <w:color w:val="FF0000"/>
          <w:szCs w:val="18"/>
        </w:rPr>
        <w:t>。</w:t>
      </w:r>
    </w:p>
    <w:p w14:paraId="78B4A33C" w14:textId="77777777" w:rsidR="001A2177" w:rsidRDefault="001A2177">
      <w:pPr>
        <w:ind w:firstLineChars="200" w:firstLine="480"/>
        <w:rPr>
          <w:rFonts w:hint="eastAsia"/>
          <w:color w:val="FF0000"/>
          <w:szCs w:val="18"/>
        </w:rPr>
      </w:pPr>
      <w:r>
        <w:rPr>
          <w:rFonts w:hint="eastAsia"/>
          <w:color w:val="FF0000"/>
          <w:szCs w:val="18"/>
        </w:rPr>
        <w:t xml:space="preserve">6) </w:t>
      </w:r>
      <w:r>
        <w:rPr>
          <w:rFonts w:hint="eastAsia"/>
          <w:color w:val="FF0000"/>
          <w:szCs w:val="18"/>
        </w:rPr>
        <w:t>照片、灰度图清晰，彩色图要转换成黑白图表示。</w:t>
      </w:r>
    </w:p>
    <w:p w14:paraId="44E73F7D" w14:textId="77777777" w:rsidR="001A2177" w:rsidRDefault="001A2177">
      <w:pPr>
        <w:ind w:firstLineChars="200" w:firstLine="480"/>
        <w:rPr>
          <w:rFonts w:hint="eastAsia"/>
          <w:color w:val="FF0000"/>
          <w:szCs w:val="18"/>
        </w:rPr>
      </w:pPr>
      <w:r>
        <w:rPr>
          <w:rFonts w:hint="eastAsia"/>
          <w:color w:val="FF0000"/>
          <w:szCs w:val="18"/>
        </w:rPr>
        <w:t xml:space="preserve">7) </w:t>
      </w:r>
      <w:r>
        <w:rPr>
          <w:rFonts w:hint="eastAsia"/>
          <w:color w:val="FF0000"/>
          <w:szCs w:val="18"/>
        </w:rPr>
        <w:t>地图、显微图以比例尺表示尺度的放大和缩小。】</w:t>
      </w:r>
    </w:p>
    <w:p w14:paraId="767B80A3" w14:textId="77777777" w:rsidR="001A2177" w:rsidRDefault="001A2177">
      <w:pPr>
        <w:ind w:firstLine="551"/>
        <w:rPr>
          <w:rFonts w:hint="eastAsia"/>
          <w:b/>
          <w:sz w:val="28"/>
          <w:szCs w:val="28"/>
        </w:rPr>
      </w:pPr>
      <w:r>
        <w:rPr>
          <w:rFonts w:hint="eastAsia"/>
          <w:b/>
          <w:sz w:val="28"/>
          <w:szCs w:val="28"/>
        </w:rPr>
        <w:t xml:space="preserve">4 </w:t>
      </w:r>
      <w:r>
        <w:rPr>
          <w:rFonts w:hint="eastAsia"/>
          <w:b/>
          <w:sz w:val="28"/>
          <w:szCs w:val="28"/>
        </w:rPr>
        <w:t>表格</w:t>
      </w:r>
      <w:r>
        <w:rPr>
          <w:rFonts w:hint="eastAsia"/>
          <w:b/>
          <w:color w:val="0000CC"/>
          <w:szCs w:val="18"/>
        </w:rPr>
        <w:t>(</w:t>
      </w:r>
      <w:r>
        <w:rPr>
          <w:rFonts w:hint="eastAsia"/>
          <w:b/>
          <w:color w:val="0000CC"/>
          <w:szCs w:val="18"/>
        </w:rPr>
        <w:t>表题使用小五号黑体，居中，列于表上</w:t>
      </w:r>
      <w:r>
        <w:rPr>
          <w:rFonts w:hint="eastAsia"/>
          <w:b/>
          <w:color w:val="0000CC"/>
          <w:szCs w:val="18"/>
        </w:rPr>
        <w:t>)</w:t>
      </w:r>
    </w:p>
    <w:p w14:paraId="7B02F26F" w14:textId="77777777" w:rsidR="001A2177" w:rsidRDefault="001A2177">
      <w:pPr>
        <w:ind w:firstLineChars="200" w:firstLine="480"/>
        <w:rPr>
          <w:rFonts w:hint="eastAsia"/>
          <w:color w:val="FF0000"/>
          <w:szCs w:val="18"/>
        </w:rPr>
      </w:pPr>
      <w:r>
        <w:rPr>
          <w:rFonts w:hint="eastAsia"/>
          <w:color w:val="FF0000"/>
          <w:szCs w:val="18"/>
        </w:rPr>
        <w:t>【说明：</w:t>
      </w:r>
    </w:p>
    <w:p w14:paraId="3B1B8B07" w14:textId="77777777" w:rsidR="001A2177" w:rsidRDefault="001A2177">
      <w:pPr>
        <w:ind w:firstLineChars="200" w:firstLine="480"/>
        <w:rPr>
          <w:rFonts w:hint="eastAsia"/>
          <w:color w:val="FF0000"/>
          <w:szCs w:val="18"/>
        </w:rPr>
      </w:pPr>
      <w:r>
        <w:rPr>
          <w:color w:val="FF0000"/>
          <w:szCs w:val="18"/>
        </w:rPr>
        <w:t>1</w:t>
      </w:r>
      <w:r>
        <w:rPr>
          <w:rFonts w:hint="eastAsia"/>
          <w:color w:val="FF0000"/>
          <w:szCs w:val="18"/>
        </w:rPr>
        <w:t xml:space="preserve">) </w:t>
      </w:r>
      <w:r>
        <w:rPr>
          <w:rFonts w:hint="eastAsia"/>
          <w:color w:val="FF0000"/>
          <w:szCs w:val="18"/>
        </w:rPr>
        <w:t>表格要精选，应具有自明性；表格的内容切忌与插图及文字表述重复。</w:t>
      </w:r>
    </w:p>
    <w:p w14:paraId="2AB16B61" w14:textId="77777777" w:rsidR="001A2177" w:rsidRDefault="001A2177">
      <w:pPr>
        <w:ind w:firstLineChars="200" w:firstLine="480"/>
        <w:rPr>
          <w:rFonts w:hint="eastAsia"/>
          <w:color w:val="FF0000"/>
          <w:szCs w:val="18"/>
        </w:rPr>
      </w:pPr>
      <w:r>
        <w:rPr>
          <w:color w:val="FF0000"/>
          <w:szCs w:val="18"/>
        </w:rPr>
        <w:t>2</w:t>
      </w:r>
      <w:r>
        <w:rPr>
          <w:rFonts w:hint="eastAsia"/>
          <w:color w:val="FF0000"/>
          <w:szCs w:val="18"/>
        </w:rPr>
        <w:t xml:space="preserve">) </w:t>
      </w:r>
      <w:r>
        <w:rPr>
          <w:rFonts w:hint="eastAsia"/>
          <w:color w:val="FF0000"/>
          <w:szCs w:val="18"/>
        </w:rPr>
        <w:t>表格应精心设计。为使表格的结构简洁，建议采用三线表，必要时可加辅助线。</w:t>
      </w:r>
    </w:p>
    <w:p w14:paraId="737127ED" w14:textId="77777777" w:rsidR="001A2177" w:rsidRDefault="001A2177">
      <w:pPr>
        <w:ind w:firstLineChars="200" w:firstLine="480"/>
        <w:rPr>
          <w:rFonts w:hint="eastAsia"/>
          <w:color w:val="FF0000"/>
          <w:szCs w:val="18"/>
        </w:rPr>
      </w:pPr>
      <w:r>
        <w:rPr>
          <w:color w:val="FF0000"/>
          <w:szCs w:val="18"/>
        </w:rPr>
        <w:t>3</w:t>
      </w:r>
      <w:r>
        <w:rPr>
          <w:rFonts w:hint="eastAsia"/>
          <w:color w:val="FF0000"/>
          <w:szCs w:val="18"/>
        </w:rPr>
        <w:t xml:space="preserve">) </w:t>
      </w:r>
      <w:r>
        <w:rPr>
          <w:rFonts w:hint="eastAsia"/>
          <w:color w:val="FF0000"/>
          <w:szCs w:val="18"/>
        </w:rPr>
        <w:t>表格应有以阿拉伯数字连续编号的表序</w:t>
      </w:r>
      <w:r>
        <w:rPr>
          <w:rFonts w:hint="eastAsia"/>
          <w:color w:val="FF0000"/>
          <w:szCs w:val="18"/>
        </w:rPr>
        <w:t>(</w:t>
      </w:r>
      <w:r>
        <w:rPr>
          <w:rFonts w:hint="eastAsia"/>
          <w:color w:val="FF0000"/>
          <w:szCs w:val="18"/>
        </w:rPr>
        <w:t>如仅有</w:t>
      </w:r>
      <w:r>
        <w:rPr>
          <w:color w:val="FF0000"/>
          <w:szCs w:val="18"/>
        </w:rPr>
        <w:t>1</w:t>
      </w:r>
      <w:r>
        <w:rPr>
          <w:rFonts w:hint="eastAsia"/>
          <w:color w:val="FF0000"/>
          <w:szCs w:val="18"/>
        </w:rPr>
        <w:t>个表格，表序可定名为</w:t>
      </w:r>
      <w:r>
        <w:rPr>
          <w:color w:val="FF0000"/>
          <w:szCs w:val="18"/>
        </w:rPr>
        <w:t>“</w:t>
      </w:r>
      <w:r>
        <w:rPr>
          <w:rFonts w:hint="eastAsia"/>
          <w:color w:val="FF0000"/>
          <w:szCs w:val="18"/>
        </w:rPr>
        <w:t>表</w:t>
      </w:r>
      <w:r>
        <w:rPr>
          <w:color w:val="FF0000"/>
          <w:szCs w:val="18"/>
        </w:rPr>
        <w:t>1”</w:t>
      </w:r>
      <w:r>
        <w:rPr>
          <w:rFonts w:hint="eastAsia"/>
          <w:color w:val="FF0000"/>
          <w:szCs w:val="18"/>
        </w:rPr>
        <w:t>)</w:t>
      </w:r>
      <w:r>
        <w:rPr>
          <w:rFonts w:hint="eastAsia"/>
          <w:color w:val="FF0000"/>
          <w:szCs w:val="18"/>
        </w:rPr>
        <w:t>和简明的表题，居中排于表格的上方。</w:t>
      </w:r>
    </w:p>
    <w:p w14:paraId="57159812" w14:textId="77777777" w:rsidR="001A2177" w:rsidRDefault="001A2177">
      <w:pPr>
        <w:ind w:firstLineChars="200" w:firstLine="480"/>
        <w:rPr>
          <w:rFonts w:hint="eastAsia"/>
          <w:color w:val="FF0000"/>
          <w:szCs w:val="18"/>
        </w:rPr>
      </w:pPr>
      <w:r>
        <w:rPr>
          <w:rFonts w:hint="eastAsia"/>
          <w:color w:val="FF0000"/>
          <w:szCs w:val="18"/>
        </w:rPr>
        <w:t xml:space="preserve">4) </w:t>
      </w:r>
      <w:r>
        <w:rPr>
          <w:rFonts w:hint="eastAsia"/>
          <w:color w:val="FF0000"/>
          <w:szCs w:val="18"/>
        </w:rPr>
        <w:t>数值表格采用三线表，表头中使用“量符号</w:t>
      </w:r>
      <w:r>
        <w:rPr>
          <w:rFonts w:hint="eastAsia"/>
          <w:color w:val="FF0000"/>
          <w:szCs w:val="18"/>
        </w:rPr>
        <w:t>/</w:t>
      </w:r>
      <w:r>
        <w:rPr>
          <w:rFonts w:hint="eastAsia"/>
          <w:color w:val="FF0000"/>
          <w:szCs w:val="18"/>
        </w:rPr>
        <w:t>量单位”。如表</w:t>
      </w:r>
      <w:r>
        <w:rPr>
          <w:rFonts w:hint="eastAsia"/>
          <w:color w:val="FF0000"/>
          <w:szCs w:val="18"/>
        </w:rPr>
        <w:t>1</w:t>
      </w:r>
      <w:r>
        <w:rPr>
          <w:rFonts w:hint="eastAsia"/>
          <w:color w:val="FF0000"/>
          <w:szCs w:val="18"/>
        </w:rPr>
        <w:t>所示。</w:t>
      </w:r>
    </w:p>
    <w:p w14:paraId="7277D6CF" w14:textId="77777777" w:rsidR="001A2177" w:rsidRDefault="001A2177">
      <w:pPr>
        <w:ind w:firstLine="470"/>
        <w:jc w:val="center"/>
        <w:rPr>
          <w:rFonts w:ascii="黑体" w:eastAsia="黑体" w:hint="eastAsia"/>
          <w:szCs w:val="18"/>
        </w:rPr>
      </w:pPr>
      <w:r>
        <w:rPr>
          <w:rFonts w:ascii="黑体" w:eastAsia="黑体" w:hint="eastAsia"/>
          <w:szCs w:val="18"/>
        </w:rPr>
        <w:t>表</w:t>
      </w:r>
      <w:r>
        <w:rPr>
          <w:rFonts w:ascii="黑体" w:eastAsia="黑体" w:hint="eastAsia"/>
          <w:szCs w:val="18"/>
        </w:rPr>
        <w:t xml:space="preserve">1 </w:t>
      </w:r>
      <w:r>
        <w:rPr>
          <w:rFonts w:ascii="黑体" w:eastAsia="黑体" w:hint="eastAsia"/>
          <w:szCs w:val="18"/>
        </w:rPr>
        <w:t>三线表示例</w:t>
      </w:r>
    </w:p>
    <w:tbl>
      <w:tblPr>
        <w:tblW w:w="3712" w:type="dxa"/>
        <w:jc w:val="center"/>
        <w:tblInd w:w="0" w:type="dxa"/>
        <w:tblBorders>
          <w:top w:val="single" w:sz="12" w:space="0" w:color="008000"/>
          <w:bottom w:val="single" w:sz="12" w:space="0" w:color="008000"/>
        </w:tblBorders>
        <w:tblLayout w:type="fixed"/>
        <w:tblLook w:val="0000" w:firstRow="0" w:lastRow="0" w:firstColumn="0" w:lastColumn="0" w:noHBand="0" w:noVBand="0"/>
      </w:tblPr>
      <w:tblGrid>
        <w:gridCol w:w="1856"/>
        <w:gridCol w:w="1856"/>
      </w:tblGrid>
      <w:tr w:rsidR="00000000" w14:paraId="3737EB73" w14:textId="77777777">
        <w:trPr>
          <w:jc w:val="center"/>
        </w:trPr>
        <w:tc>
          <w:tcPr>
            <w:tcW w:w="1856" w:type="dxa"/>
            <w:tcBorders>
              <w:bottom w:val="single" w:sz="6" w:space="0" w:color="008000"/>
            </w:tcBorders>
          </w:tcPr>
          <w:p w14:paraId="7A78AF18" w14:textId="77777777" w:rsidR="001A2177" w:rsidRDefault="001A2177">
            <w:pPr>
              <w:pStyle w:val="a0"/>
              <w:ind w:firstLineChars="49" w:firstLine="103"/>
              <w:jc w:val="center"/>
              <w:rPr>
                <w:rFonts w:hint="eastAsia"/>
                <w:szCs w:val="21"/>
              </w:rPr>
            </w:pPr>
            <w:r>
              <w:rPr>
                <w:i/>
                <w:szCs w:val="21"/>
              </w:rPr>
              <w:t>x</w:t>
            </w:r>
            <w:r>
              <w:rPr>
                <w:szCs w:val="21"/>
              </w:rPr>
              <w:t>/cm</w:t>
            </w:r>
            <w:r>
              <w:rPr>
                <w:rFonts w:hint="eastAsia"/>
                <w:i/>
                <w:szCs w:val="21"/>
              </w:rPr>
              <w:t xml:space="preserve">    </w:t>
            </w:r>
            <w:r>
              <w:rPr>
                <w:i/>
                <w:szCs w:val="21"/>
              </w:rPr>
              <w:t>I</w:t>
            </w:r>
            <w:r>
              <w:rPr>
                <w:szCs w:val="21"/>
              </w:rPr>
              <w:t>/mA</w:t>
            </w:r>
          </w:p>
        </w:tc>
        <w:tc>
          <w:tcPr>
            <w:tcW w:w="1856" w:type="dxa"/>
            <w:tcBorders>
              <w:bottom w:val="single" w:sz="6" w:space="0" w:color="008000"/>
            </w:tcBorders>
          </w:tcPr>
          <w:p w14:paraId="02E21B24" w14:textId="77777777" w:rsidR="001A2177" w:rsidRDefault="001A2177">
            <w:pPr>
              <w:pStyle w:val="a0"/>
              <w:ind w:firstLine="412"/>
              <w:jc w:val="center"/>
              <w:rPr>
                <w:rFonts w:hint="eastAsia"/>
                <w:szCs w:val="21"/>
              </w:rPr>
            </w:pPr>
            <w:r>
              <w:rPr>
                <w:i/>
                <w:szCs w:val="21"/>
              </w:rPr>
              <w:t>v</w:t>
            </w:r>
            <w:r>
              <w:rPr>
                <w:szCs w:val="21"/>
              </w:rPr>
              <w:t>/(m</w:t>
            </w:r>
            <w:r>
              <w:rPr>
                <w:rFonts w:hint="eastAsia"/>
                <w:szCs w:val="21"/>
              </w:rPr>
              <w:t>·</w:t>
            </w:r>
            <w:r>
              <w:rPr>
                <w:szCs w:val="21"/>
              </w:rPr>
              <w:t>s</w:t>
            </w:r>
            <w:r>
              <w:rPr>
                <w:szCs w:val="21"/>
                <w:vertAlign w:val="superscript"/>
              </w:rPr>
              <w:t>-1</w:t>
            </w:r>
            <w:r>
              <w:rPr>
                <w:szCs w:val="21"/>
              </w:rPr>
              <w:t>)</w:t>
            </w:r>
            <w:r>
              <w:rPr>
                <w:rFonts w:hint="eastAsia"/>
                <w:szCs w:val="21"/>
              </w:rPr>
              <w:t xml:space="preserve">    </w:t>
            </w:r>
            <w:r>
              <w:rPr>
                <w:i/>
                <w:szCs w:val="21"/>
              </w:rPr>
              <w:t>h</w:t>
            </w:r>
            <w:r>
              <w:rPr>
                <w:szCs w:val="21"/>
              </w:rPr>
              <w:t>/m</w:t>
            </w:r>
          </w:p>
        </w:tc>
      </w:tr>
      <w:tr w:rsidR="00000000" w14:paraId="48287437" w14:textId="77777777">
        <w:trPr>
          <w:jc w:val="center"/>
        </w:trPr>
        <w:tc>
          <w:tcPr>
            <w:tcW w:w="1856" w:type="dxa"/>
          </w:tcPr>
          <w:p w14:paraId="77507D88" w14:textId="77777777" w:rsidR="001A2177" w:rsidRDefault="001A2177">
            <w:pPr>
              <w:pStyle w:val="a0"/>
              <w:ind w:firstLineChars="98" w:firstLine="206"/>
              <w:jc w:val="center"/>
              <w:rPr>
                <w:szCs w:val="21"/>
              </w:rPr>
            </w:pPr>
            <w:r>
              <w:rPr>
                <w:szCs w:val="21"/>
              </w:rPr>
              <w:lastRenderedPageBreak/>
              <w:t>10</w:t>
            </w:r>
            <w:r>
              <w:rPr>
                <w:rFonts w:hint="eastAsia"/>
                <w:szCs w:val="21"/>
              </w:rPr>
              <w:t xml:space="preserve">      </w:t>
            </w:r>
            <w:r>
              <w:rPr>
                <w:szCs w:val="21"/>
              </w:rPr>
              <w:t>30</w:t>
            </w:r>
          </w:p>
        </w:tc>
        <w:tc>
          <w:tcPr>
            <w:tcW w:w="1856" w:type="dxa"/>
          </w:tcPr>
          <w:p w14:paraId="65ECCAAE" w14:textId="77777777" w:rsidR="001A2177" w:rsidRDefault="001A2177">
            <w:pPr>
              <w:pStyle w:val="a0"/>
              <w:ind w:firstLineChars="147" w:firstLine="309"/>
              <w:jc w:val="center"/>
              <w:rPr>
                <w:rFonts w:hint="eastAsia"/>
                <w:szCs w:val="21"/>
              </w:rPr>
            </w:pPr>
            <w:r>
              <w:rPr>
                <w:szCs w:val="21"/>
              </w:rPr>
              <w:t>2.5</w:t>
            </w:r>
            <w:r>
              <w:rPr>
                <w:rFonts w:hint="eastAsia"/>
                <w:szCs w:val="21"/>
              </w:rPr>
              <w:t xml:space="preserve">       400</w:t>
            </w:r>
          </w:p>
        </w:tc>
      </w:tr>
      <w:tr w:rsidR="00000000" w14:paraId="644B536D" w14:textId="77777777">
        <w:trPr>
          <w:jc w:val="center"/>
        </w:trPr>
        <w:tc>
          <w:tcPr>
            <w:tcW w:w="1856" w:type="dxa"/>
          </w:tcPr>
          <w:p w14:paraId="52FF373F" w14:textId="77777777" w:rsidR="001A2177" w:rsidRDefault="001A2177">
            <w:pPr>
              <w:pStyle w:val="a0"/>
              <w:ind w:firstLineChars="98" w:firstLine="206"/>
              <w:jc w:val="center"/>
              <w:rPr>
                <w:rFonts w:hint="eastAsia"/>
                <w:szCs w:val="21"/>
              </w:rPr>
            </w:pPr>
            <w:r>
              <w:rPr>
                <w:rFonts w:hint="eastAsia"/>
                <w:szCs w:val="21"/>
              </w:rPr>
              <w:t>12      34</w:t>
            </w:r>
          </w:p>
        </w:tc>
        <w:tc>
          <w:tcPr>
            <w:tcW w:w="1856" w:type="dxa"/>
          </w:tcPr>
          <w:p w14:paraId="23F760DA" w14:textId="77777777" w:rsidR="001A2177" w:rsidRDefault="001A2177">
            <w:pPr>
              <w:pStyle w:val="a0"/>
              <w:ind w:firstLineChars="147" w:firstLine="309"/>
              <w:jc w:val="center"/>
              <w:rPr>
                <w:rFonts w:hint="eastAsia"/>
                <w:szCs w:val="21"/>
              </w:rPr>
            </w:pPr>
            <w:r>
              <w:rPr>
                <w:rFonts w:hint="eastAsia"/>
                <w:szCs w:val="21"/>
              </w:rPr>
              <w:t>3.0       700</w:t>
            </w:r>
          </w:p>
        </w:tc>
      </w:tr>
    </w:tbl>
    <w:p w14:paraId="38CC5A55" w14:textId="77777777" w:rsidR="001A2177" w:rsidRDefault="001A2177">
      <w:pPr>
        <w:ind w:firstLineChars="200" w:firstLine="480"/>
        <w:rPr>
          <w:rFonts w:hint="eastAsia"/>
          <w:color w:val="FF0000"/>
          <w:szCs w:val="18"/>
        </w:rPr>
      </w:pPr>
      <w:r>
        <w:rPr>
          <w:rFonts w:hint="eastAsia"/>
          <w:color w:val="FF0000"/>
          <w:szCs w:val="18"/>
        </w:rPr>
        <w:t xml:space="preserve">5) </w:t>
      </w:r>
      <w:r>
        <w:rPr>
          <w:rFonts w:hint="eastAsia"/>
          <w:color w:val="FF0000"/>
          <w:szCs w:val="18"/>
        </w:rPr>
        <w:t>表内同一栏的数字必须上下对齐。表内不宜用“同上”、“同左”、“，，”和类似词，一律填入具体数字或文字。表内“空白”代表未测或无此项，“－”或“…”</w:t>
      </w:r>
      <w:r>
        <w:rPr>
          <w:rFonts w:hint="eastAsia"/>
          <w:color w:val="FF0000"/>
          <w:szCs w:val="18"/>
        </w:rPr>
        <w:t>(</w:t>
      </w:r>
      <w:r>
        <w:rPr>
          <w:rFonts w:hint="eastAsia"/>
          <w:color w:val="FF0000"/>
          <w:szCs w:val="18"/>
        </w:rPr>
        <w:t>因“－”可能与代表阴性反应相混</w:t>
      </w:r>
      <w:r>
        <w:rPr>
          <w:rFonts w:hint="eastAsia"/>
          <w:color w:val="FF0000"/>
          <w:szCs w:val="18"/>
        </w:rPr>
        <w:t>)</w:t>
      </w:r>
      <w:r>
        <w:rPr>
          <w:rFonts w:hint="eastAsia"/>
          <w:color w:val="FF0000"/>
          <w:szCs w:val="18"/>
        </w:rPr>
        <w:t>代表未发现，“</w:t>
      </w:r>
      <w:r>
        <w:rPr>
          <w:rFonts w:hint="eastAsia"/>
          <w:color w:val="FF0000"/>
          <w:szCs w:val="18"/>
        </w:rPr>
        <w:t>0</w:t>
      </w:r>
      <w:r>
        <w:rPr>
          <w:rFonts w:hint="eastAsia"/>
          <w:color w:val="FF0000"/>
          <w:szCs w:val="18"/>
        </w:rPr>
        <w:t>”代表实测结果确为零。】</w:t>
      </w:r>
    </w:p>
    <w:p w14:paraId="12B251A3" w14:textId="77777777" w:rsidR="001A2177" w:rsidRDefault="001A2177">
      <w:pPr>
        <w:ind w:firstLine="551"/>
        <w:rPr>
          <w:rFonts w:hint="eastAsia"/>
          <w:b/>
          <w:sz w:val="28"/>
          <w:szCs w:val="28"/>
        </w:rPr>
      </w:pPr>
      <w:r>
        <w:rPr>
          <w:rFonts w:hint="eastAsia"/>
          <w:b/>
          <w:sz w:val="28"/>
          <w:szCs w:val="28"/>
        </w:rPr>
        <w:t xml:space="preserve">5 </w:t>
      </w:r>
      <w:r>
        <w:rPr>
          <w:rFonts w:hint="eastAsia"/>
          <w:b/>
          <w:sz w:val="28"/>
          <w:szCs w:val="28"/>
        </w:rPr>
        <w:t>结论</w:t>
      </w:r>
      <w:r>
        <w:rPr>
          <w:rFonts w:hint="eastAsia"/>
          <w:b/>
          <w:sz w:val="28"/>
          <w:szCs w:val="28"/>
        </w:rPr>
        <w:t>(</w:t>
      </w:r>
      <w:r>
        <w:rPr>
          <w:rFonts w:hint="eastAsia"/>
          <w:b/>
          <w:sz w:val="28"/>
          <w:szCs w:val="28"/>
        </w:rPr>
        <w:t>结语</w:t>
      </w:r>
      <w:r>
        <w:rPr>
          <w:rFonts w:hint="eastAsia"/>
          <w:b/>
          <w:sz w:val="28"/>
          <w:szCs w:val="28"/>
        </w:rPr>
        <w:t>)</w:t>
      </w:r>
    </w:p>
    <w:p w14:paraId="5DF29D20" w14:textId="77777777" w:rsidR="001A2177" w:rsidRDefault="001A2177">
      <w:pPr>
        <w:ind w:firstLineChars="200" w:firstLine="480"/>
        <w:rPr>
          <w:rFonts w:hint="eastAsia"/>
          <w:color w:val="FF0000"/>
          <w:szCs w:val="18"/>
        </w:rPr>
      </w:pPr>
      <w:r>
        <w:rPr>
          <w:rFonts w:hint="eastAsia"/>
          <w:color w:val="FF0000"/>
          <w:szCs w:val="18"/>
        </w:rPr>
        <w:t>【说明：</w:t>
      </w:r>
    </w:p>
    <w:p w14:paraId="3F82B655" w14:textId="77777777" w:rsidR="001A2177" w:rsidRDefault="001A2177">
      <w:pPr>
        <w:ind w:firstLineChars="200" w:firstLine="480"/>
        <w:rPr>
          <w:rFonts w:hint="eastAsia"/>
          <w:color w:val="FF0000"/>
          <w:szCs w:val="18"/>
        </w:rPr>
      </w:pPr>
      <w:r>
        <w:rPr>
          <w:rFonts w:hint="eastAsia"/>
          <w:color w:val="FF0000"/>
          <w:szCs w:val="18"/>
        </w:rPr>
        <w:t xml:space="preserve">1) </w:t>
      </w:r>
      <w:r>
        <w:rPr>
          <w:rFonts w:hint="eastAsia"/>
          <w:color w:val="FF0000"/>
          <w:szCs w:val="18"/>
        </w:rPr>
        <w:t>结论或结语应准确、简明、完整、有条理，可以提出建议、设想、改进意见或有待解决的问题</w:t>
      </w:r>
    </w:p>
    <w:p w14:paraId="1499AF53" w14:textId="77777777" w:rsidR="001A2177" w:rsidRDefault="001A2177">
      <w:pPr>
        <w:ind w:firstLineChars="200" w:firstLine="480"/>
        <w:rPr>
          <w:rFonts w:hint="eastAsia"/>
          <w:color w:val="FF0000"/>
          <w:szCs w:val="18"/>
        </w:rPr>
      </w:pPr>
      <w:r>
        <w:rPr>
          <w:rFonts w:hint="eastAsia"/>
          <w:color w:val="FF0000"/>
          <w:szCs w:val="18"/>
        </w:rPr>
        <w:t xml:space="preserve">2) </w:t>
      </w:r>
      <w:r>
        <w:rPr>
          <w:rFonts w:hint="eastAsia"/>
          <w:color w:val="FF0000"/>
          <w:szCs w:val="18"/>
        </w:rPr>
        <w:t>结论是在文章结尾时对文章的论点、结果进行的归纳与总结。当从研究结果确实得出了有重要价值的创新性结论，或者对相同论题的研究得出与别人不同或相反的结论时，应采用“结论”作层次标题。</w:t>
      </w:r>
    </w:p>
    <w:p w14:paraId="66E7D1D3" w14:textId="77777777" w:rsidR="001A2177" w:rsidRDefault="001A2177">
      <w:pPr>
        <w:ind w:firstLineChars="200" w:firstLine="480"/>
        <w:rPr>
          <w:rFonts w:hint="eastAsia"/>
          <w:color w:val="FF0000"/>
          <w:szCs w:val="18"/>
        </w:rPr>
      </w:pPr>
      <w:r>
        <w:rPr>
          <w:rFonts w:hint="eastAsia"/>
          <w:color w:val="FF0000"/>
          <w:szCs w:val="18"/>
        </w:rPr>
        <w:t xml:space="preserve">3) </w:t>
      </w:r>
      <w:r>
        <w:rPr>
          <w:rFonts w:hint="eastAsia"/>
          <w:color w:val="FF0000"/>
          <w:szCs w:val="18"/>
        </w:rPr>
        <w:t>当未得出明确的研究结论，或结论已在“结果与讨论”中表述，而同时需要对全文内容有一个概括性总结或进一步说明时，尤其是要对文章已解决和有待研究的问题表达作者的某些主观见解或看法时，用“结语”。</w:t>
      </w:r>
    </w:p>
    <w:p w14:paraId="66698136" w14:textId="77777777" w:rsidR="001A2177" w:rsidRDefault="001A2177">
      <w:pPr>
        <w:ind w:firstLineChars="200" w:firstLine="480"/>
        <w:rPr>
          <w:rFonts w:hint="eastAsia"/>
          <w:color w:val="FF0000"/>
          <w:szCs w:val="18"/>
        </w:rPr>
      </w:pPr>
      <w:r>
        <w:rPr>
          <w:rFonts w:hint="eastAsia"/>
          <w:color w:val="FF0000"/>
          <w:szCs w:val="18"/>
        </w:rPr>
        <w:t xml:space="preserve">4) </w:t>
      </w:r>
      <w:r>
        <w:rPr>
          <w:rFonts w:hint="eastAsia"/>
          <w:color w:val="FF0000"/>
          <w:szCs w:val="18"/>
        </w:rPr>
        <w:t>文章结尾时如果不能导出条理性结论，则可写成结语进行必要的讨论，文中已有分步结论的可不再在文章结尾处写出结论。</w:t>
      </w:r>
    </w:p>
    <w:p w14:paraId="788EF497" w14:textId="77777777" w:rsidR="001A2177" w:rsidRDefault="001A2177">
      <w:pPr>
        <w:ind w:firstLineChars="200" w:firstLine="480"/>
        <w:rPr>
          <w:rFonts w:hint="eastAsia"/>
          <w:color w:val="FF0000"/>
          <w:szCs w:val="18"/>
        </w:rPr>
      </w:pPr>
      <w:r>
        <w:rPr>
          <w:rFonts w:hint="eastAsia"/>
          <w:color w:val="FF0000"/>
          <w:szCs w:val="18"/>
        </w:rPr>
        <w:t xml:space="preserve">5) </w:t>
      </w:r>
      <w:r>
        <w:rPr>
          <w:rFonts w:hint="eastAsia"/>
          <w:color w:val="FF0000"/>
          <w:szCs w:val="18"/>
        </w:rPr>
        <w:t>结论或结语中不能出现参考文献序号、插图及数学公式。】</w:t>
      </w:r>
    </w:p>
    <w:p w14:paraId="1F4A4E5A" w14:textId="77777777" w:rsidR="001A2177" w:rsidRDefault="001A2177">
      <w:pPr>
        <w:ind w:firstLine="413"/>
        <w:rPr>
          <w:rFonts w:hint="eastAsia"/>
          <w:b/>
          <w:color w:val="0000CC"/>
          <w:sz w:val="21"/>
        </w:rPr>
      </w:pPr>
      <w:r>
        <w:rPr>
          <w:rFonts w:hint="eastAsia"/>
          <w:b/>
          <w:sz w:val="21"/>
        </w:rPr>
        <w:t>参考文献：</w:t>
      </w:r>
      <w:r>
        <w:rPr>
          <w:rFonts w:hint="eastAsia"/>
          <w:b/>
          <w:color w:val="0000CC"/>
          <w:sz w:val="21"/>
        </w:rPr>
        <w:t>(</w:t>
      </w:r>
      <w:r>
        <w:rPr>
          <w:rFonts w:hint="eastAsia"/>
          <w:b/>
          <w:color w:val="0000CC"/>
          <w:sz w:val="21"/>
        </w:rPr>
        <w:t>五号宋体，加粗，顶格</w:t>
      </w:r>
      <w:r>
        <w:rPr>
          <w:rFonts w:hint="eastAsia"/>
          <w:b/>
          <w:color w:val="0000CC"/>
          <w:sz w:val="21"/>
        </w:rPr>
        <w:t>)</w:t>
      </w:r>
    </w:p>
    <w:p w14:paraId="00AC922A" w14:textId="77777777" w:rsidR="001A2177" w:rsidRDefault="001A2177">
      <w:pPr>
        <w:ind w:firstLineChars="200" w:firstLine="480"/>
        <w:rPr>
          <w:rFonts w:hint="eastAsia"/>
          <w:b/>
          <w:szCs w:val="18"/>
        </w:rPr>
      </w:pPr>
      <w:r>
        <w:rPr>
          <w:rFonts w:hint="eastAsia"/>
          <w:szCs w:val="18"/>
        </w:rPr>
        <w:t xml:space="preserve">[1] </w:t>
      </w:r>
      <w:r>
        <w:rPr>
          <w:rFonts w:hint="eastAsia"/>
          <w:szCs w:val="18"/>
        </w:rPr>
        <w:t>期刊——作者</w:t>
      </w:r>
      <w:r>
        <w:rPr>
          <w:rFonts w:hint="eastAsia"/>
          <w:szCs w:val="18"/>
        </w:rPr>
        <w:t xml:space="preserve">. </w:t>
      </w:r>
      <w:r>
        <w:rPr>
          <w:rFonts w:hint="eastAsia"/>
          <w:szCs w:val="18"/>
        </w:rPr>
        <w:t>题名</w:t>
      </w:r>
      <w:r>
        <w:rPr>
          <w:rFonts w:hint="eastAsia"/>
          <w:szCs w:val="18"/>
        </w:rPr>
        <w:t>[</w:t>
      </w:r>
      <w:r>
        <w:rPr>
          <w:rFonts w:hint="eastAsia"/>
          <w:szCs w:val="18"/>
        </w:rPr>
        <w:t>文献类型标志</w:t>
      </w:r>
      <w:r>
        <w:rPr>
          <w:szCs w:val="18"/>
        </w:rPr>
        <w:t>]</w:t>
      </w:r>
      <w:r>
        <w:rPr>
          <w:rFonts w:hint="eastAsia"/>
          <w:szCs w:val="18"/>
        </w:rPr>
        <w:t xml:space="preserve">. </w:t>
      </w:r>
      <w:r>
        <w:rPr>
          <w:rFonts w:hint="eastAsia"/>
          <w:szCs w:val="18"/>
        </w:rPr>
        <w:t>刊名</w:t>
      </w:r>
      <w:r>
        <w:rPr>
          <w:rFonts w:hint="eastAsia"/>
          <w:szCs w:val="18"/>
        </w:rPr>
        <w:t xml:space="preserve">, </w:t>
      </w:r>
      <w:r>
        <w:rPr>
          <w:rFonts w:hint="eastAsia"/>
          <w:szCs w:val="18"/>
        </w:rPr>
        <w:t>出版年</w:t>
      </w:r>
      <w:r>
        <w:rPr>
          <w:rFonts w:hint="eastAsia"/>
          <w:szCs w:val="18"/>
        </w:rPr>
        <w:t xml:space="preserve">, </w:t>
      </w:r>
      <w:r>
        <w:rPr>
          <w:rFonts w:hint="eastAsia"/>
          <w:szCs w:val="18"/>
        </w:rPr>
        <w:t>卷</w:t>
      </w:r>
      <w:r>
        <w:rPr>
          <w:rFonts w:hint="eastAsia"/>
          <w:szCs w:val="18"/>
        </w:rPr>
        <w:t>(</w:t>
      </w:r>
      <w:r>
        <w:rPr>
          <w:rFonts w:hint="eastAsia"/>
          <w:szCs w:val="18"/>
        </w:rPr>
        <w:t>期</w:t>
      </w:r>
      <w:r>
        <w:rPr>
          <w:rFonts w:hint="eastAsia"/>
          <w:szCs w:val="18"/>
        </w:rPr>
        <w:t xml:space="preserve">): </w:t>
      </w:r>
      <w:r>
        <w:rPr>
          <w:rFonts w:hint="eastAsia"/>
          <w:szCs w:val="18"/>
        </w:rPr>
        <w:t>起</w:t>
      </w:r>
      <w:r>
        <w:rPr>
          <w:rFonts w:hint="eastAsia"/>
          <w:szCs w:val="18"/>
        </w:rPr>
        <w:t>-</w:t>
      </w:r>
      <w:r>
        <w:rPr>
          <w:rFonts w:hint="eastAsia"/>
          <w:szCs w:val="18"/>
        </w:rPr>
        <w:t>止页码</w:t>
      </w:r>
      <w:r>
        <w:rPr>
          <w:rFonts w:hint="eastAsia"/>
          <w:szCs w:val="18"/>
        </w:rPr>
        <w:t>.</w:t>
      </w:r>
      <w:r>
        <w:rPr>
          <w:rFonts w:hint="eastAsia"/>
          <w:color w:val="0000CC"/>
          <w:szCs w:val="18"/>
        </w:rPr>
        <w:t>(</w:t>
      </w:r>
      <w:r>
        <w:rPr>
          <w:rFonts w:hint="eastAsia"/>
          <w:color w:val="0000CC"/>
          <w:szCs w:val="18"/>
        </w:rPr>
        <w:t>不要缺少页码</w:t>
      </w:r>
      <w:r>
        <w:rPr>
          <w:rFonts w:hint="eastAsia"/>
          <w:color w:val="0000CC"/>
          <w:szCs w:val="18"/>
        </w:rPr>
        <w:t>). (</w:t>
      </w:r>
      <w:r>
        <w:rPr>
          <w:rFonts w:hint="eastAsia"/>
          <w:color w:val="0000CC"/>
          <w:szCs w:val="18"/>
        </w:rPr>
        <w:t>小五号宋体，缩进两格；序号使用“</w:t>
      </w:r>
      <w:r>
        <w:rPr>
          <w:rFonts w:hint="eastAsia"/>
          <w:color w:val="0000CC"/>
          <w:szCs w:val="18"/>
        </w:rPr>
        <w:t>[]</w:t>
      </w:r>
      <w:r>
        <w:rPr>
          <w:rFonts w:hint="eastAsia"/>
          <w:color w:val="0000CC"/>
          <w:szCs w:val="18"/>
        </w:rPr>
        <w:t>”，和内容间空半格；内容中标点符号均使用半角，后空半格</w:t>
      </w:r>
      <w:r>
        <w:rPr>
          <w:rFonts w:hint="eastAsia"/>
          <w:color w:val="0000CC"/>
          <w:szCs w:val="18"/>
        </w:rPr>
        <w:t>)</w:t>
      </w:r>
    </w:p>
    <w:p w14:paraId="777002F6" w14:textId="77777777" w:rsidR="001A2177" w:rsidRDefault="001A2177">
      <w:pPr>
        <w:ind w:firstLineChars="200" w:firstLine="480"/>
        <w:rPr>
          <w:rFonts w:hint="eastAsia"/>
          <w:b/>
          <w:szCs w:val="18"/>
        </w:rPr>
      </w:pPr>
      <w:r>
        <w:rPr>
          <w:rFonts w:hint="eastAsia"/>
          <w:szCs w:val="18"/>
        </w:rPr>
        <w:t xml:space="preserve">[2] </w:t>
      </w:r>
      <w:r>
        <w:rPr>
          <w:rFonts w:hint="eastAsia"/>
          <w:szCs w:val="18"/>
        </w:rPr>
        <w:t>专著——作者</w:t>
      </w:r>
      <w:r>
        <w:rPr>
          <w:rFonts w:hint="eastAsia"/>
          <w:szCs w:val="18"/>
        </w:rPr>
        <w:t xml:space="preserve">. </w:t>
      </w:r>
      <w:r>
        <w:rPr>
          <w:rFonts w:hint="eastAsia"/>
          <w:szCs w:val="18"/>
        </w:rPr>
        <w:t>书名</w:t>
      </w:r>
      <w:r>
        <w:rPr>
          <w:rFonts w:hint="eastAsia"/>
          <w:szCs w:val="18"/>
        </w:rPr>
        <w:t>[</w:t>
      </w:r>
      <w:r>
        <w:rPr>
          <w:rFonts w:hint="eastAsia"/>
          <w:szCs w:val="18"/>
        </w:rPr>
        <w:t>文献类型标志</w:t>
      </w:r>
      <w:r>
        <w:rPr>
          <w:rFonts w:hint="eastAsia"/>
          <w:szCs w:val="18"/>
        </w:rPr>
        <w:t xml:space="preserve">]. </w:t>
      </w:r>
      <w:r>
        <w:rPr>
          <w:rFonts w:hint="eastAsia"/>
          <w:szCs w:val="18"/>
        </w:rPr>
        <w:t>版本</w:t>
      </w:r>
      <w:r>
        <w:rPr>
          <w:rFonts w:hint="eastAsia"/>
          <w:szCs w:val="18"/>
        </w:rPr>
        <w:t xml:space="preserve">. </w:t>
      </w:r>
      <w:r>
        <w:rPr>
          <w:rFonts w:hint="eastAsia"/>
          <w:szCs w:val="18"/>
        </w:rPr>
        <w:t>出版地</w:t>
      </w:r>
      <w:r>
        <w:rPr>
          <w:rFonts w:hint="eastAsia"/>
          <w:szCs w:val="18"/>
        </w:rPr>
        <w:t xml:space="preserve">: </w:t>
      </w:r>
      <w:r>
        <w:rPr>
          <w:rFonts w:hint="eastAsia"/>
          <w:szCs w:val="18"/>
        </w:rPr>
        <w:t>出版者</w:t>
      </w:r>
      <w:r>
        <w:rPr>
          <w:rFonts w:hint="eastAsia"/>
          <w:szCs w:val="18"/>
        </w:rPr>
        <w:t xml:space="preserve">, </w:t>
      </w:r>
      <w:r>
        <w:rPr>
          <w:rFonts w:hint="eastAsia"/>
          <w:szCs w:val="18"/>
        </w:rPr>
        <w:t>出版年</w:t>
      </w:r>
      <w:r>
        <w:rPr>
          <w:rFonts w:hint="eastAsia"/>
          <w:szCs w:val="18"/>
        </w:rPr>
        <w:t>.(</w:t>
      </w:r>
      <w:r>
        <w:rPr>
          <w:rFonts w:hint="eastAsia"/>
          <w:szCs w:val="18"/>
        </w:rPr>
        <w:t>出版地和出版者必须有一个</w:t>
      </w:r>
      <w:r>
        <w:rPr>
          <w:rFonts w:hint="eastAsia"/>
          <w:szCs w:val="18"/>
        </w:rPr>
        <w:t xml:space="preserve">) </w:t>
      </w:r>
    </w:p>
    <w:p w14:paraId="1F2E8FEE" w14:textId="77777777" w:rsidR="001A2177" w:rsidRDefault="001A2177">
      <w:pPr>
        <w:ind w:firstLineChars="200" w:firstLine="480"/>
        <w:rPr>
          <w:rFonts w:hint="eastAsia"/>
          <w:szCs w:val="18"/>
        </w:rPr>
      </w:pPr>
      <w:r>
        <w:rPr>
          <w:rFonts w:hint="eastAsia"/>
          <w:szCs w:val="18"/>
        </w:rPr>
        <w:t xml:space="preserve">[3] </w:t>
      </w:r>
      <w:r>
        <w:rPr>
          <w:rFonts w:hint="eastAsia"/>
          <w:szCs w:val="18"/>
        </w:rPr>
        <w:t>专著中的析出文献——析出文献作者</w:t>
      </w:r>
      <w:r>
        <w:rPr>
          <w:rFonts w:hint="eastAsia"/>
          <w:szCs w:val="18"/>
        </w:rPr>
        <w:t xml:space="preserve">. </w:t>
      </w:r>
      <w:r>
        <w:rPr>
          <w:rFonts w:hint="eastAsia"/>
          <w:szCs w:val="18"/>
        </w:rPr>
        <w:t>析出文献题名</w:t>
      </w:r>
      <w:r>
        <w:rPr>
          <w:rFonts w:hint="eastAsia"/>
          <w:szCs w:val="18"/>
        </w:rPr>
        <w:t>[</w:t>
      </w:r>
      <w:r>
        <w:rPr>
          <w:rFonts w:hint="eastAsia"/>
          <w:szCs w:val="18"/>
        </w:rPr>
        <w:t>文献类型标志</w:t>
      </w:r>
      <w:r>
        <w:rPr>
          <w:rFonts w:hint="eastAsia"/>
          <w:szCs w:val="18"/>
        </w:rPr>
        <w:t>]</w:t>
      </w:r>
      <w:r>
        <w:rPr>
          <w:szCs w:val="18"/>
        </w:rPr>
        <w:t>∥</w:t>
      </w:r>
      <w:r>
        <w:rPr>
          <w:rFonts w:hint="eastAsia"/>
          <w:szCs w:val="18"/>
        </w:rPr>
        <w:t>专著作者</w:t>
      </w:r>
      <w:r>
        <w:rPr>
          <w:rFonts w:hint="eastAsia"/>
          <w:szCs w:val="18"/>
        </w:rPr>
        <w:t xml:space="preserve">. </w:t>
      </w:r>
      <w:r>
        <w:rPr>
          <w:rFonts w:hint="eastAsia"/>
          <w:szCs w:val="18"/>
        </w:rPr>
        <w:t>专著题名</w:t>
      </w:r>
      <w:r>
        <w:rPr>
          <w:rFonts w:hint="eastAsia"/>
          <w:szCs w:val="18"/>
        </w:rPr>
        <w:t xml:space="preserve">. </w:t>
      </w:r>
      <w:r>
        <w:rPr>
          <w:rFonts w:hint="eastAsia"/>
          <w:szCs w:val="18"/>
        </w:rPr>
        <w:t>版本</w:t>
      </w:r>
      <w:r>
        <w:rPr>
          <w:rFonts w:hint="eastAsia"/>
          <w:szCs w:val="18"/>
        </w:rPr>
        <w:t xml:space="preserve">. </w:t>
      </w:r>
      <w:r>
        <w:rPr>
          <w:rFonts w:hint="eastAsia"/>
          <w:szCs w:val="18"/>
        </w:rPr>
        <w:t>出版地</w:t>
      </w:r>
      <w:r>
        <w:rPr>
          <w:rFonts w:hint="eastAsia"/>
          <w:szCs w:val="18"/>
        </w:rPr>
        <w:t xml:space="preserve">: </w:t>
      </w:r>
      <w:r>
        <w:rPr>
          <w:rFonts w:hint="eastAsia"/>
          <w:szCs w:val="18"/>
        </w:rPr>
        <w:t>出版者</w:t>
      </w:r>
      <w:r>
        <w:rPr>
          <w:rFonts w:hint="eastAsia"/>
          <w:szCs w:val="18"/>
        </w:rPr>
        <w:t xml:space="preserve">, </w:t>
      </w:r>
      <w:r>
        <w:rPr>
          <w:rFonts w:hint="eastAsia"/>
          <w:szCs w:val="18"/>
        </w:rPr>
        <w:t>出版年</w:t>
      </w:r>
      <w:r>
        <w:rPr>
          <w:rFonts w:hint="eastAsia"/>
          <w:szCs w:val="18"/>
        </w:rPr>
        <w:t xml:space="preserve">: </w:t>
      </w:r>
      <w:r>
        <w:rPr>
          <w:rFonts w:hint="eastAsia"/>
          <w:szCs w:val="18"/>
        </w:rPr>
        <w:t>析出文献的页码</w:t>
      </w:r>
      <w:r>
        <w:rPr>
          <w:rFonts w:hint="eastAsia"/>
          <w:szCs w:val="18"/>
        </w:rPr>
        <w:t>.(</w:t>
      </w:r>
      <w:r>
        <w:rPr>
          <w:rFonts w:hint="eastAsia"/>
          <w:szCs w:val="18"/>
        </w:rPr>
        <w:t>出版地和出版者必须有一个</w:t>
      </w:r>
      <w:r>
        <w:rPr>
          <w:rFonts w:hint="eastAsia"/>
          <w:szCs w:val="18"/>
        </w:rPr>
        <w:t xml:space="preserve">) </w:t>
      </w:r>
    </w:p>
    <w:p w14:paraId="58546684" w14:textId="77777777" w:rsidR="001A2177" w:rsidRDefault="001A2177">
      <w:pPr>
        <w:ind w:firstLineChars="200" w:firstLine="480"/>
        <w:rPr>
          <w:rFonts w:hint="eastAsia"/>
          <w:b/>
          <w:szCs w:val="18"/>
        </w:rPr>
      </w:pPr>
      <w:r>
        <w:rPr>
          <w:rFonts w:hint="eastAsia"/>
          <w:szCs w:val="18"/>
        </w:rPr>
        <w:lastRenderedPageBreak/>
        <w:t xml:space="preserve">[4] </w:t>
      </w:r>
      <w:r>
        <w:rPr>
          <w:rFonts w:hint="eastAsia"/>
          <w:szCs w:val="18"/>
        </w:rPr>
        <w:t>专利文献——专利申请者</w:t>
      </w:r>
      <w:r>
        <w:rPr>
          <w:rFonts w:hint="eastAsia"/>
          <w:szCs w:val="18"/>
        </w:rPr>
        <w:t xml:space="preserve">. </w:t>
      </w:r>
      <w:r>
        <w:rPr>
          <w:rFonts w:hint="eastAsia"/>
          <w:szCs w:val="18"/>
        </w:rPr>
        <w:t>专利题名</w:t>
      </w:r>
      <w:r>
        <w:rPr>
          <w:rFonts w:hint="eastAsia"/>
          <w:szCs w:val="18"/>
        </w:rPr>
        <w:t xml:space="preserve">: </w:t>
      </w:r>
      <w:r>
        <w:rPr>
          <w:rFonts w:hint="eastAsia"/>
          <w:szCs w:val="18"/>
        </w:rPr>
        <w:t>专利国别</w:t>
      </w:r>
      <w:r>
        <w:rPr>
          <w:rFonts w:hint="eastAsia"/>
          <w:szCs w:val="18"/>
        </w:rPr>
        <w:t xml:space="preserve">, </w:t>
      </w:r>
      <w:r>
        <w:rPr>
          <w:rFonts w:hint="eastAsia"/>
          <w:szCs w:val="18"/>
        </w:rPr>
        <w:t>专利号</w:t>
      </w:r>
      <w:r>
        <w:rPr>
          <w:rFonts w:hint="eastAsia"/>
          <w:szCs w:val="18"/>
        </w:rPr>
        <w:t>[</w:t>
      </w:r>
      <w:r>
        <w:rPr>
          <w:rFonts w:hint="eastAsia"/>
          <w:szCs w:val="18"/>
        </w:rPr>
        <w:t>文献类型标志</w:t>
      </w:r>
      <w:r>
        <w:rPr>
          <w:rFonts w:hint="eastAsia"/>
          <w:szCs w:val="18"/>
        </w:rPr>
        <w:t xml:space="preserve">]. </w:t>
      </w:r>
      <w:r>
        <w:rPr>
          <w:rFonts w:hint="eastAsia"/>
          <w:szCs w:val="18"/>
        </w:rPr>
        <w:t>公告日期或公开日期</w:t>
      </w:r>
      <w:r>
        <w:rPr>
          <w:rFonts w:hint="eastAsia"/>
          <w:szCs w:val="18"/>
        </w:rPr>
        <w:t>.</w:t>
      </w:r>
    </w:p>
    <w:p w14:paraId="38EDB39D" w14:textId="77777777" w:rsidR="001A2177" w:rsidRDefault="001A2177">
      <w:pPr>
        <w:ind w:firstLineChars="200" w:firstLine="480"/>
        <w:rPr>
          <w:rFonts w:hint="eastAsia"/>
          <w:b/>
          <w:szCs w:val="18"/>
        </w:rPr>
      </w:pPr>
      <w:r>
        <w:rPr>
          <w:rFonts w:hint="eastAsia"/>
          <w:szCs w:val="18"/>
        </w:rPr>
        <w:t xml:space="preserve">[5] </w:t>
      </w:r>
      <w:r>
        <w:rPr>
          <w:rFonts w:hint="eastAsia"/>
          <w:szCs w:val="18"/>
        </w:rPr>
        <w:t>电子文献——作者</w:t>
      </w:r>
      <w:r>
        <w:rPr>
          <w:rFonts w:hint="eastAsia"/>
          <w:szCs w:val="18"/>
        </w:rPr>
        <w:t xml:space="preserve">. </w:t>
      </w:r>
      <w:r>
        <w:rPr>
          <w:rFonts w:hint="eastAsia"/>
          <w:szCs w:val="18"/>
        </w:rPr>
        <w:t>题</w:t>
      </w:r>
      <w:r>
        <w:rPr>
          <w:rFonts w:hint="eastAsia"/>
          <w:szCs w:val="18"/>
        </w:rPr>
        <w:t xml:space="preserve">: </w:t>
      </w:r>
      <w:r>
        <w:rPr>
          <w:rFonts w:hint="eastAsia"/>
          <w:szCs w:val="18"/>
        </w:rPr>
        <w:t>其他题名信息</w:t>
      </w:r>
      <w:r>
        <w:rPr>
          <w:rFonts w:hint="eastAsia"/>
          <w:szCs w:val="18"/>
        </w:rPr>
        <w:t>[</w:t>
      </w:r>
      <w:r>
        <w:rPr>
          <w:rFonts w:hint="eastAsia"/>
          <w:szCs w:val="18"/>
        </w:rPr>
        <w:t>文献类型标志</w:t>
      </w:r>
      <w:r>
        <w:rPr>
          <w:rFonts w:hint="eastAsia"/>
          <w:szCs w:val="18"/>
        </w:rPr>
        <w:t>/</w:t>
      </w:r>
      <w:r>
        <w:rPr>
          <w:rFonts w:hint="eastAsia"/>
          <w:szCs w:val="18"/>
        </w:rPr>
        <w:t>文献载体标志</w:t>
      </w:r>
      <w:r>
        <w:rPr>
          <w:rFonts w:hint="eastAsia"/>
          <w:szCs w:val="18"/>
        </w:rPr>
        <w:t xml:space="preserve">]. </w:t>
      </w:r>
      <w:r>
        <w:rPr>
          <w:rFonts w:hint="eastAsia"/>
          <w:szCs w:val="18"/>
        </w:rPr>
        <w:t>出版地</w:t>
      </w:r>
      <w:r>
        <w:rPr>
          <w:rFonts w:hint="eastAsia"/>
          <w:szCs w:val="18"/>
        </w:rPr>
        <w:t xml:space="preserve">: </w:t>
      </w:r>
      <w:r>
        <w:rPr>
          <w:rFonts w:hint="eastAsia"/>
          <w:szCs w:val="18"/>
        </w:rPr>
        <w:t>出版者</w:t>
      </w:r>
      <w:r>
        <w:rPr>
          <w:rFonts w:hint="eastAsia"/>
          <w:szCs w:val="18"/>
        </w:rPr>
        <w:t xml:space="preserve">, </w:t>
      </w:r>
      <w:r>
        <w:rPr>
          <w:rFonts w:hint="eastAsia"/>
          <w:szCs w:val="18"/>
        </w:rPr>
        <w:t>出版年</w:t>
      </w:r>
      <w:r>
        <w:rPr>
          <w:rFonts w:hint="eastAsia"/>
          <w:szCs w:val="18"/>
        </w:rPr>
        <w:t>(</w:t>
      </w:r>
      <w:r>
        <w:rPr>
          <w:rFonts w:hint="eastAsia"/>
          <w:szCs w:val="18"/>
        </w:rPr>
        <w:t>更新或修改日期</w:t>
      </w:r>
      <w:r>
        <w:rPr>
          <w:rFonts w:hint="eastAsia"/>
          <w:szCs w:val="18"/>
        </w:rPr>
        <w:t>)[</w:t>
      </w:r>
      <w:r>
        <w:rPr>
          <w:rFonts w:hint="eastAsia"/>
          <w:szCs w:val="18"/>
        </w:rPr>
        <w:t>引用日期</w:t>
      </w:r>
      <w:r>
        <w:rPr>
          <w:rFonts w:hint="eastAsia"/>
          <w:szCs w:val="18"/>
        </w:rPr>
        <w:t xml:space="preserve">]. </w:t>
      </w:r>
      <w:r>
        <w:rPr>
          <w:rFonts w:hint="eastAsia"/>
          <w:szCs w:val="18"/>
        </w:rPr>
        <w:t>获取和访问路径</w:t>
      </w:r>
      <w:r>
        <w:rPr>
          <w:rFonts w:hint="eastAsia"/>
          <w:szCs w:val="18"/>
        </w:rPr>
        <w:t>.</w:t>
      </w:r>
    </w:p>
    <w:p w14:paraId="121069D3" w14:textId="77777777" w:rsidR="001A2177" w:rsidRDefault="001A2177">
      <w:pPr>
        <w:ind w:firstLineChars="200" w:firstLine="480"/>
        <w:rPr>
          <w:rFonts w:hint="eastAsia"/>
          <w:color w:val="FF0000"/>
          <w:szCs w:val="18"/>
        </w:rPr>
      </w:pPr>
      <w:r>
        <w:rPr>
          <w:rFonts w:hint="eastAsia"/>
          <w:color w:val="FF0000"/>
          <w:szCs w:val="18"/>
        </w:rPr>
        <w:t>【说明：</w:t>
      </w:r>
      <w:r>
        <w:rPr>
          <w:rFonts w:hint="eastAsia"/>
          <w:color w:val="FF0000"/>
          <w:szCs w:val="18"/>
        </w:rPr>
        <w:t>(</w:t>
      </w:r>
      <w:r>
        <w:rPr>
          <w:rFonts w:hint="eastAsia"/>
          <w:color w:val="FF0000"/>
          <w:szCs w:val="18"/>
        </w:rPr>
        <w:t>详见</w:t>
      </w:r>
      <w:r>
        <w:rPr>
          <w:rFonts w:hint="eastAsia"/>
          <w:color w:val="FF0000"/>
          <w:szCs w:val="18"/>
        </w:rPr>
        <w:t>GB/T 7714-2005</w:t>
      </w:r>
      <w:r>
        <w:rPr>
          <w:rFonts w:hint="eastAsia"/>
          <w:color w:val="FF0000"/>
          <w:szCs w:val="18"/>
        </w:rPr>
        <w:t>《文后参考文献著录规则》</w:t>
      </w:r>
      <w:r>
        <w:rPr>
          <w:rFonts w:hint="eastAsia"/>
          <w:color w:val="FF0000"/>
          <w:szCs w:val="18"/>
        </w:rPr>
        <w:t>)</w:t>
      </w:r>
    </w:p>
    <w:p w14:paraId="1AB88AB0" w14:textId="77777777" w:rsidR="001A2177" w:rsidRDefault="001A2177">
      <w:pPr>
        <w:ind w:firstLineChars="200" w:firstLine="480"/>
        <w:rPr>
          <w:rFonts w:hint="eastAsia"/>
          <w:color w:val="FF0000"/>
          <w:szCs w:val="18"/>
        </w:rPr>
      </w:pPr>
      <w:r>
        <w:rPr>
          <w:rFonts w:hint="eastAsia"/>
          <w:color w:val="FF0000"/>
          <w:szCs w:val="18"/>
        </w:rPr>
        <w:t xml:space="preserve">1) </w:t>
      </w:r>
      <w:r>
        <w:rPr>
          <w:rFonts w:hint="eastAsia"/>
          <w:color w:val="FF0000"/>
          <w:szCs w:val="18"/>
        </w:rPr>
        <w:t>参考文献应是文中直接引用的公开出版物，以</w:t>
      </w:r>
      <w:r>
        <w:rPr>
          <w:rFonts w:hint="eastAsia"/>
          <w:color w:val="FF0000"/>
          <w:szCs w:val="18"/>
        </w:rPr>
        <w:t>15</w:t>
      </w:r>
      <w:r>
        <w:rPr>
          <w:rFonts w:hint="eastAsia"/>
          <w:color w:val="FF0000"/>
          <w:szCs w:val="18"/>
        </w:rPr>
        <w:t>篇以上为宜，</w:t>
      </w:r>
      <w:r>
        <w:rPr>
          <w:color w:val="FF0000"/>
          <w:szCs w:val="18"/>
        </w:rPr>
        <w:t>其中</w:t>
      </w:r>
      <w:r>
        <w:rPr>
          <w:color w:val="FF0000"/>
          <w:szCs w:val="18"/>
        </w:rPr>
        <w:t>80%</w:t>
      </w:r>
      <w:r>
        <w:rPr>
          <w:color w:val="FF0000"/>
          <w:szCs w:val="18"/>
        </w:rPr>
        <w:t>应为期刊或会议论文，</w:t>
      </w:r>
      <w:r>
        <w:rPr>
          <w:color w:val="FF0000"/>
          <w:szCs w:val="18"/>
        </w:rPr>
        <w:t>80%</w:t>
      </w:r>
      <w:r>
        <w:rPr>
          <w:color w:val="FF0000"/>
          <w:szCs w:val="18"/>
        </w:rPr>
        <w:t>以上为近</w:t>
      </w:r>
      <w:r>
        <w:rPr>
          <w:color w:val="FF0000"/>
          <w:szCs w:val="18"/>
        </w:rPr>
        <w:t>5</w:t>
      </w:r>
      <w:r>
        <w:rPr>
          <w:color w:val="FF0000"/>
          <w:szCs w:val="18"/>
        </w:rPr>
        <w:t>年出版的文献，</w:t>
      </w:r>
      <w:r>
        <w:rPr>
          <w:rFonts w:hint="eastAsia"/>
          <w:color w:val="FF0000"/>
          <w:szCs w:val="18"/>
        </w:rPr>
        <w:t>50</w:t>
      </w:r>
      <w:r>
        <w:rPr>
          <w:color w:val="FF0000"/>
          <w:szCs w:val="18"/>
        </w:rPr>
        <w:t>%</w:t>
      </w:r>
      <w:r>
        <w:rPr>
          <w:color w:val="FF0000"/>
          <w:szCs w:val="18"/>
        </w:rPr>
        <w:t>以上</w:t>
      </w:r>
      <w:r>
        <w:rPr>
          <w:rFonts w:hint="eastAsia"/>
          <w:color w:val="FF0000"/>
          <w:szCs w:val="18"/>
        </w:rPr>
        <w:t>为外文</w:t>
      </w:r>
      <w:r>
        <w:rPr>
          <w:color w:val="FF0000"/>
          <w:szCs w:val="18"/>
        </w:rPr>
        <w:t>文献</w:t>
      </w:r>
      <w:r>
        <w:rPr>
          <w:color w:val="FF0000"/>
          <w:szCs w:val="18"/>
        </w:rPr>
        <w:t>(</w:t>
      </w:r>
      <w:r>
        <w:rPr>
          <w:rFonts w:hint="eastAsia"/>
          <w:color w:val="FF0000"/>
          <w:szCs w:val="18"/>
        </w:rPr>
        <w:t>若是会议论文集析出文献，必须要有会议名称、论文集的出版地、出版者、出版年、析出文献的起止页码</w:t>
      </w:r>
      <w:r>
        <w:rPr>
          <w:rFonts w:hint="eastAsia"/>
          <w:color w:val="FF0000"/>
          <w:szCs w:val="18"/>
        </w:rPr>
        <w:t>)</w:t>
      </w:r>
      <w:r>
        <w:rPr>
          <w:rFonts w:hint="eastAsia"/>
          <w:color w:val="FF0000"/>
          <w:szCs w:val="18"/>
        </w:rPr>
        <w:t>。</w:t>
      </w:r>
    </w:p>
    <w:p w14:paraId="34AD3CE8" w14:textId="77777777" w:rsidR="001A2177" w:rsidRDefault="001A2177">
      <w:pPr>
        <w:ind w:firstLineChars="200" w:firstLine="480"/>
        <w:rPr>
          <w:rFonts w:hint="eastAsia"/>
          <w:color w:val="FF0000"/>
          <w:szCs w:val="18"/>
        </w:rPr>
      </w:pPr>
      <w:r>
        <w:rPr>
          <w:rFonts w:hint="eastAsia"/>
          <w:color w:val="FF0000"/>
          <w:szCs w:val="18"/>
        </w:rPr>
        <w:t xml:space="preserve">2) </w:t>
      </w:r>
      <w:r>
        <w:rPr>
          <w:rFonts w:hint="eastAsia"/>
          <w:color w:val="FF0000"/>
          <w:szCs w:val="18"/>
        </w:rPr>
        <w:t>参考文献采用顺序编码制，按文中出现的先后顺序编号，并在正文中指明其标引处。</w:t>
      </w:r>
    </w:p>
    <w:p w14:paraId="7506683F" w14:textId="77777777" w:rsidR="001A2177" w:rsidRDefault="001A2177">
      <w:pPr>
        <w:ind w:firstLineChars="200" w:firstLine="480"/>
        <w:rPr>
          <w:rFonts w:hint="eastAsia"/>
          <w:color w:val="FF0000"/>
          <w:szCs w:val="18"/>
        </w:rPr>
      </w:pPr>
      <w:r>
        <w:rPr>
          <w:rFonts w:hint="eastAsia"/>
          <w:color w:val="FF0000"/>
          <w:szCs w:val="18"/>
        </w:rPr>
        <w:t xml:space="preserve">3) </w:t>
      </w:r>
      <w:r>
        <w:rPr>
          <w:rFonts w:hint="eastAsia"/>
          <w:color w:val="FF0000"/>
          <w:szCs w:val="18"/>
        </w:rPr>
        <w:t>中外作者的姓名一律“姓前名后”。西方作者的名字部分缩写</w:t>
      </w:r>
      <w:r>
        <w:rPr>
          <w:color w:val="FF0000"/>
          <w:szCs w:val="18"/>
        </w:rPr>
        <w:t>，</w:t>
      </w:r>
      <w:r>
        <w:rPr>
          <w:rFonts w:hint="eastAsia"/>
          <w:color w:val="FF0000"/>
          <w:szCs w:val="18"/>
        </w:rPr>
        <w:t>不加缩写点且姓名全大写。</w:t>
      </w:r>
    </w:p>
    <w:p w14:paraId="11DA1C2B" w14:textId="77777777" w:rsidR="001A2177" w:rsidRDefault="001A2177">
      <w:pPr>
        <w:ind w:firstLineChars="200" w:firstLine="480"/>
        <w:rPr>
          <w:rFonts w:hint="eastAsia"/>
          <w:color w:val="FF0000"/>
          <w:szCs w:val="18"/>
        </w:rPr>
      </w:pPr>
      <w:r>
        <w:rPr>
          <w:rFonts w:hint="eastAsia"/>
          <w:color w:val="FF0000"/>
          <w:szCs w:val="18"/>
        </w:rPr>
        <w:t xml:space="preserve">4) </w:t>
      </w:r>
      <w:r>
        <w:rPr>
          <w:rFonts w:hint="eastAsia"/>
          <w:color w:val="FF0000"/>
          <w:szCs w:val="18"/>
        </w:rPr>
        <w:t>作者不超过</w:t>
      </w:r>
      <w:r>
        <w:rPr>
          <w:color w:val="FF0000"/>
          <w:szCs w:val="18"/>
        </w:rPr>
        <w:t>3</w:t>
      </w:r>
      <w:r>
        <w:rPr>
          <w:rFonts w:hint="eastAsia"/>
          <w:color w:val="FF0000"/>
          <w:szCs w:val="18"/>
        </w:rPr>
        <w:t>人的姓名都写，超过</w:t>
      </w:r>
      <w:r>
        <w:rPr>
          <w:color w:val="FF0000"/>
          <w:szCs w:val="18"/>
        </w:rPr>
        <w:t>3</w:t>
      </w:r>
      <w:r>
        <w:rPr>
          <w:rFonts w:hint="eastAsia"/>
          <w:color w:val="FF0000"/>
          <w:szCs w:val="18"/>
        </w:rPr>
        <w:t>人的，余者写“，等”或“</w:t>
      </w:r>
      <w:r>
        <w:rPr>
          <w:rFonts w:hint="eastAsia"/>
          <w:color w:val="FF0000"/>
          <w:szCs w:val="18"/>
        </w:rPr>
        <w:t>,</w:t>
      </w:r>
      <w:r>
        <w:rPr>
          <w:color w:val="FF0000"/>
          <w:szCs w:val="18"/>
        </w:rPr>
        <w:t xml:space="preserve"> et al”</w:t>
      </w:r>
      <w:r>
        <w:rPr>
          <w:rFonts w:hint="eastAsia"/>
          <w:color w:val="FF0000"/>
          <w:szCs w:val="18"/>
        </w:rPr>
        <w:t>。</w:t>
      </w:r>
    </w:p>
    <w:p w14:paraId="77776B05" w14:textId="77777777" w:rsidR="001A2177" w:rsidRDefault="001A2177">
      <w:pPr>
        <w:ind w:firstLineChars="200" w:firstLine="480"/>
        <w:rPr>
          <w:rFonts w:hint="eastAsia"/>
          <w:color w:val="FF0000"/>
          <w:szCs w:val="18"/>
        </w:rPr>
      </w:pPr>
      <w:r>
        <w:rPr>
          <w:rFonts w:hint="eastAsia"/>
          <w:color w:val="FF0000"/>
          <w:szCs w:val="18"/>
        </w:rPr>
        <w:t xml:space="preserve">5) </w:t>
      </w:r>
      <w:r>
        <w:rPr>
          <w:rFonts w:hint="eastAsia"/>
          <w:color w:val="FF0000"/>
          <w:szCs w:val="18"/>
        </w:rPr>
        <w:t>非英文期刊文献，先按原文列出该文献，然后另起一行附上其英文译文。】</w:t>
      </w:r>
    </w:p>
    <w:p w14:paraId="3B519102" w14:textId="77777777" w:rsidR="001A2177" w:rsidRDefault="001A2177">
      <w:pPr>
        <w:ind w:firstLineChars="200" w:firstLine="480"/>
        <w:jc w:val="center"/>
        <w:rPr>
          <w:bCs/>
        </w:rPr>
        <w:sectPr w:rsidR="00000000">
          <w:headerReference w:type="even" r:id="rId7"/>
          <w:headerReference w:type="default" r:id="rId8"/>
          <w:footerReference w:type="even" r:id="rId9"/>
          <w:footerReference w:type="default" r:id="rId10"/>
          <w:headerReference w:type="first" r:id="rId11"/>
          <w:footerReference w:type="first" r:id="rId12"/>
          <w:type w:val="continuous"/>
          <w:pgSz w:w="11906" w:h="16838"/>
          <w:pgMar w:top="1134" w:right="1134" w:bottom="851" w:left="1134" w:header="851" w:footer="992" w:gutter="0"/>
          <w:cols w:space="720"/>
          <w:docGrid w:type="lines" w:linePitch="312"/>
        </w:sectPr>
      </w:pPr>
    </w:p>
    <w:p w14:paraId="4334CCAC" w14:textId="77777777" w:rsidR="001A2177" w:rsidRDefault="001A2177">
      <w:pPr>
        <w:ind w:firstLineChars="200" w:firstLine="480"/>
        <w:jc w:val="center"/>
        <w:rPr>
          <w:rFonts w:ascii="黑体" w:eastAsia="黑体" w:hint="eastAsia"/>
          <w:bCs/>
        </w:rPr>
      </w:pPr>
      <w:r>
        <w:rPr>
          <w:rFonts w:ascii="黑体" w:eastAsia="黑体" w:hint="eastAsia"/>
          <w:bCs/>
        </w:rPr>
        <w:t>参考文献类型标识</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58"/>
        <w:gridCol w:w="877"/>
        <w:gridCol w:w="736"/>
        <w:gridCol w:w="596"/>
        <w:gridCol w:w="596"/>
        <w:gridCol w:w="596"/>
        <w:gridCol w:w="877"/>
        <w:gridCol w:w="596"/>
        <w:gridCol w:w="596"/>
        <w:gridCol w:w="596"/>
        <w:gridCol w:w="736"/>
        <w:gridCol w:w="1017"/>
        <w:gridCol w:w="877"/>
      </w:tblGrid>
      <w:tr w:rsidR="00000000" w14:paraId="565EBA5B" w14:textId="77777777">
        <w:trPr>
          <w:trHeight w:val="363"/>
          <w:jc w:val="center"/>
        </w:trPr>
        <w:tc>
          <w:tcPr>
            <w:tcW w:w="0" w:type="auto"/>
            <w:vAlign w:val="center"/>
          </w:tcPr>
          <w:p w14:paraId="5B9CBF3F" w14:textId="77777777" w:rsidR="001A2177" w:rsidRDefault="001A2177">
            <w:pPr>
              <w:ind w:firstLine="470"/>
              <w:jc w:val="center"/>
              <w:rPr>
                <w:rFonts w:hint="eastAsia"/>
              </w:rPr>
            </w:pPr>
            <w:r>
              <w:rPr>
                <w:rFonts w:hint="eastAsia"/>
              </w:rPr>
              <w:t>参考文献类型</w:t>
            </w:r>
          </w:p>
        </w:tc>
        <w:tc>
          <w:tcPr>
            <w:tcW w:w="0" w:type="auto"/>
            <w:vAlign w:val="center"/>
          </w:tcPr>
          <w:p w14:paraId="2761A8C8" w14:textId="77777777" w:rsidR="001A2177" w:rsidRDefault="001A2177">
            <w:pPr>
              <w:ind w:firstLine="470"/>
              <w:jc w:val="center"/>
              <w:rPr>
                <w:rFonts w:hint="eastAsia"/>
              </w:rPr>
            </w:pPr>
            <w:r>
              <w:rPr>
                <w:rFonts w:hint="eastAsia"/>
              </w:rPr>
              <w:t>普通图书</w:t>
            </w:r>
          </w:p>
        </w:tc>
        <w:tc>
          <w:tcPr>
            <w:tcW w:w="0" w:type="auto"/>
            <w:vAlign w:val="center"/>
          </w:tcPr>
          <w:p w14:paraId="6894D2C7" w14:textId="77777777" w:rsidR="001A2177" w:rsidRDefault="001A2177">
            <w:pPr>
              <w:ind w:firstLine="470"/>
              <w:jc w:val="center"/>
              <w:rPr>
                <w:rFonts w:hint="eastAsia"/>
              </w:rPr>
            </w:pPr>
            <w:r>
              <w:rPr>
                <w:rFonts w:hint="eastAsia"/>
              </w:rPr>
              <w:t>会议录</w:t>
            </w:r>
          </w:p>
        </w:tc>
        <w:tc>
          <w:tcPr>
            <w:tcW w:w="0" w:type="auto"/>
            <w:vAlign w:val="center"/>
          </w:tcPr>
          <w:p w14:paraId="3066F921" w14:textId="77777777" w:rsidR="001A2177" w:rsidRDefault="001A2177">
            <w:pPr>
              <w:ind w:firstLine="470"/>
              <w:jc w:val="center"/>
              <w:rPr>
                <w:rFonts w:hint="eastAsia"/>
              </w:rPr>
            </w:pPr>
            <w:r>
              <w:rPr>
                <w:rFonts w:hint="eastAsia"/>
              </w:rPr>
              <w:t>编汇</w:t>
            </w:r>
          </w:p>
        </w:tc>
        <w:tc>
          <w:tcPr>
            <w:tcW w:w="0" w:type="auto"/>
            <w:vAlign w:val="center"/>
          </w:tcPr>
          <w:p w14:paraId="797042D9" w14:textId="77777777" w:rsidR="001A2177" w:rsidRDefault="001A2177">
            <w:pPr>
              <w:ind w:firstLine="470"/>
              <w:jc w:val="center"/>
              <w:rPr>
                <w:rFonts w:hint="eastAsia"/>
              </w:rPr>
            </w:pPr>
            <w:r>
              <w:rPr>
                <w:rFonts w:hint="eastAsia"/>
              </w:rPr>
              <w:t>报纸</w:t>
            </w:r>
          </w:p>
        </w:tc>
        <w:tc>
          <w:tcPr>
            <w:tcW w:w="0" w:type="auto"/>
            <w:vAlign w:val="center"/>
          </w:tcPr>
          <w:p w14:paraId="62C17332" w14:textId="77777777" w:rsidR="001A2177" w:rsidRDefault="001A2177">
            <w:pPr>
              <w:ind w:firstLine="470"/>
              <w:jc w:val="center"/>
              <w:rPr>
                <w:rFonts w:hint="eastAsia"/>
              </w:rPr>
            </w:pPr>
            <w:r>
              <w:rPr>
                <w:rFonts w:hint="eastAsia"/>
              </w:rPr>
              <w:t>期刊</w:t>
            </w:r>
          </w:p>
        </w:tc>
        <w:tc>
          <w:tcPr>
            <w:tcW w:w="0" w:type="auto"/>
            <w:vAlign w:val="center"/>
          </w:tcPr>
          <w:p w14:paraId="326D2273" w14:textId="77777777" w:rsidR="001A2177" w:rsidRDefault="001A2177">
            <w:pPr>
              <w:ind w:firstLine="470"/>
              <w:jc w:val="center"/>
              <w:rPr>
                <w:rFonts w:hint="eastAsia"/>
              </w:rPr>
            </w:pPr>
            <w:r>
              <w:rPr>
                <w:rFonts w:hint="eastAsia"/>
              </w:rPr>
              <w:t>学位论文</w:t>
            </w:r>
          </w:p>
        </w:tc>
        <w:tc>
          <w:tcPr>
            <w:tcW w:w="0" w:type="auto"/>
            <w:vAlign w:val="center"/>
          </w:tcPr>
          <w:p w14:paraId="1FCF7517" w14:textId="77777777" w:rsidR="001A2177" w:rsidRDefault="001A2177">
            <w:pPr>
              <w:ind w:firstLine="470"/>
              <w:jc w:val="center"/>
              <w:rPr>
                <w:rFonts w:hint="eastAsia"/>
              </w:rPr>
            </w:pPr>
            <w:r>
              <w:rPr>
                <w:rFonts w:hint="eastAsia"/>
              </w:rPr>
              <w:t>报告</w:t>
            </w:r>
          </w:p>
        </w:tc>
        <w:tc>
          <w:tcPr>
            <w:tcW w:w="0" w:type="auto"/>
            <w:vAlign w:val="center"/>
          </w:tcPr>
          <w:p w14:paraId="74CBA8A0" w14:textId="77777777" w:rsidR="001A2177" w:rsidRDefault="001A2177">
            <w:pPr>
              <w:ind w:firstLine="470"/>
              <w:jc w:val="center"/>
              <w:rPr>
                <w:rFonts w:hint="eastAsia"/>
              </w:rPr>
            </w:pPr>
            <w:r>
              <w:rPr>
                <w:rFonts w:hint="eastAsia"/>
              </w:rPr>
              <w:t>标准</w:t>
            </w:r>
          </w:p>
        </w:tc>
        <w:tc>
          <w:tcPr>
            <w:tcW w:w="0" w:type="auto"/>
            <w:vAlign w:val="center"/>
          </w:tcPr>
          <w:p w14:paraId="441107F2" w14:textId="77777777" w:rsidR="001A2177" w:rsidRDefault="001A2177">
            <w:pPr>
              <w:ind w:firstLine="470"/>
              <w:jc w:val="center"/>
              <w:rPr>
                <w:rFonts w:hint="eastAsia"/>
              </w:rPr>
            </w:pPr>
            <w:r>
              <w:rPr>
                <w:rFonts w:hint="eastAsia"/>
              </w:rPr>
              <w:t>专利</w:t>
            </w:r>
          </w:p>
        </w:tc>
        <w:tc>
          <w:tcPr>
            <w:tcW w:w="0" w:type="auto"/>
            <w:vAlign w:val="center"/>
          </w:tcPr>
          <w:p w14:paraId="5C6AB8A3" w14:textId="77777777" w:rsidR="001A2177" w:rsidRDefault="001A2177">
            <w:pPr>
              <w:ind w:firstLine="470"/>
              <w:jc w:val="center"/>
              <w:rPr>
                <w:rFonts w:hint="eastAsia"/>
              </w:rPr>
            </w:pPr>
            <w:r>
              <w:rPr>
                <w:rFonts w:hint="eastAsia"/>
              </w:rPr>
              <w:t>数据库</w:t>
            </w:r>
          </w:p>
        </w:tc>
        <w:tc>
          <w:tcPr>
            <w:tcW w:w="0" w:type="auto"/>
            <w:vAlign w:val="center"/>
          </w:tcPr>
          <w:p w14:paraId="053A2A5F" w14:textId="77777777" w:rsidR="001A2177" w:rsidRDefault="001A2177">
            <w:pPr>
              <w:ind w:firstLine="470"/>
              <w:jc w:val="center"/>
              <w:rPr>
                <w:rFonts w:hint="eastAsia"/>
              </w:rPr>
            </w:pPr>
            <w:r>
              <w:rPr>
                <w:rFonts w:hint="eastAsia"/>
              </w:rPr>
              <w:t>计算机程序</w:t>
            </w:r>
          </w:p>
        </w:tc>
        <w:tc>
          <w:tcPr>
            <w:tcW w:w="0" w:type="auto"/>
            <w:vAlign w:val="center"/>
          </w:tcPr>
          <w:p w14:paraId="23783A3B" w14:textId="77777777" w:rsidR="001A2177" w:rsidRDefault="001A2177">
            <w:pPr>
              <w:ind w:firstLine="470"/>
              <w:jc w:val="center"/>
              <w:rPr>
                <w:rFonts w:hint="eastAsia"/>
              </w:rPr>
            </w:pPr>
            <w:r>
              <w:rPr>
                <w:rFonts w:hint="eastAsia"/>
              </w:rPr>
              <w:t>电子公告</w:t>
            </w:r>
          </w:p>
        </w:tc>
      </w:tr>
      <w:tr w:rsidR="00000000" w14:paraId="5AC67997" w14:textId="77777777">
        <w:trPr>
          <w:trHeight w:val="525"/>
          <w:jc w:val="center"/>
        </w:trPr>
        <w:tc>
          <w:tcPr>
            <w:tcW w:w="0" w:type="auto"/>
            <w:vAlign w:val="center"/>
          </w:tcPr>
          <w:p w14:paraId="0B20157F" w14:textId="77777777" w:rsidR="001A2177" w:rsidRDefault="001A2177">
            <w:pPr>
              <w:ind w:firstLine="470"/>
              <w:jc w:val="center"/>
              <w:rPr>
                <w:rFonts w:hint="eastAsia"/>
              </w:rPr>
            </w:pPr>
            <w:r>
              <w:rPr>
                <w:rFonts w:hint="eastAsia"/>
              </w:rPr>
              <w:t>文献类型标识</w:t>
            </w:r>
          </w:p>
        </w:tc>
        <w:tc>
          <w:tcPr>
            <w:tcW w:w="0" w:type="auto"/>
            <w:vAlign w:val="center"/>
          </w:tcPr>
          <w:p w14:paraId="68E553D8" w14:textId="77777777" w:rsidR="001A2177" w:rsidRDefault="001A2177">
            <w:pPr>
              <w:ind w:firstLine="470"/>
              <w:jc w:val="center"/>
              <w:rPr>
                <w:rFonts w:hint="eastAsia"/>
              </w:rPr>
            </w:pPr>
            <w:r>
              <w:rPr>
                <w:rFonts w:hint="eastAsia"/>
              </w:rPr>
              <w:t>M</w:t>
            </w:r>
          </w:p>
        </w:tc>
        <w:tc>
          <w:tcPr>
            <w:tcW w:w="0" w:type="auto"/>
            <w:vAlign w:val="center"/>
          </w:tcPr>
          <w:p w14:paraId="40CE73D7" w14:textId="77777777" w:rsidR="001A2177" w:rsidRDefault="001A2177">
            <w:pPr>
              <w:ind w:firstLine="470"/>
              <w:jc w:val="center"/>
              <w:rPr>
                <w:rFonts w:hint="eastAsia"/>
              </w:rPr>
            </w:pPr>
            <w:r>
              <w:rPr>
                <w:rFonts w:hint="eastAsia"/>
              </w:rPr>
              <w:t>C</w:t>
            </w:r>
          </w:p>
        </w:tc>
        <w:tc>
          <w:tcPr>
            <w:tcW w:w="0" w:type="auto"/>
            <w:vAlign w:val="center"/>
          </w:tcPr>
          <w:p w14:paraId="4B3EC7EF" w14:textId="77777777" w:rsidR="001A2177" w:rsidRDefault="001A2177">
            <w:pPr>
              <w:ind w:firstLine="470"/>
              <w:jc w:val="center"/>
              <w:rPr>
                <w:rFonts w:hint="eastAsia"/>
              </w:rPr>
            </w:pPr>
            <w:r>
              <w:rPr>
                <w:rFonts w:hint="eastAsia"/>
              </w:rPr>
              <w:t>G</w:t>
            </w:r>
          </w:p>
        </w:tc>
        <w:tc>
          <w:tcPr>
            <w:tcW w:w="0" w:type="auto"/>
            <w:vAlign w:val="center"/>
          </w:tcPr>
          <w:p w14:paraId="42890AF1" w14:textId="77777777" w:rsidR="001A2177" w:rsidRDefault="001A2177">
            <w:pPr>
              <w:ind w:firstLine="470"/>
              <w:jc w:val="center"/>
              <w:rPr>
                <w:rFonts w:hint="eastAsia"/>
              </w:rPr>
            </w:pPr>
            <w:r>
              <w:rPr>
                <w:rFonts w:hint="eastAsia"/>
              </w:rPr>
              <w:t>N</w:t>
            </w:r>
          </w:p>
        </w:tc>
        <w:tc>
          <w:tcPr>
            <w:tcW w:w="0" w:type="auto"/>
            <w:vAlign w:val="center"/>
          </w:tcPr>
          <w:p w14:paraId="1E75A7B4" w14:textId="77777777" w:rsidR="001A2177" w:rsidRDefault="001A2177">
            <w:pPr>
              <w:ind w:firstLine="470"/>
              <w:jc w:val="center"/>
              <w:rPr>
                <w:rFonts w:hint="eastAsia"/>
              </w:rPr>
            </w:pPr>
            <w:r>
              <w:rPr>
                <w:rFonts w:hint="eastAsia"/>
              </w:rPr>
              <w:t>J</w:t>
            </w:r>
          </w:p>
        </w:tc>
        <w:tc>
          <w:tcPr>
            <w:tcW w:w="0" w:type="auto"/>
            <w:vAlign w:val="center"/>
          </w:tcPr>
          <w:p w14:paraId="22AF6A4D" w14:textId="77777777" w:rsidR="001A2177" w:rsidRDefault="001A2177">
            <w:pPr>
              <w:ind w:firstLine="470"/>
              <w:jc w:val="center"/>
              <w:rPr>
                <w:rFonts w:hint="eastAsia"/>
              </w:rPr>
            </w:pPr>
            <w:r>
              <w:rPr>
                <w:rFonts w:hint="eastAsia"/>
              </w:rPr>
              <w:t>D</w:t>
            </w:r>
          </w:p>
        </w:tc>
        <w:tc>
          <w:tcPr>
            <w:tcW w:w="0" w:type="auto"/>
            <w:vAlign w:val="center"/>
          </w:tcPr>
          <w:p w14:paraId="3E8DD182" w14:textId="77777777" w:rsidR="001A2177" w:rsidRDefault="001A2177">
            <w:pPr>
              <w:ind w:firstLine="470"/>
              <w:jc w:val="center"/>
              <w:rPr>
                <w:rFonts w:hint="eastAsia"/>
              </w:rPr>
            </w:pPr>
            <w:r>
              <w:rPr>
                <w:rFonts w:hint="eastAsia"/>
              </w:rPr>
              <w:t>R</w:t>
            </w:r>
          </w:p>
        </w:tc>
        <w:tc>
          <w:tcPr>
            <w:tcW w:w="0" w:type="auto"/>
            <w:vAlign w:val="center"/>
          </w:tcPr>
          <w:p w14:paraId="61AB3148" w14:textId="77777777" w:rsidR="001A2177" w:rsidRDefault="001A2177">
            <w:pPr>
              <w:ind w:firstLine="470"/>
              <w:jc w:val="center"/>
              <w:rPr>
                <w:rFonts w:hint="eastAsia"/>
              </w:rPr>
            </w:pPr>
            <w:r>
              <w:rPr>
                <w:rFonts w:hint="eastAsia"/>
              </w:rPr>
              <w:t>S</w:t>
            </w:r>
          </w:p>
        </w:tc>
        <w:tc>
          <w:tcPr>
            <w:tcW w:w="0" w:type="auto"/>
            <w:vAlign w:val="center"/>
          </w:tcPr>
          <w:p w14:paraId="7F8E74D0" w14:textId="77777777" w:rsidR="001A2177" w:rsidRDefault="001A2177">
            <w:pPr>
              <w:ind w:firstLine="470"/>
              <w:jc w:val="center"/>
              <w:rPr>
                <w:rFonts w:hint="eastAsia"/>
              </w:rPr>
            </w:pPr>
            <w:r>
              <w:rPr>
                <w:rFonts w:hint="eastAsia"/>
              </w:rPr>
              <w:t>P</w:t>
            </w:r>
          </w:p>
        </w:tc>
        <w:tc>
          <w:tcPr>
            <w:tcW w:w="0" w:type="auto"/>
            <w:vAlign w:val="center"/>
          </w:tcPr>
          <w:p w14:paraId="172451B7" w14:textId="77777777" w:rsidR="001A2177" w:rsidRDefault="001A2177">
            <w:pPr>
              <w:ind w:firstLine="470"/>
              <w:jc w:val="center"/>
              <w:rPr>
                <w:rFonts w:hint="eastAsia"/>
              </w:rPr>
            </w:pPr>
            <w:r>
              <w:rPr>
                <w:rFonts w:hint="eastAsia"/>
              </w:rPr>
              <w:t>DB</w:t>
            </w:r>
          </w:p>
        </w:tc>
        <w:tc>
          <w:tcPr>
            <w:tcW w:w="0" w:type="auto"/>
            <w:vAlign w:val="center"/>
          </w:tcPr>
          <w:p w14:paraId="675FA096" w14:textId="77777777" w:rsidR="001A2177" w:rsidRDefault="001A2177">
            <w:pPr>
              <w:ind w:firstLine="470"/>
              <w:jc w:val="center"/>
              <w:rPr>
                <w:rFonts w:hint="eastAsia"/>
              </w:rPr>
            </w:pPr>
            <w:r>
              <w:rPr>
                <w:rFonts w:hint="eastAsia"/>
              </w:rPr>
              <w:t>CP</w:t>
            </w:r>
          </w:p>
        </w:tc>
        <w:tc>
          <w:tcPr>
            <w:tcW w:w="0" w:type="auto"/>
            <w:vAlign w:val="center"/>
          </w:tcPr>
          <w:p w14:paraId="5AA082CB" w14:textId="77777777" w:rsidR="001A2177" w:rsidRDefault="001A2177">
            <w:pPr>
              <w:ind w:firstLine="470"/>
              <w:jc w:val="center"/>
              <w:rPr>
                <w:rFonts w:hint="eastAsia"/>
              </w:rPr>
            </w:pPr>
            <w:r>
              <w:rPr>
                <w:rFonts w:hint="eastAsia"/>
              </w:rPr>
              <w:t>EB</w:t>
            </w:r>
          </w:p>
        </w:tc>
      </w:tr>
    </w:tbl>
    <w:p w14:paraId="0B337983" w14:textId="77777777" w:rsidR="001A2177" w:rsidRDefault="001A2177">
      <w:pPr>
        <w:pStyle w:val="a7"/>
        <w:spacing w:before="0"/>
        <w:ind w:firstLineChars="0" w:firstLine="0"/>
        <w:jc w:val="center"/>
        <w:rPr>
          <w:rFonts w:hint="eastAsia"/>
          <w:sz w:val="28"/>
          <w:szCs w:val="28"/>
        </w:rPr>
      </w:pPr>
      <w:r>
        <w:rPr>
          <w:rFonts w:hint="eastAsia"/>
          <w:sz w:val="28"/>
          <w:szCs w:val="28"/>
        </w:rPr>
        <w:t>英文标题、作者、单位、摘要、关键词参考下面模式</w:t>
      </w:r>
    </w:p>
    <w:p w14:paraId="50C96065" w14:textId="77777777" w:rsidR="001A2177" w:rsidRDefault="001A2177">
      <w:pPr>
        <w:spacing w:beforeLines="50" w:before="156" w:afterLines="50" w:after="156"/>
        <w:ind w:left="1113" w:hangingChars="396" w:hanging="1113"/>
        <w:jc w:val="center"/>
        <w:rPr>
          <w:b/>
          <w:sz w:val="28"/>
          <w:szCs w:val="28"/>
        </w:rPr>
      </w:pPr>
      <w:r>
        <w:rPr>
          <w:b/>
          <w:sz w:val="28"/>
          <w:szCs w:val="28"/>
        </w:rPr>
        <w:t>Trends of development of analytical technique for protein</w:t>
      </w:r>
      <w:r>
        <w:rPr>
          <w:b/>
          <w:color w:val="0000CC"/>
          <w:sz w:val="28"/>
          <w:szCs w:val="28"/>
        </w:rPr>
        <w:t>(</w:t>
      </w:r>
      <w:r>
        <w:rPr>
          <w:b/>
          <w:color w:val="0000CC"/>
          <w:sz w:val="28"/>
          <w:szCs w:val="28"/>
        </w:rPr>
        <w:t>四号</w:t>
      </w:r>
      <w:r>
        <w:rPr>
          <w:b/>
          <w:color w:val="0000CC"/>
          <w:sz w:val="28"/>
          <w:szCs w:val="28"/>
        </w:rPr>
        <w:t>Times New Roman</w:t>
      </w:r>
      <w:r>
        <w:rPr>
          <w:b/>
          <w:color w:val="0000CC"/>
          <w:sz w:val="28"/>
          <w:szCs w:val="28"/>
        </w:rPr>
        <w:t>体，加粗</w:t>
      </w:r>
      <w:r>
        <w:rPr>
          <w:b/>
          <w:color w:val="0000CC"/>
          <w:sz w:val="28"/>
          <w:szCs w:val="28"/>
        </w:rPr>
        <w:t>)</w:t>
      </w:r>
    </w:p>
    <w:p w14:paraId="5883D94F" w14:textId="77777777" w:rsidR="001A2177" w:rsidRDefault="001A2177">
      <w:pPr>
        <w:jc w:val="center"/>
        <w:rPr>
          <w:sz w:val="21"/>
        </w:rPr>
      </w:pPr>
      <w:r>
        <w:rPr>
          <w:sz w:val="21"/>
        </w:rPr>
        <w:t>WEI Qin</w:t>
      </w:r>
      <w:r>
        <w:rPr>
          <w:sz w:val="21"/>
          <w:vertAlign w:val="superscript"/>
        </w:rPr>
        <w:t>1,2</w:t>
      </w:r>
      <w:r>
        <w:rPr>
          <w:rFonts w:hint="eastAsia"/>
          <w:sz w:val="21"/>
        </w:rPr>
        <w:t xml:space="preserve">, </w:t>
      </w:r>
      <w:r>
        <w:rPr>
          <w:sz w:val="21"/>
        </w:rPr>
        <w:t>WU Dan</w:t>
      </w:r>
      <w:r>
        <w:rPr>
          <w:sz w:val="21"/>
          <w:vertAlign w:val="superscript"/>
        </w:rPr>
        <w:t>2</w:t>
      </w:r>
      <w:r>
        <w:rPr>
          <w:rFonts w:hint="eastAsia"/>
          <w:sz w:val="21"/>
        </w:rPr>
        <w:t xml:space="preserve">, </w:t>
      </w:r>
      <w:r>
        <w:rPr>
          <w:sz w:val="21"/>
        </w:rPr>
        <w:t>ZHANG Xu-zhen</w:t>
      </w:r>
      <w:r>
        <w:rPr>
          <w:sz w:val="21"/>
          <w:vertAlign w:val="superscript"/>
        </w:rPr>
        <w:t>2</w:t>
      </w:r>
      <w:r>
        <w:rPr>
          <w:rFonts w:hint="eastAsia"/>
          <w:sz w:val="21"/>
        </w:rPr>
        <w:t xml:space="preserve">, </w:t>
      </w:r>
      <w:r>
        <w:rPr>
          <w:sz w:val="21"/>
        </w:rPr>
        <w:t>LI Chao</w:t>
      </w:r>
      <w:r>
        <w:rPr>
          <w:sz w:val="21"/>
          <w:vertAlign w:val="superscript"/>
        </w:rPr>
        <w:t>2</w:t>
      </w:r>
      <w:r>
        <w:rPr>
          <w:rFonts w:hint="eastAsia"/>
          <w:sz w:val="21"/>
        </w:rPr>
        <w:t xml:space="preserve">, </w:t>
      </w:r>
      <w:r>
        <w:rPr>
          <w:sz w:val="21"/>
        </w:rPr>
        <w:t>WANG Ke-liang</w:t>
      </w:r>
      <w:r>
        <w:rPr>
          <w:color w:val="0000CC"/>
          <w:sz w:val="21"/>
        </w:rPr>
        <w:t>(</w:t>
      </w:r>
      <w:r>
        <w:rPr>
          <w:rFonts w:hint="eastAsia"/>
          <w:color w:val="0000CC"/>
          <w:sz w:val="21"/>
        </w:rPr>
        <w:t>五</w:t>
      </w:r>
      <w:r>
        <w:rPr>
          <w:color w:val="0000CC"/>
          <w:sz w:val="21"/>
        </w:rPr>
        <w:t>号</w:t>
      </w:r>
      <w:r>
        <w:rPr>
          <w:color w:val="0000CC"/>
          <w:sz w:val="21"/>
        </w:rPr>
        <w:t>Times New Roman</w:t>
      </w:r>
      <w:r>
        <w:rPr>
          <w:color w:val="0000CC"/>
          <w:sz w:val="21"/>
        </w:rPr>
        <w:t>体</w:t>
      </w:r>
      <w:r>
        <w:rPr>
          <w:color w:val="0000CC"/>
          <w:sz w:val="21"/>
        </w:rPr>
        <w:t>)</w:t>
      </w:r>
    </w:p>
    <w:p w14:paraId="553484A3" w14:textId="77777777" w:rsidR="001A2177" w:rsidRDefault="001A2177">
      <w:pPr>
        <w:ind w:firstLine="470"/>
        <w:jc w:val="left"/>
        <w:rPr>
          <w:szCs w:val="18"/>
        </w:rPr>
      </w:pPr>
      <w:r>
        <w:rPr>
          <w:szCs w:val="18"/>
        </w:rPr>
        <w:t>(</w:t>
      </w:r>
      <w:r>
        <w:rPr>
          <w:spacing w:val="-2"/>
          <w:kern w:val="10"/>
          <w:szCs w:val="18"/>
        </w:rPr>
        <w:t>1</w:t>
      </w:r>
      <w:r>
        <w:rPr>
          <w:rFonts w:hint="eastAsia"/>
          <w:spacing w:val="-2"/>
          <w:kern w:val="10"/>
          <w:szCs w:val="18"/>
        </w:rPr>
        <w:t xml:space="preserve">. </w:t>
      </w:r>
      <w:r>
        <w:rPr>
          <w:szCs w:val="18"/>
        </w:rPr>
        <w:t>Lanzhou Institute of Chemical Physics, Chinese Academy of  Sciences, Lanzhou 730000</w:t>
      </w:r>
      <w:r>
        <w:rPr>
          <w:rFonts w:hint="eastAsia"/>
          <w:szCs w:val="18"/>
        </w:rPr>
        <w:t xml:space="preserve">, </w:t>
      </w:r>
      <w:r>
        <w:rPr>
          <w:szCs w:val="18"/>
        </w:rPr>
        <w:t>P.R.China</w:t>
      </w:r>
      <w:r>
        <w:rPr>
          <w:rFonts w:hint="eastAsia"/>
          <w:spacing w:val="-2"/>
          <w:kern w:val="10"/>
          <w:szCs w:val="18"/>
        </w:rPr>
        <w:t xml:space="preserve">; </w:t>
      </w:r>
      <w:r>
        <w:rPr>
          <w:szCs w:val="18"/>
        </w:rPr>
        <w:t>2</w:t>
      </w:r>
      <w:r>
        <w:rPr>
          <w:rFonts w:hint="eastAsia"/>
          <w:snapToGrid w:val="0"/>
          <w:kern w:val="0"/>
          <w:szCs w:val="18"/>
        </w:rPr>
        <w:t xml:space="preserve">. </w:t>
      </w:r>
      <w:r>
        <w:rPr>
          <w:snapToGrid w:val="0"/>
          <w:kern w:val="0"/>
          <w:szCs w:val="18"/>
        </w:rPr>
        <w:t>School of Chemistry and Chemical Engineering, Chongqing University, Chongqing 400030</w:t>
      </w:r>
      <w:r>
        <w:rPr>
          <w:rFonts w:hint="eastAsia"/>
          <w:szCs w:val="18"/>
        </w:rPr>
        <w:t xml:space="preserve">, </w:t>
      </w:r>
      <w:r>
        <w:rPr>
          <w:szCs w:val="18"/>
        </w:rPr>
        <w:t>P.R.China)</w:t>
      </w:r>
      <w:r>
        <w:rPr>
          <w:color w:val="0000CC"/>
          <w:szCs w:val="18"/>
        </w:rPr>
        <w:t>(</w:t>
      </w:r>
      <w:r>
        <w:rPr>
          <w:rFonts w:hint="eastAsia"/>
          <w:color w:val="0000CC"/>
          <w:szCs w:val="18"/>
        </w:rPr>
        <w:t>小五</w:t>
      </w:r>
      <w:r>
        <w:rPr>
          <w:color w:val="0000CC"/>
          <w:szCs w:val="18"/>
        </w:rPr>
        <w:t>号</w:t>
      </w:r>
      <w:r>
        <w:rPr>
          <w:color w:val="0000CC"/>
          <w:szCs w:val="18"/>
        </w:rPr>
        <w:t>Times New Roman</w:t>
      </w:r>
      <w:r>
        <w:rPr>
          <w:color w:val="0000CC"/>
          <w:szCs w:val="18"/>
        </w:rPr>
        <w:t>体</w:t>
      </w:r>
      <w:r>
        <w:rPr>
          <w:color w:val="0000CC"/>
          <w:szCs w:val="18"/>
        </w:rPr>
        <w:t>)</w:t>
      </w:r>
    </w:p>
    <w:p w14:paraId="5AD1525B" w14:textId="77777777" w:rsidR="001A2177" w:rsidRDefault="001A2177">
      <w:pPr>
        <w:ind w:firstLine="472"/>
        <w:rPr>
          <w:szCs w:val="18"/>
        </w:rPr>
      </w:pPr>
      <w:r>
        <w:rPr>
          <w:b/>
          <w:szCs w:val="18"/>
        </w:rPr>
        <w:t>Abstract:</w:t>
      </w:r>
      <w:r>
        <w:rPr>
          <w:color w:val="0000CC"/>
          <w:szCs w:val="18"/>
        </w:rPr>
        <w:t xml:space="preserve"> </w:t>
      </w:r>
      <w:r>
        <w:rPr>
          <w:b/>
          <w:color w:val="0000CC"/>
          <w:szCs w:val="18"/>
        </w:rPr>
        <w:t>(</w:t>
      </w:r>
      <w:r>
        <w:rPr>
          <w:rFonts w:hint="eastAsia"/>
          <w:b/>
          <w:color w:val="0000CC"/>
          <w:szCs w:val="18"/>
        </w:rPr>
        <w:t>小五</w:t>
      </w:r>
      <w:r>
        <w:rPr>
          <w:b/>
          <w:color w:val="0000CC"/>
          <w:szCs w:val="18"/>
        </w:rPr>
        <w:t>号</w:t>
      </w:r>
      <w:r>
        <w:rPr>
          <w:b/>
          <w:color w:val="0000CC"/>
          <w:szCs w:val="18"/>
        </w:rPr>
        <w:t>Times New Roman</w:t>
      </w:r>
      <w:r>
        <w:rPr>
          <w:b/>
          <w:color w:val="0000CC"/>
          <w:szCs w:val="18"/>
        </w:rPr>
        <w:t>体</w:t>
      </w:r>
      <w:r>
        <w:rPr>
          <w:rFonts w:hint="eastAsia"/>
          <w:b/>
          <w:color w:val="0000CC"/>
          <w:szCs w:val="18"/>
        </w:rPr>
        <w:t>，加粗</w:t>
      </w:r>
      <w:r>
        <w:rPr>
          <w:b/>
          <w:color w:val="0000CC"/>
          <w:szCs w:val="18"/>
        </w:rPr>
        <w:t>)</w:t>
      </w:r>
      <w:r>
        <w:rPr>
          <w:szCs w:val="18"/>
        </w:rPr>
        <w:t xml:space="preserve">The study of quantitative protein is </w:t>
      </w:r>
      <w:r>
        <w:rPr>
          <w:szCs w:val="18"/>
        </w:rPr>
        <w:lastRenderedPageBreak/>
        <w:t>very important and valuable in biochemical and clinical test as well as food test. In this paper, a review on the quantitative analysis of protein is presented in details, pertaining especially to the determination of protein and their applications using spectrophotometer method, fluorescent method and resonance Raleigh scattering method. Moreover, many important reaction systems and their analytical characteristics are displayed in the tables in</w:t>
      </w:r>
      <w:r>
        <w:rPr>
          <w:szCs w:val="18"/>
        </w:rPr>
        <w:t xml:space="preserve"> order to keep this paper for reference.</w:t>
      </w:r>
      <w:r>
        <w:rPr>
          <w:color w:val="0000CC"/>
          <w:szCs w:val="18"/>
        </w:rPr>
        <w:t xml:space="preserve"> (</w:t>
      </w:r>
      <w:r>
        <w:rPr>
          <w:rFonts w:hint="eastAsia"/>
          <w:color w:val="0000CC"/>
          <w:szCs w:val="18"/>
        </w:rPr>
        <w:t>小五</w:t>
      </w:r>
      <w:r>
        <w:rPr>
          <w:color w:val="0000CC"/>
          <w:szCs w:val="18"/>
        </w:rPr>
        <w:t>号</w:t>
      </w:r>
      <w:r>
        <w:rPr>
          <w:color w:val="0000CC"/>
          <w:szCs w:val="18"/>
        </w:rPr>
        <w:t>Times New Roman</w:t>
      </w:r>
      <w:r>
        <w:rPr>
          <w:color w:val="0000CC"/>
          <w:szCs w:val="18"/>
        </w:rPr>
        <w:t>体</w:t>
      </w:r>
      <w:r>
        <w:rPr>
          <w:color w:val="0000CC"/>
          <w:szCs w:val="18"/>
        </w:rPr>
        <w:t>)</w:t>
      </w:r>
    </w:p>
    <w:p w14:paraId="2B51518A" w14:textId="77777777" w:rsidR="001A2177" w:rsidRDefault="001A2177">
      <w:pPr>
        <w:ind w:firstLine="472"/>
        <w:rPr>
          <w:rFonts w:hint="eastAsia"/>
          <w:szCs w:val="18"/>
        </w:rPr>
      </w:pPr>
      <w:r>
        <w:rPr>
          <w:b/>
          <w:szCs w:val="18"/>
        </w:rPr>
        <w:t>Key words:</w:t>
      </w:r>
      <w:r>
        <w:rPr>
          <w:b/>
          <w:color w:val="0000CC"/>
          <w:szCs w:val="18"/>
        </w:rPr>
        <w:t xml:space="preserve"> (</w:t>
      </w:r>
      <w:r>
        <w:rPr>
          <w:rFonts w:hint="eastAsia"/>
          <w:b/>
          <w:color w:val="0000CC"/>
          <w:szCs w:val="18"/>
        </w:rPr>
        <w:t>小五</w:t>
      </w:r>
      <w:r>
        <w:rPr>
          <w:b/>
          <w:color w:val="0000CC"/>
          <w:szCs w:val="18"/>
        </w:rPr>
        <w:t>号</w:t>
      </w:r>
      <w:r>
        <w:rPr>
          <w:b/>
          <w:color w:val="0000CC"/>
          <w:szCs w:val="18"/>
        </w:rPr>
        <w:t>Times New Roman</w:t>
      </w:r>
      <w:r>
        <w:rPr>
          <w:b/>
          <w:color w:val="0000CC"/>
          <w:szCs w:val="18"/>
        </w:rPr>
        <w:t>体</w:t>
      </w:r>
      <w:r>
        <w:rPr>
          <w:rFonts w:hint="eastAsia"/>
          <w:b/>
          <w:color w:val="0000CC"/>
          <w:szCs w:val="18"/>
        </w:rPr>
        <w:t>，加粗</w:t>
      </w:r>
      <w:r>
        <w:rPr>
          <w:b/>
          <w:color w:val="0000CC"/>
          <w:szCs w:val="18"/>
        </w:rPr>
        <w:t>)</w:t>
      </w:r>
      <w:r>
        <w:rPr>
          <w:szCs w:val="18"/>
        </w:rPr>
        <w:t>protein</w:t>
      </w:r>
      <w:r>
        <w:rPr>
          <w:rFonts w:hint="eastAsia"/>
          <w:szCs w:val="18"/>
        </w:rPr>
        <w:t xml:space="preserve">; </w:t>
      </w:r>
      <w:r>
        <w:rPr>
          <w:szCs w:val="18"/>
        </w:rPr>
        <w:t>quantitative</w:t>
      </w:r>
      <w:r>
        <w:rPr>
          <w:b/>
          <w:szCs w:val="18"/>
        </w:rPr>
        <w:t xml:space="preserve"> </w:t>
      </w:r>
      <w:r>
        <w:rPr>
          <w:szCs w:val="18"/>
        </w:rPr>
        <w:t>determination</w:t>
      </w:r>
      <w:r>
        <w:rPr>
          <w:rFonts w:hint="eastAsia"/>
          <w:szCs w:val="18"/>
        </w:rPr>
        <w:t xml:space="preserve">; </w:t>
      </w:r>
      <w:r>
        <w:rPr>
          <w:szCs w:val="18"/>
        </w:rPr>
        <w:t>spectrophotometer method</w:t>
      </w:r>
      <w:r>
        <w:rPr>
          <w:rFonts w:hint="eastAsia"/>
          <w:szCs w:val="18"/>
        </w:rPr>
        <w:t xml:space="preserve">; </w:t>
      </w:r>
      <w:r>
        <w:rPr>
          <w:szCs w:val="18"/>
        </w:rPr>
        <w:t>fluorescent method</w:t>
      </w:r>
      <w:r>
        <w:rPr>
          <w:color w:val="0000CC"/>
          <w:szCs w:val="18"/>
        </w:rPr>
        <w:t>(</w:t>
      </w:r>
      <w:r>
        <w:rPr>
          <w:rFonts w:hint="eastAsia"/>
          <w:color w:val="0000CC"/>
          <w:szCs w:val="18"/>
        </w:rPr>
        <w:t>小五</w:t>
      </w:r>
      <w:r>
        <w:rPr>
          <w:color w:val="0000CC"/>
          <w:szCs w:val="18"/>
        </w:rPr>
        <w:t>号</w:t>
      </w:r>
      <w:r>
        <w:rPr>
          <w:color w:val="0000CC"/>
          <w:szCs w:val="18"/>
        </w:rPr>
        <w:t>Times New Roman</w:t>
      </w:r>
      <w:r>
        <w:rPr>
          <w:color w:val="0000CC"/>
          <w:szCs w:val="18"/>
        </w:rPr>
        <w:t>体</w:t>
      </w:r>
      <w:r>
        <w:rPr>
          <w:color w:val="0000CC"/>
          <w:szCs w:val="18"/>
        </w:rPr>
        <w:t>)</w:t>
      </w:r>
    </w:p>
    <w:p w14:paraId="69B1E4DC" w14:textId="77777777" w:rsidR="001A2177" w:rsidRDefault="001A2177">
      <w:pPr>
        <w:ind w:firstLineChars="200" w:firstLine="480"/>
        <w:rPr>
          <w:rFonts w:hint="eastAsia"/>
          <w:color w:val="FF0000"/>
          <w:szCs w:val="18"/>
        </w:rPr>
      </w:pPr>
      <w:r>
        <w:rPr>
          <w:rFonts w:hint="eastAsia"/>
          <w:color w:val="FF0000"/>
          <w:szCs w:val="18"/>
        </w:rPr>
        <w:t>【说明：</w:t>
      </w:r>
      <w:r>
        <w:rPr>
          <w:color w:val="FF0000"/>
          <w:szCs w:val="18"/>
        </w:rPr>
        <w:t>英文摘要</w:t>
      </w:r>
      <w:r>
        <w:rPr>
          <w:color w:val="FF0000"/>
          <w:szCs w:val="18"/>
        </w:rPr>
        <w:t>(100</w:t>
      </w:r>
      <w:r>
        <w:rPr>
          <w:color w:val="FF0000"/>
          <w:szCs w:val="18"/>
        </w:rPr>
        <w:t>～</w:t>
      </w:r>
      <w:r>
        <w:rPr>
          <w:color w:val="FF0000"/>
          <w:szCs w:val="18"/>
        </w:rPr>
        <w:t>150 words)</w:t>
      </w:r>
      <w:r>
        <w:rPr>
          <w:color w:val="FF0000"/>
          <w:szCs w:val="18"/>
        </w:rPr>
        <w:t>须与中文摘要相对应，摘要应回答好以下</w:t>
      </w:r>
      <w:r>
        <w:rPr>
          <w:color w:val="FF0000"/>
          <w:szCs w:val="18"/>
        </w:rPr>
        <w:t>4</w:t>
      </w:r>
      <w:r>
        <w:rPr>
          <w:color w:val="FF0000"/>
          <w:szCs w:val="18"/>
        </w:rPr>
        <w:t>方面问题：</w:t>
      </w:r>
      <w:r>
        <w:rPr>
          <w:color w:val="FF0000"/>
          <w:szCs w:val="18"/>
        </w:rPr>
        <w:t>1)</w:t>
      </w:r>
      <w:r>
        <w:rPr>
          <w:rFonts w:hint="eastAsia"/>
          <w:color w:val="FF0000"/>
          <w:szCs w:val="18"/>
        </w:rPr>
        <w:t xml:space="preserve"> </w:t>
      </w:r>
      <w:r>
        <w:rPr>
          <w:bCs/>
          <w:color w:val="FF0000"/>
          <w:szCs w:val="18"/>
        </w:rPr>
        <w:t>What you want to do</w:t>
      </w:r>
      <w:r>
        <w:rPr>
          <w:color w:val="FF0000"/>
          <w:szCs w:val="18"/>
        </w:rPr>
        <w:t>(</w:t>
      </w:r>
      <w:r>
        <w:rPr>
          <w:color w:val="FF0000"/>
          <w:szCs w:val="18"/>
        </w:rPr>
        <w:t>直接写出研究目的，可缺省</w:t>
      </w:r>
      <w:r>
        <w:rPr>
          <w:color w:val="FF0000"/>
          <w:szCs w:val="18"/>
        </w:rPr>
        <w:t>)</w:t>
      </w:r>
      <w:r>
        <w:rPr>
          <w:color w:val="FF0000"/>
          <w:szCs w:val="18"/>
        </w:rPr>
        <w:t>；</w:t>
      </w:r>
      <w:r>
        <w:rPr>
          <w:color w:val="FF0000"/>
          <w:szCs w:val="18"/>
        </w:rPr>
        <w:t>2)</w:t>
      </w:r>
      <w:r>
        <w:rPr>
          <w:rFonts w:hint="eastAsia"/>
          <w:color w:val="FF0000"/>
          <w:szCs w:val="18"/>
        </w:rPr>
        <w:t xml:space="preserve"> </w:t>
      </w:r>
      <w:r>
        <w:rPr>
          <w:bCs/>
          <w:color w:val="FF0000"/>
          <w:szCs w:val="18"/>
        </w:rPr>
        <w:t>How you did it</w:t>
      </w:r>
      <w:r>
        <w:rPr>
          <w:color w:val="FF0000"/>
          <w:szCs w:val="18"/>
        </w:rPr>
        <w:t>(</w:t>
      </w:r>
      <w:r>
        <w:rPr>
          <w:color w:val="FF0000"/>
          <w:szCs w:val="18"/>
        </w:rPr>
        <w:t>详细陈述过程和方法</w:t>
      </w:r>
      <w:r>
        <w:rPr>
          <w:color w:val="FF0000"/>
          <w:szCs w:val="18"/>
        </w:rPr>
        <w:t>)</w:t>
      </w:r>
      <w:r>
        <w:rPr>
          <w:color w:val="FF0000"/>
          <w:szCs w:val="18"/>
        </w:rPr>
        <w:t>；</w:t>
      </w:r>
      <w:r>
        <w:rPr>
          <w:color w:val="FF0000"/>
          <w:szCs w:val="18"/>
        </w:rPr>
        <w:t>3)</w:t>
      </w:r>
      <w:r>
        <w:rPr>
          <w:rFonts w:hint="eastAsia"/>
          <w:color w:val="FF0000"/>
          <w:szCs w:val="18"/>
        </w:rPr>
        <w:t xml:space="preserve"> </w:t>
      </w:r>
      <w:r>
        <w:rPr>
          <w:bCs/>
          <w:color w:val="FF0000"/>
          <w:szCs w:val="18"/>
        </w:rPr>
        <w:t>What results did you get and what conclusions can you draw</w:t>
      </w:r>
      <w:r>
        <w:rPr>
          <w:color w:val="FF0000"/>
          <w:szCs w:val="18"/>
        </w:rPr>
        <w:t>(</w:t>
      </w:r>
      <w:r>
        <w:rPr>
          <w:color w:val="FF0000"/>
          <w:szCs w:val="18"/>
        </w:rPr>
        <w:t>全面罗列结果和结论</w:t>
      </w:r>
      <w:r>
        <w:rPr>
          <w:color w:val="FF0000"/>
          <w:szCs w:val="18"/>
        </w:rPr>
        <w:t>)</w:t>
      </w:r>
      <w:r>
        <w:rPr>
          <w:color w:val="FF0000"/>
          <w:szCs w:val="18"/>
        </w:rPr>
        <w:t>；</w:t>
      </w:r>
      <w:r>
        <w:rPr>
          <w:color w:val="FF0000"/>
          <w:szCs w:val="18"/>
        </w:rPr>
        <w:t>4)</w:t>
      </w:r>
      <w:r>
        <w:rPr>
          <w:rFonts w:hint="eastAsia"/>
          <w:color w:val="FF0000"/>
          <w:szCs w:val="18"/>
        </w:rPr>
        <w:t xml:space="preserve"> </w:t>
      </w:r>
      <w:r>
        <w:rPr>
          <w:bCs/>
          <w:color w:val="FF0000"/>
          <w:szCs w:val="18"/>
        </w:rPr>
        <w:t>What is original in your paper</w:t>
      </w:r>
      <w:r>
        <w:rPr>
          <w:color w:val="FF0000"/>
          <w:szCs w:val="18"/>
        </w:rPr>
        <w:t>(</w:t>
      </w:r>
      <w:r>
        <w:rPr>
          <w:color w:val="FF0000"/>
          <w:szCs w:val="18"/>
        </w:rPr>
        <w:t>通过</w:t>
      </w:r>
      <w:r>
        <w:rPr>
          <w:color w:val="FF0000"/>
          <w:szCs w:val="18"/>
        </w:rPr>
        <w:t>2)</w:t>
      </w:r>
      <w:r>
        <w:rPr>
          <w:color w:val="FF0000"/>
          <w:szCs w:val="18"/>
        </w:rPr>
        <w:t>和</w:t>
      </w:r>
      <w:r>
        <w:rPr>
          <w:color w:val="FF0000"/>
          <w:szCs w:val="18"/>
        </w:rPr>
        <w:t>3)</w:t>
      </w:r>
      <w:r>
        <w:rPr>
          <w:color w:val="FF0000"/>
          <w:szCs w:val="18"/>
        </w:rPr>
        <w:t>两方面内容展示文中创新之处</w:t>
      </w:r>
      <w:r>
        <w:rPr>
          <w:color w:val="FF0000"/>
          <w:szCs w:val="18"/>
        </w:rPr>
        <w:t>)</w:t>
      </w:r>
      <w:r>
        <w:rPr>
          <w:color w:val="FF0000"/>
          <w:szCs w:val="18"/>
        </w:rPr>
        <w:t>。</w:t>
      </w:r>
    </w:p>
    <w:p w14:paraId="68A5C1EF" w14:textId="77777777" w:rsidR="001A2177" w:rsidRDefault="001A2177">
      <w:pPr>
        <w:ind w:firstLineChars="200" w:firstLine="480"/>
        <w:rPr>
          <w:rFonts w:hint="eastAsia"/>
          <w:color w:val="FF0000"/>
          <w:szCs w:val="18"/>
        </w:rPr>
      </w:pPr>
      <w:r>
        <w:rPr>
          <w:rFonts w:hint="eastAsia"/>
          <w:color w:val="FF0000"/>
          <w:szCs w:val="18"/>
        </w:rPr>
        <w:t xml:space="preserve">1) </w:t>
      </w:r>
      <w:r>
        <w:rPr>
          <w:rFonts w:hint="eastAsia"/>
          <w:color w:val="FF0000"/>
          <w:szCs w:val="18"/>
        </w:rPr>
        <w:t>首句不得简单重复题名中已有的信息；</w:t>
      </w:r>
    </w:p>
    <w:p w14:paraId="3A0DCAE3" w14:textId="77777777" w:rsidR="001A2177" w:rsidRDefault="001A2177">
      <w:pPr>
        <w:ind w:firstLineChars="200" w:firstLine="480"/>
        <w:rPr>
          <w:rFonts w:hint="eastAsia"/>
          <w:color w:val="FF0000"/>
          <w:szCs w:val="18"/>
        </w:rPr>
      </w:pPr>
      <w:r>
        <w:rPr>
          <w:rFonts w:hint="eastAsia"/>
          <w:color w:val="FF0000"/>
          <w:szCs w:val="18"/>
        </w:rPr>
        <w:t xml:space="preserve">2) </w:t>
      </w:r>
      <w:r>
        <w:rPr>
          <w:rFonts w:hint="eastAsia"/>
          <w:color w:val="FF0000"/>
          <w:szCs w:val="18"/>
        </w:rPr>
        <w:t>用过去时态叙述作者工作，用现在时态叙述作者结论；</w:t>
      </w:r>
    </w:p>
    <w:p w14:paraId="3E2D30DE" w14:textId="77777777" w:rsidR="001A2177" w:rsidRDefault="001A2177">
      <w:pPr>
        <w:ind w:firstLineChars="200" w:firstLine="480"/>
        <w:rPr>
          <w:rFonts w:hint="eastAsia"/>
          <w:color w:val="FF0000"/>
          <w:szCs w:val="18"/>
        </w:rPr>
      </w:pPr>
      <w:r>
        <w:rPr>
          <w:rFonts w:hint="eastAsia"/>
          <w:color w:val="FF0000"/>
          <w:szCs w:val="18"/>
        </w:rPr>
        <w:t xml:space="preserve">3) </w:t>
      </w:r>
      <w:r>
        <w:rPr>
          <w:rFonts w:hint="eastAsia"/>
          <w:color w:val="FF0000"/>
          <w:szCs w:val="18"/>
        </w:rPr>
        <w:t>文摘中的缩写名称在第一次出现时要有全称；</w:t>
      </w:r>
    </w:p>
    <w:p w14:paraId="66B89CA6" w14:textId="77777777" w:rsidR="001A2177" w:rsidRDefault="001A2177">
      <w:pPr>
        <w:ind w:firstLineChars="200" w:firstLine="480"/>
        <w:rPr>
          <w:rFonts w:hint="eastAsia"/>
          <w:color w:val="FF0000"/>
          <w:szCs w:val="18"/>
        </w:rPr>
      </w:pPr>
      <w:r>
        <w:rPr>
          <w:rFonts w:hint="eastAsia"/>
          <w:color w:val="FF0000"/>
          <w:szCs w:val="18"/>
        </w:rPr>
        <w:t xml:space="preserve">4) </w:t>
      </w:r>
      <w:r>
        <w:rPr>
          <w:rFonts w:hint="eastAsia"/>
          <w:color w:val="FF0000"/>
          <w:szCs w:val="18"/>
        </w:rPr>
        <w:t>文摘中尽量少用特殊字符；</w:t>
      </w:r>
    </w:p>
    <w:p w14:paraId="535E6AA3" w14:textId="77777777" w:rsidR="001A2177" w:rsidRDefault="001A2177">
      <w:pPr>
        <w:ind w:firstLineChars="200" w:firstLine="480"/>
        <w:rPr>
          <w:rFonts w:hint="eastAsia"/>
          <w:color w:val="FF0000"/>
          <w:szCs w:val="18"/>
        </w:rPr>
      </w:pPr>
      <w:r>
        <w:rPr>
          <w:rFonts w:hint="eastAsia"/>
          <w:color w:val="FF0000"/>
          <w:szCs w:val="18"/>
        </w:rPr>
        <w:t xml:space="preserve">5) </w:t>
      </w:r>
      <w:r>
        <w:rPr>
          <w:rFonts w:hint="eastAsia"/>
          <w:color w:val="FF0000"/>
          <w:szCs w:val="18"/>
        </w:rPr>
        <w:t>用重要的事实开头，尽可能避免用辅助从句开头，例如：</w:t>
      </w:r>
    </w:p>
    <w:p w14:paraId="682DE35A" w14:textId="77777777" w:rsidR="001A2177" w:rsidRDefault="001A2177">
      <w:pPr>
        <w:ind w:firstLineChars="200" w:firstLine="480"/>
        <w:rPr>
          <w:rFonts w:hint="eastAsia"/>
          <w:color w:val="FF0000"/>
          <w:szCs w:val="18"/>
        </w:rPr>
      </w:pPr>
      <w:r>
        <w:rPr>
          <w:rFonts w:hint="eastAsia"/>
          <w:color w:val="FF0000"/>
          <w:szCs w:val="18"/>
        </w:rPr>
        <w:t>用</w:t>
      </w:r>
      <w:r>
        <w:rPr>
          <w:rFonts w:hint="eastAsia"/>
          <w:color w:val="FF0000"/>
          <w:szCs w:val="18"/>
        </w:rPr>
        <w:t>Power consumption of telephone suitching systems was determined from data obtained experimentally.</w:t>
      </w:r>
    </w:p>
    <w:p w14:paraId="4377E25D" w14:textId="77777777" w:rsidR="001A2177" w:rsidRDefault="001A2177">
      <w:pPr>
        <w:ind w:firstLineChars="200" w:firstLine="480"/>
        <w:rPr>
          <w:rFonts w:hint="eastAsia"/>
          <w:color w:val="FF0000"/>
          <w:szCs w:val="18"/>
        </w:rPr>
      </w:pPr>
      <w:r>
        <w:rPr>
          <w:rFonts w:hint="eastAsia"/>
          <w:color w:val="FF0000"/>
          <w:szCs w:val="18"/>
        </w:rPr>
        <w:t xml:space="preserve">6) </w:t>
      </w:r>
      <w:r>
        <w:rPr>
          <w:rFonts w:hint="eastAsia"/>
          <w:color w:val="FF0000"/>
          <w:szCs w:val="18"/>
        </w:rPr>
        <w:t>避免使用动词的名词形式。例如：</w:t>
      </w:r>
    </w:p>
    <w:p w14:paraId="6933EE7D" w14:textId="77777777" w:rsidR="001A2177" w:rsidRDefault="001A2177">
      <w:pPr>
        <w:ind w:firstLineChars="200" w:firstLine="480"/>
        <w:rPr>
          <w:rFonts w:hint="eastAsia"/>
          <w:color w:val="FF0000"/>
          <w:szCs w:val="18"/>
        </w:rPr>
      </w:pPr>
      <w:r>
        <w:rPr>
          <w:rFonts w:hint="eastAsia"/>
          <w:color w:val="FF0000"/>
          <w:szCs w:val="18"/>
        </w:rPr>
        <w:t>正：“</w:t>
      </w:r>
      <w:r>
        <w:rPr>
          <w:rFonts w:hint="eastAsia"/>
          <w:color w:val="FF0000"/>
          <w:szCs w:val="18"/>
        </w:rPr>
        <w:t>Thickness of plastic sheet was measured</w:t>
      </w:r>
      <w:r>
        <w:rPr>
          <w:rFonts w:hint="eastAsia"/>
          <w:color w:val="FF0000"/>
          <w:szCs w:val="18"/>
        </w:rPr>
        <w:t>”；误：“</w:t>
      </w:r>
      <w:r>
        <w:rPr>
          <w:rFonts w:hint="eastAsia"/>
          <w:color w:val="FF0000"/>
          <w:szCs w:val="18"/>
        </w:rPr>
        <w:t>measurement of thickness of plastic sheet was made</w:t>
      </w:r>
      <w:r>
        <w:rPr>
          <w:rFonts w:hint="eastAsia"/>
          <w:color w:val="FF0000"/>
          <w:szCs w:val="18"/>
        </w:rPr>
        <w:t>”</w:t>
      </w:r>
    </w:p>
    <w:p w14:paraId="0851100C" w14:textId="77777777" w:rsidR="001A2177" w:rsidRDefault="001A2177">
      <w:pPr>
        <w:ind w:firstLineChars="200" w:firstLine="480"/>
        <w:rPr>
          <w:rFonts w:hint="eastAsia"/>
          <w:color w:val="FF0000"/>
          <w:szCs w:val="18"/>
        </w:rPr>
      </w:pPr>
      <w:r>
        <w:rPr>
          <w:rFonts w:hint="eastAsia"/>
          <w:color w:val="FF0000"/>
          <w:szCs w:val="18"/>
        </w:rPr>
        <w:t xml:space="preserve">7) </w:t>
      </w:r>
      <w:r>
        <w:rPr>
          <w:rFonts w:hint="eastAsia"/>
          <w:color w:val="FF0000"/>
          <w:szCs w:val="18"/>
        </w:rPr>
        <w:t>正确地使用冠词，既应避免多加冠词，也应避免蹩脚地省略冠词。例如：</w:t>
      </w:r>
    </w:p>
    <w:p w14:paraId="28E15FA6" w14:textId="77777777" w:rsidR="001A2177" w:rsidRDefault="001A2177">
      <w:pPr>
        <w:ind w:firstLineChars="200" w:firstLine="480"/>
        <w:rPr>
          <w:rFonts w:hint="eastAsia"/>
          <w:color w:val="FF0000"/>
          <w:szCs w:val="18"/>
        </w:rPr>
      </w:pPr>
      <w:r>
        <w:rPr>
          <w:rFonts w:hint="eastAsia"/>
          <w:color w:val="FF0000"/>
          <w:szCs w:val="18"/>
        </w:rPr>
        <w:t>正：“</w:t>
      </w:r>
      <w:r>
        <w:rPr>
          <w:rFonts w:hint="eastAsia"/>
          <w:color w:val="FF0000"/>
          <w:szCs w:val="18"/>
        </w:rPr>
        <w:t>Pressure is a function of the temperature</w:t>
      </w:r>
      <w:r>
        <w:rPr>
          <w:rFonts w:hint="eastAsia"/>
          <w:color w:val="FF0000"/>
          <w:szCs w:val="18"/>
        </w:rPr>
        <w:t>”；误：“</w:t>
      </w:r>
      <w:r>
        <w:rPr>
          <w:rFonts w:hint="eastAsia"/>
          <w:color w:val="FF0000"/>
          <w:szCs w:val="18"/>
        </w:rPr>
        <w:t>The pressure is a function of the temperature</w:t>
      </w:r>
      <w:r>
        <w:rPr>
          <w:rFonts w:hint="eastAsia"/>
          <w:color w:val="FF0000"/>
          <w:szCs w:val="18"/>
        </w:rPr>
        <w:t>”；</w:t>
      </w:r>
    </w:p>
    <w:p w14:paraId="691F1B20" w14:textId="77777777" w:rsidR="001A2177" w:rsidRDefault="001A2177">
      <w:pPr>
        <w:ind w:firstLineChars="200" w:firstLine="480"/>
        <w:rPr>
          <w:rFonts w:hint="eastAsia"/>
          <w:color w:val="FF0000"/>
          <w:szCs w:val="18"/>
        </w:rPr>
      </w:pPr>
      <w:r>
        <w:rPr>
          <w:rFonts w:hint="eastAsia"/>
          <w:color w:val="FF0000"/>
          <w:szCs w:val="18"/>
        </w:rPr>
        <w:t xml:space="preserve">8) </w:t>
      </w:r>
      <w:r>
        <w:rPr>
          <w:rFonts w:hint="eastAsia"/>
          <w:color w:val="FF0000"/>
          <w:szCs w:val="18"/>
        </w:rPr>
        <w:t>避免使用长的、连串的形容词、名词、或形容词加名词，来修饰名词。可使用介词短语，或用连字符连接名词词组中的名词，形成修饰单元。</w:t>
      </w:r>
    </w:p>
    <w:p w14:paraId="696080D3" w14:textId="77777777" w:rsidR="001A2177" w:rsidRDefault="001A2177">
      <w:pPr>
        <w:ind w:firstLineChars="200" w:firstLine="480"/>
        <w:rPr>
          <w:rFonts w:hint="eastAsia"/>
          <w:color w:val="FF0000"/>
          <w:szCs w:val="18"/>
        </w:rPr>
      </w:pPr>
      <w:r>
        <w:rPr>
          <w:rFonts w:hint="eastAsia"/>
          <w:color w:val="FF0000"/>
          <w:szCs w:val="18"/>
        </w:rPr>
        <w:t xml:space="preserve">9) </w:t>
      </w:r>
      <w:r>
        <w:rPr>
          <w:rFonts w:hint="eastAsia"/>
          <w:color w:val="FF0000"/>
          <w:szCs w:val="18"/>
        </w:rPr>
        <w:t>尽量用主动语态代替被动语态，如：</w:t>
      </w:r>
      <w:r>
        <w:rPr>
          <w:rFonts w:hint="eastAsia"/>
          <w:color w:val="FF0000"/>
          <w:szCs w:val="18"/>
        </w:rPr>
        <w:t>A exceeds B</w:t>
      </w:r>
      <w:r>
        <w:rPr>
          <w:rFonts w:hint="eastAsia"/>
          <w:color w:val="FF0000"/>
          <w:szCs w:val="18"/>
        </w:rPr>
        <w:t>比</w:t>
      </w:r>
      <w:r>
        <w:rPr>
          <w:rFonts w:hint="eastAsia"/>
          <w:color w:val="FF0000"/>
          <w:szCs w:val="18"/>
        </w:rPr>
        <w:t>B is exceeded by A</w:t>
      </w:r>
      <w:r>
        <w:rPr>
          <w:rFonts w:hint="eastAsia"/>
          <w:color w:val="FF0000"/>
          <w:szCs w:val="18"/>
        </w:rPr>
        <w:t>好。</w:t>
      </w:r>
    </w:p>
    <w:p w14:paraId="363B1591" w14:textId="77777777" w:rsidR="001A2177" w:rsidRDefault="001A2177">
      <w:pPr>
        <w:ind w:firstLineChars="200" w:firstLine="480"/>
        <w:rPr>
          <w:rFonts w:hint="eastAsia"/>
          <w:color w:val="FF0000"/>
          <w:szCs w:val="18"/>
        </w:rPr>
      </w:pPr>
      <w:r>
        <w:rPr>
          <w:rFonts w:hint="eastAsia"/>
          <w:color w:val="FF0000"/>
          <w:szCs w:val="18"/>
        </w:rPr>
        <w:lastRenderedPageBreak/>
        <w:t xml:space="preserve">10) </w:t>
      </w:r>
      <w:r>
        <w:rPr>
          <w:rFonts w:hint="eastAsia"/>
          <w:color w:val="FF0000"/>
          <w:szCs w:val="18"/>
        </w:rPr>
        <w:t>构成句子时，动词应靠近主语。</w:t>
      </w:r>
    </w:p>
    <w:p w14:paraId="13B71945" w14:textId="77777777" w:rsidR="001A2177" w:rsidRDefault="001A2177">
      <w:pPr>
        <w:ind w:firstLineChars="200" w:firstLine="480"/>
        <w:rPr>
          <w:color w:val="FF0000"/>
          <w:szCs w:val="18"/>
        </w:rPr>
      </w:pPr>
      <w:r>
        <w:rPr>
          <w:rFonts w:hint="eastAsia"/>
          <w:color w:val="FF0000"/>
          <w:szCs w:val="18"/>
        </w:rPr>
        <w:t>“</w:t>
      </w:r>
      <w:r>
        <w:rPr>
          <w:color w:val="FF0000"/>
          <w:szCs w:val="18"/>
        </w:rPr>
        <w:t>When the pigment was dissolved in dioxane, decolorization was irreversible, after 10 hr of UV irradiation.”</w:t>
      </w:r>
    </w:p>
    <w:p w14:paraId="72512B61" w14:textId="77777777" w:rsidR="001A2177" w:rsidRDefault="001A2177">
      <w:pPr>
        <w:ind w:firstLineChars="200" w:firstLine="480"/>
        <w:rPr>
          <w:rFonts w:hint="eastAsia"/>
          <w:color w:val="FF0000"/>
          <w:szCs w:val="18"/>
        </w:rPr>
      </w:pPr>
      <w:r>
        <w:rPr>
          <w:rFonts w:hint="eastAsia"/>
          <w:color w:val="FF0000"/>
          <w:szCs w:val="18"/>
        </w:rPr>
        <w:t xml:space="preserve">11) </w:t>
      </w:r>
      <w:r>
        <w:rPr>
          <w:rFonts w:hint="eastAsia"/>
          <w:color w:val="FF0000"/>
          <w:szCs w:val="18"/>
        </w:rPr>
        <w:t>能用名词做定语不要用动名词做定语，例如：</w:t>
      </w:r>
    </w:p>
    <w:p w14:paraId="2EFA14BC" w14:textId="77777777" w:rsidR="001A2177" w:rsidRDefault="001A2177">
      <w:pPr>
        <w:ind w:firstLineChars="200" w:firstLine="480"/>
        <w:rPr>
          <w:rFonts w:hint="eastAsia"/>
          <w:color w:val="FF0000"/>
          <w:szCs w:val="18"/>
        </w:rPr>
      </w:pPr>
      <w:r>
        <w:rPr>
          <w:rFonts w:hint="eastAsia"/>
          <w:color w:val="FF0000"/>
          <w:szCs w:val="18"/>
        </w:rPr>
        <w:t>用</w:t>
      </w:r>
      <w:r>
        <w:rPr>
          <w:rFonts w:hint="eastAsia"/>
          <w:color w:val="FF0000"/>
          <w:szCs w:val="18"/>
        </w:rPr>
        <w:t>measurement accuracy</w:t>
      </w:r>
      <w:r>
        <w:rPr>
          <w:rFonts w:hint="eastAsia"/>
          <w:color w:val="FF0000"/>
          <w:szCs w:val="18"/>
        </w:rPr>
        <w:t>，不用</w:t>
      </w:r>
      <w:r>
        <w:rPr>
          <w:rFonts w:hint="eastAsia"/>
          <w:color w:val="FF0000"/>
          <w:szCs w:val="18"/>
        </w:rPr>
        <w:t>measuring accuracy</w:t>
      </w:r>
    </w:p>
    <w:p w14:paraId="4AFA4ABC" w14:textId="77777777" w:rsidR="001A2177" w:rsidRDefault="001A2177">
      <w:pPr>
        <w:ind w:firstLineChars="200" w:firstLine="480"/>
        <w:rPr>
          <w:rFonts w:hint="eastAsia"/>
          <w:color w:val="FF0000"/>
          <w:szCs w:val="18"/>
        </w:rPr>
      </w:pPr>
      <w:r>
        <w:rPr>
          <w:rFonts w:hint="eastAsia"/>
          <w:color w:val="FF0000"/>
          <w:szCs w:val="18"/>
        </w:rPr>
        <w:t xml:space="preserve">12) </w:t>
      </w:r>
      <w:r>
        <w:rPr>
          <w:rFonts w:hint="eastAsia"/>
          <w:color w:val="FF0000"/>
          <w:szCs w:val="18"/>
        </w:rPr>
        <w:t>可直接用名词或名词短语做定语的情况下，要少用</w:t>
      </w:r>
      <w:r>
        <w:rPr>
          <w:rFonts w:hint="eastAsia"/>
          <w:color w:val="FF0000"/>
          <w:szCs w:val="18"/>
        </w:rPr>
        <w:t>of</w:t>
      </w:r>
      <w:r>
        <w:rPr>
          <w:rFonts w:hint="eastAsia"/>
          <w:color w:val="FF0000"/>
          <w:szCs w:val="18"/>
        </w:rPr>
        <w:t>句型，例如：</w:t>
      </w:r>
    </w:p>
    <w:p w14:paraId="7F11F159" w14:textId="77777777" w:rsidR="001A2177" w:rsidRDefault="001A2177">
      <w:pPr>
        <w:ind w:firstLineChars="200" w:firstLine="480"/>
        <w:rPr>
          <w:rFonts w:hint="eastAsia"/>
          <w:color w:val="FF0000"/>
          <w:szCs w:val="18"/>
        </w:rPr>
      </w:pPr>
      <w:r>
        <w:rPr>
          <w:rFonts w:hint="eastAsia"/>
          <w:color w:val="FF0000"/>
          <w:szCs w:val="18"/>
        </w:rPr>
        <w:t>用</w:t>
      </w:r>
      <w:r>
        <w:rPr>
          <w:rFonts w:hint="eastAsia"/>
          <w:color w:val="FF0000"/>
          <w:szCs w:val="18"/>
        </w:rPr>
        <w:t>measurement accur</w:t>
      </w:r>
      <w:r>
        <w:rPr>
          <w:rFonts w:hint="eastAsia"/>
          <w:color w:val="FF0000"/>
          <w:szCs w:val="18"/>
        </w:rPr>
        <w:t>不用</w:t>
      </w:r>
      <w:r>
        <w:rPr>
          <w:rFonts w:hint="eastAsia"/>
          <w:color w:val="FF0000"/>
          <w:szCs w:val="18"/>
        </w:rPr>
        <w:t>accuracy of measurement</w:t>
      </w:r>
    </w:p>
    <w:p w14:paraId="6E64E87A" w14:textId="77777777" w:rsidR="001A2177" w:rsidRDefault="001A2177">
      <w:pPr>
        <w:ind w:firstLineChars="200" w:firstLine="480"/>
        <w:rPr>
          <w:rFonts w:hint="eastAsia"/>
          <w:color w:val="FF0000"/>
          <w:szCs w:val="18"/>
        </w:rPr>
      </w:pPr>
      <w:r>
        <w:rPr>
          <w:rFonts w:hint="eastAsia"/>
          <w:color w:val="FF0000"/>
          <w:szCs w:val="18"/>
        </w:rPr>
        <w:t xml:space="preserve">13) </w:t>
      </w:r>
      <w:r>
        <w:rPr>
          <w:rFonts w:hint="eastAsia"/>
          <w:color w:val="FF0000"/>
          <w:szCs w:val="18"/>
        </w:rPr>
        <w:t>可用动词的情况尽量避免用动词的名词形式，例如：</w:t>
      </w:r>
    </w:p>
    <w:p w14:paraId="303787FB" w14:textId="77777777" w:rsidR="001A2177" w:rsidRDefault="001A2177">
      <w:pPr>
        <w:ind w:firstLineChars="200" w:firstLine="480"/>
        <w:rPr>
          <w:rFonts w:hint="eastAsia"/>
          <w:color w:val="FF0000"/>
          <w:szCs w:val="18"/>
        </w:rPr>
      </w:pPr>
      <w:r>
        <w:rPr>
          <w:rFonts w:hint="eastAsia"/>
          <w:color w:val="FF0000"/>
          <w:szCs w:val="18"/>
        </w:rPr>
        <w:t>用</w:t>
      </w:r>
      <w:r>
        <w:rPr>
          <w:rFonts w:hint="eastAsia"/>
          <w:color w:val="FF0000"/>
          <w:szCs w:val="18"/>
        </w:rPr>
        <w:t>Thickness of plastic sheet was measured.</w:t>
      </w:r>
      <w:r>
        <w:rPr>
          <w:rFonts w:hint="eastAsia"/>
          <w:color w:val="FF0000"/>
          <w:szCs w:val="18"/>
        </w:rPr>
        <w:t>；不用</w:t>
      </w:r>
      <w:r>
        <w:rPr>
          <w:rFonts w:hint="eastAsia"/>
          <w:color w:val="FF0000"/>
          <w:szCs w:val="18"/>
        </w:rPr>
        <w:t>Measurement of thickness of plastic sheet was made.</w:t>
      </w:r>
      <w:r>
        <w:rPr>
          <w:rFonts w:hint="eastAsia"/>
          <w:color w:val="FF0000"/>
          <w:szCs w:val="18"/>
        </w:rPr>
        <w:t>】</w:t>
      </w:r>
    </w:p>
    <w:p w14:paraId="5D68852B" w14:textId="77777777" w:rsidR="001A2177" w:rsidRDefault="001A2177">
      <w:pPr>
        <w:ind w:firstLineChars="200" w:firstLine="480"/>
        <w:rPr>
          <w:color w:val="FF0000"/>
          <w:szCs w:val="18"/>
        </w:rPr>
      </w:pPr>
    </w:p>
    <w:sectPr w:rsidR="00000000">
      <w:type w:val="continuous"/>
      <w:pgSz w:w="11906" w:h="16838"/>
      <w:pgMar w:top="1134" w:right="1134" w:bottom="851"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AED93" w14:textId="77777777" w:rsidR="001A2177" w:rsidRDefault="001A2177">
      <w:pPr>
        <w:spacing w:line="240" w:lineRule="auto"/>
        <w:ind w:firstLine="470"/>
        <w:rPr>
          <w:rFonts w:hint="eastAsia"/>
        </w:rPr>
      </w:pPr>
      <w:r>
        <w:separator/>
      </w:r>
    </w:p>
  </w:endnote>
  <w:endnote w:type="continuationSeparator" w:id="0">
    <w:p w14:paraId="41A1878B" w14:textId="77777777" w:rsidR="001A2177" w:rsidRDefault="001A2177">
      <w:pPr>
        <w:spacing w:line="240" w:lineRule="auto"/>
        <w:ind w:firstLine="47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53F24" w14:textId="77777777" w:rsidR="001A2177" w:rsidRDefault="001A2177">
    <w:pPr>
      <w:pStyle w:val="a9"/>
      <w:ind w:firstLine="47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49D35" w14:textId="77777777" w:rsidR="001A2177" w:rsidRDefault="001A2177">
    <w:pPr>
      <w:pStyle w:val="a9"/>
      <w:ind w:firstLine="47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B885D" w14:textId="77777777" w:rsidR="001A2177" w:rsidRDefault="001A2177">
    <w:pPr>
      <w:pStyle w:val="a9"/>
      <w:ind w:firstLine="47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3B6A1" w14:textId="77777777" w:rsidR="001A2177" w:rsidRDefault="001A2177">
      <w:pPr>
        <w:spacing w:line="240" w:lineRule="auto"/>
        <w:ind w:firstLine="470"/>
        <w:rPr>
          <w:rFonts w:hint="eastAsia"/>
        </w:rPr>
      </w:pPr>
      <w:r>
        <w:separator/>
      </w:r>
    </w:p>
  </w:footnote>
  <w:footnote w:type="continuationSeparator" w:id="0">
    <w:p w14:paraId="0D3510AC" w14:textId="77777777" w:rsidR="001A2177" w:rsidRDefault="001A2177">
      <w:pPr>
        <w:spacing w:line="240" w:lineRule="auto"/>
        <w:ind w:firstLine="47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72711" w14:textId="77777777" w:rsidR="001A2177" w:rsidRDefault="001A2177">
    <w:pPr>
      <w:pStyle w:val="aa"/>
      <w:ind w:firstLine="294"/>
      <w:rPr>
        <w:rFonts w:hint="eastAsia"/>
        <w:sz w:val="15"/>
      </w:rPr>
    </w:pPr>
  </w:p>
  <w:p w14:paraId="79D2A8FD" w14:textId="77777777" w:rsidR="001A2177" w:rsidRDefault="001A2177">
    <w:pPr>
      <w:pStyle w:val="aa"/>
      <w:ind w:firstLineChars="100" w:firstLine="150"/>
      <w:jc w:val="both"/>
      <w:rPr>
        <w:rFonts w:hint="eastAsia"/>
      </w:rPr>
    </w:pPr>
    <w:r>
      <w:rPr>
        <w:rStyle w:val="af3"/>
        <w:sz w:val="15"/>
      </w:rPr>
      <w:fldChar w:fldCharType="begin"/>
    </w:r>
    <w:r>
      <w:rPr>
        <w:rStyle w:val="af3"/>
        <w:sz w:val="15"/>
      </w:rPr>
      <w:instrText xml:space="preserve"> PAGE </w:instrText>
    </w:r>
    <w:r>
      <w:rPr>
        <w:rStyle w:val="af3"/>
        <w:sz w:val="15"/>
      </w:rPr>
      <w:fldChar w:fldCharType="separate"/>
    </w:r>
    <w:r>
      <w:rPr>
        <w:rStyle w:val="af3"/>
        <w:sz w:val="15"/>
        <w:lang w:val="en-US" w:eastAsia="zh-CN"/>
      </w:rPr>
      <w:t>2</w:t>
    </w:r>
    <w:r>
      <w:rPr>
        <w:rStyle w:val="af3"/>
        <w:sz w:val="15"/>
      </w:rPr>
      <w:fldChar w:fldCharType="end"/>
    </w:r>
    <w:r>
      <w:rPr>
        <w:rFonts w:hint="eastAsia"/>
        <w:sz w:val="15"/>
      </w:rPr>
      <w:t xml:space="preserve">                                                    </w:t>
    </w:r>
    <w:r>
      <w:rPr>
        <w:rFonts w:hint="eastAsia"/>
        <w:sz w:val="15"/>
      </w:rPr>
      <w:t>济南大学学报</w:t>
    </w:r>
    <w:r>
      <w:rPr>
        <w:rFonts w:hint="eastAsia"/>
        <w:sz w:val="15"/>
      </w:rPr>
      <w:t>(</w:t>
    </w:r>
    <w:r>
      <w:rPr>
        <w:rFonts w:hint="eastAsia"/>
        <w:sz w:val="15"/>
      </w:rPr>
      <w:t>自然科学版</w:t>
    </w:r>
    <w:r>
      <w:rPr>
        <w:rFonts w:hint="eastAsia"/>
        <w:sz w:val="15"/>
      </w:rPr>
      <w:t xml:space="preserve">)                                      </w:t>
    </w:r>
    <w:r>
      <w:rPr>
        <w:rFonts w:hint="eastAsia"/>
        <w:sz w:val="15"/>
      </w:rPr>
      <w:t>第</w:t>
    </w:r>
    <w:r>
      <w:rPr>
        <w:rFonts w:hint="eastAsia"/>
        <w:sz w:val="15"/>
      </w:rPr>
      <w:t>22</w:t>
    </w:r>
    <w:r>
      <w:rPr>
        <w:rFonts w:hint="eastAsia"/>
        <w:sz w:val="15"/>
      </w:rPr>
      <w:t>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B99FA" w14:textId="77777777" w:rsidR="001A2177" w:rsidRDefault="001A2177">
    <w:pPr>
      <w:pStyle w:val="aa"/>
      <w:ind w:firstLine="47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75486" w14:textId="77777777" w:rsidR="001A2177" w:rsidRDefault="001A2177">
    <w:pPr>
      <w:pStyle w:val="aa"/>
      <w:ind w:firstLine="47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90"/>
  <w:drawingGridVerticalSpacing w:val="156"/>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76E7"/>
    <w:rsid w:val="0000032C"/>
    <w:rsid w:val="0000237B"/>
    <w:rsid w:val="000103F3"/>
    <w:rsid w:val="00015AEE"/>
    <w:rsid w:val="00020DAC"/>
    <w:rsid w:val="00023856"/>
    <w:rsid w:val="00026F36"/>
    <w:rsid w:val="00053FCA"/>
    <w:rsid w:val="000550FE"/>
    <w:rsid w:val="00057719"/>
    <w:rsid w:val="00063A54"/>
    <w:rsid w:val="000707BB"/>
    <w:rsid w:val="00085A8C"/>
    <w:rsid w:val="00091951"/>
    <w:rsid w:val="000A7E87"/>
    <w:rsid w:val="000B3996"/>
    <w:rsid w:val="000B4E97"/>
    <w:rsid w:val="000C0997"/>
    <w:rsid w:val="000D09DB"/>
    <w:rsid w:val="000E5A15"/>
    <w:rsid w:val="001203FD"/>
    <w:rsid w:val="00120CCF"/>
    <w:rsid w:val="001214EF"/>
    <w:rsid w:val="00122A59"/>
    <w:rsid w:val="001249E7"/>
    <w:rsid w:val="001402A4"/>
    <w:rsid w:val="00146C81"/>
    <w:rsid w:val="00151F46"/>
    <w:rsid w:val="001648E6"/>
    <w:rsid w:val="00171BC6"/>
    <w:rsid w:val="001729DB"/>
    <w:rsid w:val="001769C7"/>
    <w:rsid w:val="001808E8"/>
    <w:rsid w:val="001932BC"/>
    <w:rsid w:val="0019681B"/>
    <w:rsid w:val="001A2177"/>
    <w:rsid w:val="001A5135"/>
    <w:rsid w:val="001A559E"/>
    <w:rsid w:val="001A7663"/>
    <w:rsid w:val="001D3B1F"/>
    <w:rsid w:val="001D7C12"/>
    <w:rsid w:val="001F2657"/>
    <w:rsid w:val="001F68AF"/>
    <w:rsid w:val="00203065"/>
    <w:rsid w:val="0020425E"/>
    <w:rsid w:val="00205ED6"/>
    <w:rsid w:val="00210344"/>
    <w:rsid w:val="00222F6C"/>
    <w:rsid w:val="00225E0B"/>
    <w:rsid w:val="00226629"/>
    <w:rsid w:val="002309D4"/>
    <w:rsid w:val="00243469"/>
    <w:rsid w:val="00246AA4"/>
    <w:rsid w:val="002529E4"/>
    <w:rsid w:val="002636A2"/>
    <w:rsid w:val="002706F3"/>
    <w:rsid w:val="002735B9"/>
    <w:rsid w:val="00280C78"/>
    <w:rsid w:val="002829CE"/>
    <w:rsid w:val="00296F01"/>
    <w:rsid w:val="002A3C04"/>
    <w:rsid w:val="002A5672"/>
    <w:rsid w:val="002A66EA"/>
    <w:rsid w:val="002B0CA9"/>
    <w:rsid w:val="002C5A9D"/>
    <w:rsid w:val="002C7063"/>
    <w:rsid w:val="002D0C1D"/>
    <w:rsid w:val="002D253A"/>
    <w:rsid w:val="002D4013"/>
    <w:rsid w:val="002D7F9E"/>
    <w:rsid w:val="002E32C4"/>
    <w:rsid w:val="002F03B7"/>
    <w:rsid w:val="002F779F"/>
    <w:rsid w:val="002F7E39"/>
    <w:rsid w:val="003178F0"/>
    <w:rsid w:val="00324448"/>
    <w:rsid w:val="00334CBB"/>
    <w:rsid w:val="003407FC"/>
    <w:rsid w:val="00344C9D"/>
    <w:rsid w:val="00367A67"/>
    <w:rsid w:val="00383E6B"/>
    <w:rsid w:val="003955BC"/>
    <w:rsid w:val="003A7698"/>
    <w:rsid w:val="003B5F03"/>
    <w:rsid w:val="003B7EA5"/>
    <w:rsid w:val="003C0139"/>
    <w:rsid w:val="003C7D07"/>
    <w:rsid w:val="003E4445"/>
    <w:rsid w:val="003E4DC5"/>
    <w:rsid w:val="003F6D8E"/>
    <w:rsid w:val="00411AE4"/>
    <w:rsid w:val="00417575"/>
    <w:rsid w:val="004227FF"/>
    <w:rsid w:val="00423E43"/>
    <w:rsid w:val="004372F4"/>
    <w:rsid w:val="00440574"/>
    <w:rsid w:val="004434BD"/>
    <w:rsid w:val="00447652"/>
    <w:rsid w:val="00451508"/>
    <w:rsid w:val="00462A30"/>
    <w:rsid w:val="004647EA"/>
    <w:rsid w:val="00467AA5"/>
    <w:rsid w:val="00477A6D"/>
    <w:rsid w:val="00482413"/>
    <w:rsid w:val="00487D8E"/>
    <w:rsid w:val="00490953"/>
    <w:rsid w:val="004A4535"/>
    <w:rsid w:val="004E32B1"/>
    <w:rsid w:val="004E50CF"/>
    <w:rsid w:val="004E70CF"/>
    <w:rsid w:val="004F76C4"/>
    <w:rsid w:val="00505760"/>
    <w:rsid w:val="00512A7F"/>
    <w:rsid w:val="00520778"/>
    <w:rsid w:val="00522E5A"/>
    <w:rsid w:val="00546689"/>
    <w:rsid w:val="00550116"/>
    <w:rsid w:val="005501CC"/>
    <w:rsid w:val="005601EE"/>
    <w:rsid w:val="005620DA"/>
    <w:rsid w:val="00564F02"/>
    <w:rsid w:val="005A1A2A"/>
    <w:rsid w:val="005A29EC"/>
    <w:rsid w:val="005B011E"/>
    <w:rsid w:val="005B1866"/>
    <w:rsid w:val="005B7127"/>
    <w:rsid w:val="005C71C7"/>
    <w:rsid w:val="005C7359"/>
    <w:rsid w:val="005D76E7"/>
    <w:rsid w:val="005E1D28"/>
    <w:rsid w:val="005E1FE5"/>
    <w:rsid w:val="005E5203"/>
    <w:rsid w:val="005E701F"/>
    <w:rsid w:val="005F1D75"/>
    <w:rsid w:val="006164C5"/>
    <w:rsid w:val="0062038A"/>
    <w:rsid w:val="00620412"/>
    <w:rsid w:val="00620668"/>
    <w:rsid w:val="0062468B"/>
    <w:rsid w:val="00634305"/>
    <w:rsid w:val="0063673F"/>
    <w:rsid w:val="006438FF"/>
    <w:rsid w:val="00645113"/>
    <w:rsid w:val="00646012"/>
    <w:rsid w:val="006520BE"/>
    <w:rsid w:val="00656D37"/>
    <w:rsid w:val="0065745D"/>
    <w:rsid w:val="00673576"/>
    <w:rsid w:val="006863C0"/>
    <w:rsid w:val="006D0B92"/>
    <w:rsid w:val="006D34EC"/>
    <w:rsid w:val="006E3967"/>
    <w:rsid w:val="006E707E"/>
    <w:rsid w:val="006F0E20"/>
    <w:rsid w:val="006F1854"/>
    <w:rsid w:val="006F641C"/>
    <w:rsid w:val="006F64E3"/>
    <w:rsid w:val="006F7165"/>
    <w:rsid w:val="00700225"/>
    <w:rsid w:val="00703510"/>
    <w:rsid w:val="00707330"/>
    <w:rsid w:val="00711950"/>
    <w:rsid w:val="00713CEF"/>
    <w:rsid w:val="0073554F"/>
    <w:rsid w:val="0073717C"/>
    <w:rsid w:val="007455C6"/>
    <w:rsid w:val="00762661"/>
    <w:rsid w:val="00763001"/>
    <w:rsid w:val="00766DC1"/>
    <w:rsid w:val="00767F3B"/>
    <w:rsid w:val="00777B78"/>
    <w:rsid w:val="0078002B"/>
    <w:rsid w:val="00780297"/>
    <w:rsid w:val="00780D6A"/>
    <w:rsid w:val="00790784"/>
    <w:rsid w:val="007934E7"/>
    <w:rsid w:val="007A041A"/>
    <w:rsid w:val="007A2183"/>
    <w:rsid w:val="007B3205"/>
    <w:rsid w:val="007B5E7C"/>
    <w:rsid w:val="007B78B6"/>
    <w:rsid w:val="007C1D1A"/>
    <w:rsid w:val="007C1E25"/>
    <w:rsid w:val="007D2371"/>
    <w:rsid w:val="008019F9"/>
    <w:rsid w:val="00801FEA"/>
    <w:rsid w:val="00802EC9"/>
    <w:rsid w:val="00807F35"/>
    <w:rsid w:val="00827E82"/>
    <w:rsid w:val="008376A7"/>
    <w:rsid w:val="00857414"/>
    <w:rsid w:val="0086782C"/>
    <w:rsid w:val="00871470"/>
    <w:rsid w:val="00872D69"/>
    <w:rsid w:val="008863C8"/>
    <w:rsid w:val="008A122F"/>
    <w:rsid w:val="008A7A5E"/>
    <w:rsid w:val="008A7B0A"/>
    <w:rsid w:val="008C499E"/>
    <w:rsid w:val="008C5249"/>
    <w:rsid w:val="008D371F"/>
    <w:rsid w:val="008E67B7"/>
    <w:rsid w:val="008E7F02"/>
    <w:rsid w:val="00903060"/>
    <w:rsid w:val="00903556"/>
    <w:rsid w:val="0090449F"/>
    <w:rsid w:val="00912E28"/>
    <w:rsid w:val="00913558"/>
    <w:rsid w:val="00922721"/>
    <w:rsid w:val="009238DA"/>
    <w:rsid w:val="009275D3"/>
    <w:rsid w:val="00945B70"/>
    <w:rsid w:val="009468CC"/>
    <w:rsid w:val="00947AC7"/>
    <w:rsid w:val="00950502"/>
    <w:rsid w:val="00954D3C"/>
    <w:rsid w:val="0095574D"/>
    <w:rsid w:val="00982F23"/>
    <w:rsid w:val="00984DD9"/>
    <w:rsid w:val="00986484"/>
    <w:rsid w:val="0099062F"/>
    <w:rsid w:val="009A660E"/>
    <w:rsid w:val="009A70A9"/>
    <w:rsid w:val="009B13C6"/>
    <w:rsid w:val="009B4A50"/>
    <w:rsid w:val="009B4FDE"/>
    <w:rsid w:val="009C46D9"/>
    <w:rsid w:val="009D2EEA"/>
    <w:rsid w:val="009D6F0A"/>
    <w:rsid w:val="009F4A0B"/>
    <w:rsid w:val="00A03061"/>
    <w:rsid w:val="00A16A56"/>
    <w:rsid w:val="00A202EC"/>
    <w:rsid w:val="00A30011"/>
    <w:rsid w:val="00A310FB"/>
    <w:rsid w:val="00A44F40"/>
    <w:rsid w:val="00A45A5A"/>
    <w:rsid w:val="00A51A73"/>
    <w:rsid w:val="00A56706"/>
    <w:rsid w:val="00A56C0B"/>
    <w:rsid w:val="00A659C2"/>
    <w:rsid w:val="00A6653F"/>
    <w:rsid w:val="00A73476"/>
    <w:rsid w:val="00A80648"/>
    <w:rsid w:val="00A87DF6"/>
    <w:rsid w:val="00A9194D"/>
    <w:rsid w:val="00A9372F"/>
    <w:rsid w:val="00A93AF2"/>
    <w:rsid w:val="00A97971"/>
    <w:rsid w:val="00AA03BE"/>
    <w:rsid w:val="00AA05BC"/>
    <w:rsid w:val="00AA1C73"/>
    <w:rsid w:val="00AB3909"/>
    <w:rsid w:val="00AC6C8C"/>
    <w:rsid w:val="00AD0F8D"/>
    <w:rsid w:val="00AE0890"/>
    <w:rsid w:val="00AE513F"/>
    <w:rsid w:val="00AE6AC5"/>
    <w:rsid w:val="00AF2CCD"/>
    <w:rsid w:val="00B0098D"/>
    <w:rsid w:val="00B033DF"/>
    <w:rsid w:val="00B0393B"/>
    <w:rsid w:val="00B04F35"/>
    <w:rsid w:val="00B22205"/>
    <w:rsid w:val="00B41B8E"/>
    <w:rsid w:val="00B54525"/>
    <w:rsid w:val="00B57473"/>
    <w:rsid w:val="00B76A57"/>
    <w:rsid w:val="00B84CA5"/>
    <w:rsid w:val="00B92EF7"/>
    <w:rsid w:val="00BA3CDC"/>
    <w:rsid w:val="00BA46AF"/>
    <w:rsid w:val="00BC6DE2"/>
    <w:rsid w:val="00BE2564"/>
    <w:rsid w:val="00BF0187"/>
    <w:rsid w:val="00BF3AAF"/>
    <w:rsid w:val="00BF6FF4"/>
    <w:rsid w:val="00C072F6"/>
    <w:rsid w:val="00C12023"/>
    <w:rsid w:val="00C12A7F"/>
    <w:rsid w:val="00C203BA"/>
    <w:rsid w:val="00C25D4F"/>
    <w:rsid w:val="00C32E3A"/>
    <w:rsid w:val="00C354CF"/>
    <w:rsid w:val="00C421E5"/>
    <w:rsid w:val="00C4652C"/>
    <w:rsid w:val="00C577D6"/>
    <w:rsid w:val="00C631A8"/>
    <w:rsid w:val="00C65B7D"/>
    <w:rsid w:val="00C81576"/>
    <w:rsid w:val="00C8343F"/>
    <w:rsid w:val="00C959F5"/>
    <w:rsid w:val="00CC11C9"/>
    <w:rsid w:val="00CC2FC2"/>
    <w:rsid w:val="00CC3008"/>
    <w:rsid w:val="00CC5788"/>
    <w:rsid w:val="00CC7445"/>
    <w:rsid w:val="00CD064F"/>
    <w:rsid w:val="00CD7BB2"/>
    <w:rsid w:val="00CE09FE"/>
    <w:rsid w:val="00CE4739"/>
    <w:rsid w:val="00CF6EB9"/>
    <w:rsid w:val="00CF6FFC"/>
    <w:rsid w:val="00CF79EA"/>
    <w:rsid w:val="00D127FE"/>
    <w:rsid w:val="00D14B5E"/>
    <w:rsid w:val="00D201CE"/>
    <w:rsid w:val="00D32803"/>
    <w:rsid w:val="00D341B3"/>
    <w:rsid w:val="00D40636"/>
    <w:rsid w:val="00D557C9"/>
    <w:rsid w:val="00D62CA6"/>
    <w:rsid w:val="00D64FEE"/>
    <w:rsid w:val="00D90784"/>
    <w:rsid w:val="00D91A02"/>
    <w:rsid w:val="00D96730"/>
    <w:rsid w:val="00DA11B4"/>
    <w:rsid w:val="00DC0ECB"/>
    <w:rsid w:val="00DC1F21"/>
    <w:rsid w:val="00DD011B"/>
    <w:rsid w:val="00DE4965"/>
    <w:rsid w:val="00E00745"/>
    <w:rsid w:val="00E04F5C"/>
    <w:rsid w:val="00E14425"/>
    <w:rsid w:val="00E4016B"/>
    <w:rsid w:val="00E45C43"/>
    <w:rsid w:val="00E522C9"/>
    <w:rsid w:val="00E54449"/>
    <w:rsid w:val="00E722B1"/>
    <w:rsid w:val="00E7685F"/>
    <w:rsid w:val="00E8093C"/>
    <w:rsid w:val="00E91941"/>
    <w:rsid w:val="00E97C28"/>
    <w:rsid w:val="00EA3474"/>
    <w:rsid w:val="00EB3BEF"/>
    <w:rsid w:val="00EC0AC9"/>
    <w:rsid w:val="00EC3711"/>
    <w:rsid w:val="00ED07A2"/>
    <w:rsid w:val="00ED304F"/>
    <w:rsid w:val="00ED5FDD"/>
    <w:rsid w:val="00EF771A"/>
    <w:rsid w:val="00F0483B"/>
    <w:rsid w:val="00F05335"/>
    <w:rsid w:val="00F100A9"/>
    <w:rsid w:val="00F272A8"/>
    <w:rsid w:val="00F37E3D"/>
    <w:rsid w:val="00F433B6"/>
    <w:rsid w:val="00F43C6F"/>
    <w:rsid w:val="00F46A17"/>
    <w:rsid w:val="00F519CF"/>
    <w:rsid w:val="00F71F4A"/>
    <w:rsid w:val="00F80A4C"/>
    <w:rsid w:val="00F80C92"/>
    <w:rsid w:val="00F82286"/>
    <w:rsid w:val="00F879A9"/>
    <w:rsid w:val="00FA3ABC"/>
    <w:rsid w:val="00FA48EC"/>
    <w:rsid w:val="00FB20E4"/>
    <w:rsid w:val="00FB63F3"/>
    <w:rsid w:val="00FC3E23"/>
    <w:rsid w:val="00FD6C59"/>
    <w:rsid w:val="00FF08E0"/>
    <w:rsid w:val="00FF3B81"/>
    <w:rsid w:val="00FF583A"/>
    <w:rsid w:val="012959D4"/>
    <w:rsid w:val="0A273F40"/>
    <w:rsid w:val="0A9A129A"/>
    <w:rsid w:val="3BB13F7E"/>
    <w:rsid w:val="4AE577E6"/>
    <w:rsid w:val="4CF91D8D"/>
    <w:rsid w:val="537242F7"/>
    <w:rsid w:val="787875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1E63D65"/>
  <w15:chartTrackingRefBased/>
  <w15:docId w15:val="{F28B201F-1F74-4D58-851F-C4E6F2DB1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annotation text" w:semiHidden="1"/>
    <w:lsdException w:name="caption" w:semiHidden="1" w:unhideWhenUsed="1" w:qFormat="1"/>
    <w:lsdException w:name="footnote reference" w:semiHidden="1"/>
    <w:lsdException w:name="annotation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196" w:firstLine="412"/>
      <w:jc w:val="both"/>
    </w:pPr>
    <w:rPr>
      <w:rFonts w:ascii="宋体" w:hAnsi="宋体"/>
      <w:color w:val="000000"/>
      <w:kern w:val="2"/>
      <w:sz w:val="24"/>
      <w:szCs w:val="21"/>
    </w:rPr>
  </w:style>
  <w:style w:type="paragraph" w:styleId="1">
    <w:name w:val="heading 1"/>
    <w:basedOn w:val="a"/>
    <w:next w:val="a"/>
    <w:link w:val="10"/>
    <w:qFormat/>
    <w:pPr>
      <w:jc w:val="center"/>
      <w:outlineLvl w:val="0"/>
    </w:pPr>
    <w:rPr>
      <w:b/>
      <w:sz w:val="44"/>
      <w:szCs w:val="44"/>
    </w:rPr>
  </w:style>
  <w:style w:type="paragraph" w:styleId="2">
    <w:name w:val="heading 2"/>
    <w:basedOn w:val="a"/>
    <w:next w:val="a0"/>
    <w:qFormat/>
    <w:pPr>
      <w:outlineLvl w:val="1"/>
    </w:pPr>
    <w:rPr>
      <w:b/>
      <w:sz w:val="28"/>
      <w:szCs w:val="28"/>
    </w:rPr>
  </w:style>
  <w:style w:type="paragraph" w:styleId="3">
    <w:name w:val="heading 3"/>
    <w:basedOn w:val="a"/>
    <w:next w:val="a0"/>
    <w:qFormat/>
    <w:pPr>
      <w:outlineLvl w:val="2"/>
    </w:pPr>
    <w:rPr>
      <w:b/>
    </w:rPr>
  </w:style>
  <w:style w:type="character" w:default="1" w:styleId="a1">
    <w:name w:val="Default Paragraph Font"/>
    <w:semiHidden/>
  </w:style>
  <w:style w:type="table" w:default="1" w:styleId="a2">
    <w:name w:val="Normal Table"/>
    <w:semiHidden/>
    <w:tblPr>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link w:val="1"/>
    <w:rPr>
      <w:rFonts w:ascii="宋体" w:hAnsi="宋体"/>
      <w:b/>
      <w:color w:val="000000"/>
      <w:kern w:val="2"/>
      <w:sz w:val="44"/>
      <w:szCs w:val="44"/>
      <w:lang w:val="en-US" w:eastAsia="zh-CN" w:bidi="ar-SA"/>
    </w:rPr>
  </w:style>
  <w:style w:type="paragraph" w:styleId="a0">
    <w:name w:val="Normal Indent"/>
    <w:basedOn w:val="a"/>
    <w:pPr>
      <w:ind w:firstLine="420"/>
    </w:pPr>
    <w:rPr>
      <w:sz w:val="21"/>
      <w:szCs w:val="20"/>
    </w:rPr>
  </w:style>
  <w:style w:type="paragraph" w:styleId="a4">
    <w:name w:val="Document Map"/>
    <w:basedOn w:val="a"/>
    <w:link w:val="a5"/>
    <w:rPr>
      <w:szCs w:val="18"/>
    </w:rPr>
  </w:style>
  <w:style w:type="character" w:customStyle="1" w:styleId="a5">
    <w:name w:val="文档结构图 字符"/>
    <w:link w:val="a4"/>
    <w:rPr>
      <w:rFonts w:ascii="宋体"/>
      <w:kern w:val="2"/>
      <w:sz w:val="18"/>
      <w:szCs w:val="18"/>
    </w:rPr>
  </w:style>
  <w:style w:type="paragraph" w:styleId="a6">
    <w:name w:val="annotation text"/>
    <w:basedOn w:val="a"/>
    <w:semiHidden/>
    <w:pPr>
      <w:jc w:val="left"/>
    </w:pPr>
  </w:style>
  <w:style w:type="paragraph" w:styleId="a7">
    <w:name w:val="Body Text Indent"/>
    <w:basedOn w:val="a"/>
    <w:pPr>
      <w:spacing w:before="50"/>
      <w:ind w:firstLineChars="200" w:firstLine="404"/>
    </w:pPr>
    <w:rPr>
      <w:color w:val="FF6600"/>
    </w:rPr>
  </w:style>
  <w:style w:type="paragraph" w:styleId="a8">
    <w:name w:val="Balloon Text"/>
    <w:basedOn w:val="a"/>
    <w:semiHidden/>
    <w:rPr>
      <w:szCs w:val="18"/>
    </w:rPr>
  </w:style>
  <w:style w:type="paragraph" w:styleId="a9">
    <w:name w:val="footer"/>
    <w:basedOn w:val="a"/>
    <w:pPr>
      <w:tabs>
        <w:tab w:val="center" w:pos="4153"/>
        <w:tab w:val="right" w:pos="8306"/>
      </w:tabs>
      <w:snapToGrid w:val="0"/>
      <w:jc w:val="left"/>
    </w:pPr>
    <w:rPr>
      <w:szCs w:val="18"/>
    </w:rPr>
  </w:style>
  <w:style w:type="paragraph" w:styleId="aa">
    <w:name w:val="header"/>
    <w:basedOn w:val="a"/>
    <w:pPr>
      <w:pBdr>
        <w:bottom w:val="single" w:sz="6" w:space="1" w:color="auto"/>
      </w:pBdr>
      <w:tabs>
        <w:tab w:val="center" w:pos="4153"/>
        <w:tab w:val="right" w:pos="8306"/>
      </w:tabs>
      <w:snapToGrid w:val="0"/>
      <w:jc w:val="center"/>
    </w:pPr>
    <w:rPr>
      <w:szCs w:val="18"/>
    </w:rPr>
  </w:style>
  <w:style w:type="paragraph" w:styleId="ab">
    <w:name w:val="Subtitle"/>
    <w:basedOn w:val="a"/>
    <w:next w:val="a"/>
    <w:link w:val="ac"/>
    <w:qFormat/>
    <w:pPr>
      <w:spacing w:before="240" w:after="60" w:line="312" w:lineRule="auto"/>
      <w:jc w:val="center"/>
      <w:outlineLvl w:val="1"/>
    </w:pPr>
    <w:rPr>
      <w:rFonts w:ascii="Cambria" w:hAnsi="Cambria"/>
      <w:b/>
      <w:bCs/>
      <w:kern w:val="28"/>
      <w:sz w:val="32"/>
      <w:szCs w:val="32"/>
    </w:rPr>
  </w:style>
  <w:style w:type="character" w:customStyle="1" w:styleId="ac">
    <w:name w:val="副标题 字符"/>
    <w:link w:val="ab"/>
    <w:rPr>
      <w:rFonts w:ascii="Cambria" w:hAnsi="Cambria" w:cs="Times New Roman"/>
      <w:b/>
      <w:bCs/>
      <w:kern w:val="28"/>
      <w:sz w:val="32"/>
      <w:szCs w:val="32"/>
    </w:rPr>
  </w:style>
  <w:style w:type="paragraph" w:styleId="ad">
    <w:name w:val="footnote text"/>
    <w:basedOn w:val="a"/>
    <w:semiHidden/>
    <w:pPr>
      <w:snapToGrid w:val="0"/>
      <w:jc w:val="left"/>
    </w:pPr>
    <w:rPr>
      <w:szCs w:val="18"/>
    </w:rPr>
  </w:style>
  <w:style w:type="paragraph" w:styleId="ae">
    <w:name w:val="Normal (Web)"/>
    <w:basedOn w:val="a"/>
    <w:pPr>
      <w:spacing w:before="100" w:beforeAutospacing="1" w:after="100" w:afterAutospacing="1"/>
      <w:jc w:val="left"/>
    </w:pPr>
    <w:rPr>
      <w:kern w:val="0"/>
    </w:rPr>
  </w:style>
  <w:style w:type="paragraph" w:styleId="af">
    <w:name w:val="Title"/>
    <w:basedOn w:val="a"/>
    <w:next w:val="a"/>
    <w:link w:val="af0"/>
    <w:qFormat/>
    <w:pPr>
      <w:spacing w:before="240" w:after="60"/>
      <w:jc w:val="center"/>
      <w:outlineLvl w:val="0"/>
    </w:pPr>
    <w:rPr>
      <w:rFonts w:ascii="Cambria" w:hAnsi="Cambria"/>
      <w:b/>
      <w:bCs/>
      <w:sz w:val="32"/>
      <w:szCs w:val="32"/>
    </w:rPr>
  </w:style>
  <w:style w:type="character" w:customStyle="1" w:styleId="af0">
    <w:name w:val="标题 字符"/>
    <w:link w:val="af"/>
    <w:rPr>
      <w:rFonts w:ascii="Cambria" w:hAnsi="Cambria" w:cs="Times New Roman"/>
      <w:b/>
      <w:bCs/>
      <w:kern w:val="2"/>
      <w:sz w:val="32"/>
      <w:szCs w:val="32"/>
    </w:rPr>
  </w:style>
  <w:style w:type="paragraph" w:styleId="af1">
    <w:name w:val="annotation subject"/>
    <w:basedOn w:val="a6"/>
    <w:next w:val="a6"/>
    <w:semiHidden/>
    <w:rPr>
      <w:b/>
      <w:bCs/>
    </w:rPr>
  </w:style>
  <w:style w:type="table" w:styleId="af2">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basedOn w:val="a1"/>
  </w:style>
  <w:style w:type="character" w:styleId="af4">
    <w:name w:val="FollowedHyperlink"/>
    <w:rPr>
      <w:color w:val="800080"/>
      <w:u w:val="single"/>
    </w:rPr>
  </w:style>
  <w:style w:type="character" w:styleId="af5">
    <w:name w:val="Hyperlink"/>
    <w:rPr>
      <w:color w:val="0000FF"/>
      <w:u w:val="single"/>
    </w:rPr>
  </w:style>
  <w:style w:type="character" w:styleId="af6">
    <w:name w:val="annotation reference"/>
    <w:semiHidden/>
    <w:rPr>
      <w:sz w:val="21"/>
      <w:szCs w:val="21"/>
    </w:rPr>
  </w:style>
  <w:style w:type="character" w:styleId="af7">
    <w:name w:val="footnote reference"/>
    <w:semiHidden/>
    <w:rPr>
      <w:vertAlign w:val="superscript"/>
    </w:rPr>
  </w:style>
  <w:style w:type="character" w:customStyle="1" w:styleId="datatitle1">
    <w:name w:val="datatitle1"/>
    <w:rPr>
      <w:b/>
      <w:bCs/>
      <w:color w:val="10619F"/>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book://ss10530940/!00001.pdg"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7508</Words>
  <Characters>8711</Characters>
  <Application>Microsoft Office Word</Application>
  <DocSecurity>0</DocSecurity>
  <Lines>300</Lines>
  <Paragraphs>235</Paragraphs>
  <ScaleCrop>false</ScaleCrop>
  <Company>qks</Company>
  <LinksUpToDate>false</LinksUpToDate>
  <CharactersWithSpaces>15984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文章题名不超过20字黑体二号</dc:title>
  <dc:subject/>
  <dc:creator>qks</dc:creator>
  <cp:keywords/>
  <dc:description/>
  <cp:lastModifiedBy>东风 梦</cp:lastModifiedBy>
  <cp:revision>2</cp:revision>
  <cp:lastPrinted>2008-06-06T09:40:00Z</cp:lastPrinted>
  <dcterms:created xsi:type="dcterms:W3CDTF">2025-11-23T16:03:00Z</dcterms:created>
  <dcterms:modified xsi:type="dcterms:W3CDTF">2025-11-23T16:03:00Z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4F10D8D974064CC9A949A16DC5E1FC98_13</vt:lpwstr>
  </property>
  <property fmtid="{D5CDD505-2E9C-101B-9397-08002B2CF9AE}" pid="4" name="KSOTemplateDocerSaveRecord">
    <vt:lpwstr>eyJoZGlkIjoiYWJlZDI5NWNkZTE4ZDYwNmVhNDUwMjZhODRmM2IyNmIiLCJ1c2VySWQiOiIxNzMyOTk5Mjc0In0=</vt:lpwstr>
  </property>
</Properties>
</file>