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B001-010</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CNAS（CNAS - Reports）</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think_tank ｜ 2026-08-27</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Superpowers and AGI</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https://www.cnas.org/publications/reports/superpowers-and-agi</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B001（2026-08-28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B001-010-Cnas - reports -superpowers-and-agi-202608.md</w:t>
            </w:r>
          </w:p>
        </w:tc>
      </w:tr>
    </w:tbl>
    <w:p/>
    <w:p>
      <w:pPr>
        <w:pStyle w:val="DocTitle"/>
      </w:pPr>
      <w:r>
        <w:t>Superpowers and AGI</w:t>
      </w:r>
    </w:p>
    <w:p>
      <w:pPr>
        <w:pStyle w:val="DocH1"/>
      </w:pPr>
      <w:r>
        <w:rPr>
          <w:rFonts w:ascii="Times New Roman" w:hAnsi="Times New Roman" w:eastAsia="宋体"/>
          <w:sz w:val="24"/>
        </w:rPr>
        <w:t>Executive Summary</w:t>
      </w:r>
    </w:p>
    <w:p>
      <w:pPr>
        <w:pStyle w:val="DocBody"/>
      </w:pPr>
      <w:r>
        <w:rPr>
          <w:rFonts w:ascii="Times New Roman" w:hAnsi="Times New Roman" w:eastAsia="宋体"/>
          <w:sz w:val="24"/>
        </w:rPr>
        <w:t>Artificial intelligence (AI) systems continue to progress at a steady pace. This trend has fed forecasts that artificial general intelligence (AGI)—generally defined as AI systems that can achieve human levels of performance on a wide variety of tasks—could emerge in the near to medium term.</w:t>
      </w:r>
    </w:p>
    <w:p>
      <w:pPr>
        <w:pStyle w:val="DocBody"/>
      </w:pPr>
      <w:r>
        <w:rPr>
          <w:rFonts w:ascii="Times New Roman" w:hAnsi="Times New Roman" w:eastAsia="宋体"/>
          <w:sz w:val="24"/>
        </w:rPr>
        <w:t>Amid much discussion and debate regarding the technology’s development trajectory and potential implications, how AGI would affect geopolitical competition between the United States and China has received comparatively less rigorous attention. This report aims to fill that gap. Instead of making a technological judgment about whether or when AGI will emerge, the paper stipulates a world where AGI is imminent or already exists. The paper then employs informed speculation rooted in the current contexts and histories of U.S.-China strategic competition, international relations, and global security.</w:t>
      </w:r>
    </w:p>
    <w:p>
      <w:pPr>
        <w:pStyle w:val="DocBody"/>
      </w:pPr>
      <w:r>
        <w:rPr>
          <w:rFonts w:ascii="Times New Roman" w:hAnsi="Times New Roman" w:eastAsia="宋体"/>
          <w:sz w:val="24"/>
        </w:rPr>
        <w:t>The report starts by defining AGI and assessing the ways it could emerge. Next, the paper explains China’s vision for AI generally and situates Beijing’s approach to AGI in that broader context. The paper uses a series of four lenses, or ways to interpret what is happening in the country, to examine whether and to what degree China is pursuing AGI. Taken together, China’s approach to AGI might be best understood as a messy and still-developing mix of all the lenses. AGI is moving up the priority list of Beijing’s AI policy. But AGI is not the North Star for the AI community in China the way it is in Silicon Valley—at least not yet—and it might never be.</w:t>
      </w:r>
    </w:p>
    <w:p>
      <w:pPr>
        <w:pStyle w:val="DocBody"/>
      </w:pPr>
      <w:r>
        <w:rPr>
          <w:rFonts w:ascii="Times New Roman" w:hAnsi="Times New Roman" w:eastAsia="宋体"/>
          <w:sz w:val="24"/>
        </w:rPr>
        <w:t>Either the United States or China successfully building AGI would not automatically convert to geopolitical dominance. Rather, the state with AGI would have to apply it to translate technological capability into wealth, power, and influence. AGI would need to be capable of carrying out specific valuable tasks and do so in ways that are cost-effective relative to other options. Sometimes that AGI capabilities-to-power conversion could prove unworkable.</w:t>
      </w:r>
    </w:p>
    <w:p>
      <w:pPr>
        <w:pStyle w:val="DocBody"/>
        <w:ind w:left="510"/>
      </w:pPr>
      <w:r>
        <w:rPr>
          <w:rFonts w:ascii="Times New Roman" w:hAnsi="Times New Roman" w:eastAsia="宋体"/>
          <w:sz w:val="24"/>
        </w:rPr>
        <w:t>Either the United States or China successfully building AGI would not automatically convert to geopolitical dominance. Rather, the state with AGI would have to apply it to translate technological capability into wealth, power, and influence.</w:t>
      </w:r>
    </w:p>
    <w:p>
      <w:pPr>
        <w:pStyle w:val="DocBody"/>
      </w:pPr>
      <w:r>
        <w:rPr>
          <w:rFonts w:ascii="Times New Roman" w:hAnsi="Times New Roman" w:eastAsia="宋体"/>
          <w:sz w:val="24"/>
        </w:rPr>
        <w:t>This report offers a novel framework to explain the ways Washington or Beijing might gain or lose geopolitical power as AGI develops. It proposes five potential mechanisms through which AGI could affect U.S.-China strategic competition and the global balance of power: (1) boosted economic growth and productive capacity, (2) consolidated influence over the global information environment, (3) new military capabilities, (4) large-scale misalignment or loss of control, and (5) downstream political effects. The explanation of these mechanisms shows they could all function in complicated ways. Discussions of each consider how they might play out while also theorizing limits so as to inject some realism into a debate that often veers into the fantastical.</w:t>
      </w:r>
    </w:p>
    <w:p>
      <w:pPr>
        <w:pStyle w:val="DocBody"/>
      </w:pPr>
      <w:r>
        <w:rPr>
          <w:rFonts w:ascii="Times New Roman" w:hAnsi="Times New Roman" w:eastAsia="宋体"/>
          <w:sz w:val="24"/>
        </w:rPr>
        <w:t>Assuming technological progress continues at its current pace or accelerates, the push toward AGI will shape U.S.-China geopolitical competition over the coming years and decades. The specific choices and risks that Washington and Beijing must contend with will vary as each country gets closer to AGI. This section examines those choices across four phases: both states are pursuing AGI, one state is on the cusp of AGI, one state possesses AGI while the other does not, and both states have AGI. Those phases might blur together, though, if AGI’s emergence ends up being neither discrete nor observable, which would affect policymakers’ calculus.</w:t>
      </w:r>
    </w:p>
    <w:p>
      <w:pPr>
        <w:pStyle w:val="DocBody"/>
      </w:pPr>
      <w:r>
        <w:rPr>
          <w:rFonts w:ascii="Times New Roman" w:hAnsi="Times New Roman" w:eastAsia="宋体"/>
          <w:sz w:val="24"/>
        </w:rPr>
        <w:t>The race toward AGI and the technology’s potential emergence could have major implications for U.S.-China competition and increase the risk of military conflict or disaster in multiple ways. Strategic rivalry and the need for some level of U.S.-China coordination will exist in a state of constant tension. But policymakers will have to manage that tension instead of trying to resolve it by picking either unmanaged competition or unrealistic cooperation. To that end, policymakers in the United States should:</w:t>
      </w:r>
    </w:p>
    <w:p>
      <w:pPr>
        <w:pStyle w:val="DocBody"/>
        <w:ind w:left="765"/>
      </w:pPr>
      <w:r>
        <w:rPr>
          <w:rFonts w:ascii="Times New Roman" w:hAnsi="Times New Roman" w:eastAsia="宋体"/>
          <w:sz w:val="24"/>
        </w:rPr>
        <w:t>Balance near- and long-term AI bets.</w:t>
      </w:r>
    </w:p>
    <w:p>
      <w:pPr>
        <w:pStyle w:val="DocBody"/>
        <w:ind w:left="765"/>
      </w:pPr>
      <w:r>
        <w:rPr>
          <w:rFonts w:ascii="Times New Roman" w:hAnsi="Times New Roman" w:eastAsia="宋体"/>
          <w:sz w:val="24"/>
        </w:rPr>
        <w:t>Ensure U.S. resources and technology do not aid China’s AI development.</w:t>
      </w:r>
    </w:p>
    <w:p>
      <w:pPr>
        <w:pStyle w:val="DocBody"/>
        <w:ind w:left="765"/>
      </w:pPr>
      <w:r>
        <w:rPr>
          <w:rFonts w:ascii="Times New Roman" w:hAnsi="Times New Roman" w:eastAsia="宋体"/>
          <w:sz w:val="24"/>
        </w:rPr>
        <w:t>Create diplomatic channels with allies and China focused on AI and ensure AGI’s potential emergence is on the agenda.</w:t>
      </w:r>
    </w:p>
    <w:p>
      <w:pPr>
        <w:pStyle w:val="DocBody"/>
        <w:ind w:left="765"/>
      </w:pPr>
      <w:r>
        <w:rPr>
          <w:rFonts w:ascii="Times New Roman" w:hAnsi="Times New Roman" w:eastAsia="宋体"/>
          <w:sz w:val="24"/>
        </w:rPr>
        <w:t>Develop a technically sophisticated way to track inputs to AGI as well as key performance thresholds for frontier AI systems.</w:t>
      </w:r>
    </w:p>
    <w:p>
      <w:pPr>
        <w:pStyle w:val="DocBody"/>
        <w:ind w:left="765"/>
      </w:pPr>
      <w:r>
        <w:rPr>
          <w:rFonts w:ascii="Times New Roman" w:hAnsi="Times New Roman" w:eastAsia="宋体"/>
          <w:sz w:val="24"/>
        </w:rPr>
        <w:t>Conduct a scenario exercise to test when and how the United States might intervene to stop China from developing AGI.</w:t>
      </w:r>
    </w:p>
    <w:p>
      <w:pPr>
        <w:pStyle w:val="DocBody"/>
        <w:ind w:left="765"/>
      </w:pPr>
      <w:r>
        <w:rPr>
          <w:rFonts w:ascii="Times New Roman" w:hAnsi="Times New Roman" w:eastAsia="宋体"/>
          <w:sz w:val="24"/>
        </w:rPr>
        <w:t>Prepare to reverse engineer or steal AGI technology if China gets it first.</w:t>
      </w:r>
    </w:p>
    <w:p>
      <w:pPr>
        <w:pStyle w:val="DocBody"/>
        <w:ind w:left="765"/>
      </w:pPr>
      <w:r>
        <w:rPr>
          <w:rFonts w:ascii="Times New Roman" w:hAnsi="Times New Roman" w:eastAsia="宋体"/>
          <w:sz w:val="24"/>
        </w:rPr>
        <w:t>Limit and counter the reach of authoritarian digital infrastructure.</w:t>
      </w:r>
    </w:p>
    <w:p>
      <w:pPr>
        <w:pStyle w:val="DocBody"/>
        <w:ind w:left="765"/>
      </w:pPr>
      <w:r>
        <w:rPr>
          <w:rFonts w:ascii="Times New Roman" w:hAnsi="Times New Roman" w:eastAsia="宋体"/>
          <w:sz w:val="24"/>
        </w:rPr>
        <w:t>Provide AGI alternatives that are compatible with democracy and avoid unnecessary constraints on other countries’ sovereign choices.</w:t>
      </w:r>
    </w:p>
    <w:p>
      <w:pPr>
        <w:pStyle w:val="DocBody"/>
        <w:ind w:left="765"/>
      </w:pPr>
      <w:r>
        <w:rPr>
          <w:rFonts w:ascii="Times New Roman" w:hAnsi="Times New Roman" w:eastAsia="宋体"/>
          <w:sz w:val="24"/>
        </w:rPr>
        <w:t>Build programs to cushion AGI’s effects on society to prevent the deterioration of societal cohesion at home and abroad.</w:t>
      </w:r>
    </w:p>
    <w:p>
      <w:pPr>
        <w:pStyle w:val="DocH1"/>
      </w:pPr>
      <w:r>
        <w:rPr>
          <w:rFonts w:ascii="Times New Roman" w:hAnsi="Times New Roman" w:eastAsia="宋体"/>
          <w:sz w:val="24"/>
        </w:rPr>
        <w:t>Introduction</w:t>
      </w:r>
    </w:p>
    <w:p>
      <w:pPr>
        <w:pStyle w:val="DocBody"/>
      </w:pPr>
      <w:r>
        <w:rPr>
          <w:rFonts w:ascii="Times New Roman" w:hAnsi="Times New Roman" w:eastAsia="宋体"/>
          <w:sz w:val="24"/>
        </w:rPr>
        <w:t>Artificial intelligence (AI) systems continue to progress at a steady pace.</w:t>
      </w:r>
      <w:hyperlink r:id="rId12">
        <w:r>
          <w:rPr>
            <w:rFonts w:ascii="Times New Roman" w:hAnsi="Times New Roman" w:eastAsia="宋体"/>
            <w:color w:val="0563C1"/>
            <w:sz w:val="24"/>
            <w:u w:val="single"/>
          </w:rPr>
          <w:t>1</w:t>
        </w:r>
      </w:hyperlink>
      <w:r>
        <w:rPr>
          <w:rFonts w:ascii="Times New Roman" w:hAnsi="Times New Roman" w:eastAsia="宋体"/>
          <w:sz w:val="24"/>
        </w:rPr>
        <w:t xml:space="preserve"> That trend has fed forecasts that artificial general intelligence (AGI) could emerge in the near to medium term. Amid much discussion and debate regarding the technology’s development trajectory and potential implications, how AGI would affect geopolitical competition between the United States and China has received comparatively less rigorous attention.</w:t>
      </w:r>
    </w:p>
    <w:p>
      <w:pPr>
        <w:pStyle w:val="DocBody"/>
      </w:pPr>
      <w:r>
        <w:rPr>
          <w:rFonts w:ascii="Times New Roman" w:hAnsi="Times New Roman" w:eastAsia="宋体"/>
          <w:sz w:val="24"/>
        </w:rPr>
        <w:t>This report aims to fill that gap. Instead of making a technological judgment about whether AGI will emerge, the paper stipulates a world where AGI is imminent or exists. Then, in that context, the paper employs informed speculation rooted in the current contexts and histories of U.S.-China strategic competition, international relations, and global security. The analysis is intended to help policymakers forecast and “see around corners” into the future, and to begin to understand how AGI might affect geopolitics between Washington and Beijing—including both the risks and the opportunities.</w:t>
      </w:r>
    </w:p>
    <w:p>
      <w:pPr>
        <w:pStyle w:val="DocBody"/>
        <w:ind w:left="510"/>
      </w:pPr>
      <w:r>
        <w:rPr>
          <w:rFonts w:ascii="Times New Roman" w:hAnsi="Times New Roman" w:eastAsia="宋体"/>
          <w:sz w:val="24"/>
        </w:rPr>
        <w:t>The report offers a novel framework to explain the mechanisms by which Washington or Beijing might gain or lose geopolitical power and influence as AGI develops.</w:t>
      </w:r>
    </w:p>
    <w:p>
      <w:pPr>
        <w:pStyle w:val="DocBody"/>
      </w:pPr>
      <w:r>
        <w:rPr>
          <w:rFonts w:ascii="Times New Roman" w:hAnsi="Times New Roman" w:eastAsia="宋体"/>
          <w:sz w:val="24"/>
        </w:rPr>
        <w:t>The report starts by defining AGI and assessing the ways it could emerge while adopting appropriate skepticism about the claims from AGI’s most ardent boosters. Next, the paper explains China’s vision for AI generally and situates Beijing’s approach to AGI in that broader context. The paper then considers whether and to what degree China is pursuing AGI, as opposed to promoting development and adoption of useful but less capable AI systems.</w:t>
      </w:r>
    </w:p>
    <w:p>
      <w:pPr>
        <w:pStyle w:val="DocBody"/>
      </w:pPr>
      <w:r>
        <w:rPr>
          <w:rFonts w:ascii="Times New Roman" w:hAnsi="Times New Roman" w:eastAsia="宋体"/>
          <w:sz w:val="24"/>
        </w:rPr>
        <w:t>From there, the report offers a novel framework to explain the mechanisms by which Washington or Beijing might gain or lose geopolitical power and influence as AGI develops. Then, the paper examines the choices policymakers would face across different phases of AGI’s emergence, from neither state possessing AGI to both states having it. The report concludes with recommendations for U.S. and allied policymakers on how to prepare to compete and, where possible, cooperate with China in a world that is moving toward AGI and might eventually have it. The topic is timely, as prospects for U.S.-China AI diplomacy have improved since the countries’ leaders discussed AI in their May 2026 meeting in Beijing and instructed their representatives to set up a channel for further talks.</w:t>
      </w:r>
      <w:hyperlink r:id="rId13">
        <w:r>
          <w:rPr>
            <w:rFonts w:ascii="Times New Roman" w:hAnsi="Times New Roman" w:eastAsia="宋体"/>
            <w:color w:val="0563C1"/>
            <w:sz w:val="24"/>
            <w:u w:val="single"/>
          </w:rPr>
          <w:t>2</w:t>
        </w:r>
      </w:hyperlink>
    </w:p>
    <w:p>
      <w:pPr>
        <w:pStyle w:val="DocH1"/>
      </w:pPr>
      <w:r>
        <w:rPr>
          <w:rFonts w:ascii="Times New Roman" w:hAnsi="Times New Roman" w:eastAsia="宋体"/>
          <w:sz w:val="24"/>
        </w:rPr>
        <w:t>Endnotes</w:t>
      </w:r>
    </w:p>
    <w:p>
      <w:pPr>
        <w:pStyle w:val="DocBody"/>
        <w:ind w:left="765"/>
      </w:pPr>
      <w:r>
        <w:rPr>
          <w:rFonts w:ascii="Times New Roman" w:hAnsi="Times New Roman" w:eastAsia="宋体"/>
          <w:sz w:val="24"/>
        </w:rPr>
        <w:t xml:space="preserve">Nestor Maslej et al., “The AI Index 2025: Annual Report,” AI Index Steering Committee (Institute for Human-Centered AI, Stanford University, April 2025), </w:t>
      </w:r>
      <w:hyperlink r:id="rId14">
        <w:r>
          <w:rPr>
            <w:rFonts w:ascii="Times New Roman" w:hAnsi="Times New Roman" w:eastAsia="宋体"/>
            <w:color w:val="0563C1"/>
            <w:sz w:val="24"/>
            <w:u w:val="single"/>
          </w:rPr>
          <w:t>https://doi.org/10.48550/arXiv.2504.07139</w:t>
        </w:r>
      </w:hyperlink>
      <w:r>
        <w:rPr>
          <w:rFonts w:ascii="Times New Roman" w:hAnsi="Times New Roman" w:eastAsia="宋体"/>
          <w:sz w:val="24"/>
        </w:rPr>
        <w:t xml:space="preserve">. </w:t>
      </w:r>
      <w:hyperlink r:id="rId15">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Miranda Nazzaro, “Trump Says He Discussed AI Guardrails with Xi,” The Hill, May 15, 2026, </w:t>
      </w:r>
      <w:hyperlink r:id="rId16">
        <w:r>
          <w:rPr>
            <w:rFonts w:ascii="Times New Roman" w:hAnsi="Times New Roman" w:eastAsia="宋体"/>
            <w:color w:val="0563C1"/>
            <w:sz w:val="24"/>
            <w:u w:val="single"/>
          </w:rPr>
          <w:t>https://thehill.com/homenews/administration/5880013-donald-trump-xi-jinping-china-summit-ai-guardrails</w:t>
        </w:r>
      </w:hyperlink>
      <w:r>
        <w:rPr>
          <w:rFonts w:ascii="Times New Roman" w:hAnsi="Times New Roman" w:eastAsia="宋体"/>
          <w:sz w:val="24"/>
        </w:rPr>
        <w:t xml:space="preserve">. </w:t>
      </w:r>
      <w:hyperlink r:id="rId17">
        <w:r>
          <w:rPr>
            <w:rFonts w:ascii="Times New Roman" w:hAnsi="Times New Roman" w:eastAsia="宋体"/>
            <w:color w:val="0563C1"/>
            <w:sz w:val="24"/>
            <w:u w:val="single"/>
          </w:rPr>
          <w:t>↩</w:t>
        </w:r>
      </w:hyperlink>
    </w:p>
    <w:p>
      <w:pPr>
        <w:pStyle w:val="DocH1"/>
      </w:pPr>
      <w:r>
        <w:rPr>
          <w:rFonts w:ascii="Times New Roman" w:hAnsi="Times New Roman" w:eastAsia="宋体"/>
          <w:sz w:val="24"/>
        </w:rPr>
        <w:t>Author</w:t>
      </w:r>
    </w:p>
    <w:p>
      <w:pPr>
        <w:jc w:val="center"/>
      </w:pPr>
      <w:r>
        <w:rPr>
          <w:rFonts w:ascii="Times New Roman" w:hAnsi="Times New Roman" w:eastAsia="宋体"/>
          <w:i/>
          <w:color w:val="595959"/>
          <w:sz w:val="21"/>
        </w:rPr>
        <w:t>［原图未能获取：https://www.cnas.org/publications/reports/superpowers-and-agi］</w:t>
      </w:r>
    </w:p>
    <w:p>
      <w:pPr>
        <w:pStyle w:val="DocH1"/>
      </w:pPr>
      <w:hyperlink r:id="rId18">
        <w:r>
          <w:rPr>
            <w:rFonts w:ascii="Times New Roman" w:hAnsi="Times New Roman" w:eastAsia="宋体"/>
            <w:color w:val="0563C1"/>
            <w:sz w:val="24"/>
            <w:u w:val="single"/>
          </w:rPr>
          <w:t>Jacob Stokes</w:t>
        </w:r>
      </w:hyperlink>
    </w:p>
    <w:p>
      <w:pPr>
        <w:pStyle w:val="DocBody"/>
      </w:pPr>
      <w:r>
        <w:rPr>
          <w:rFonts w:ascii="Times New Roman" w:hAnsi="Times New Roman" w:eastAsia="宋体"/>
          <w:sz w:val="24"/>
        </w:rPr>
        <w:t>Senior Fellow and Deputy Director, Indo-Pacific Security Program Jacob Stokes is a senior fellow and deputy director of the Indo-Pacific Security Program at the Center for a New American Security (CNAS), where his work focuses on U.S.-China...</w:t>
      </w:r>
    </w:p>
    <w:p>
      <w:pPr>
        <w:pStyle w:val="DocH1"/>
      </w:pPr>
      <w:r>
        <w:rPr>
          <w:rFonts w:ascii="Times New Roman" w:hAnsi="Times New Roman" w:eastAsia="宋体"/>
          <w:sz w:val="24"/>
        </w:rPr>
        <w:t>More from CNAS</w:t>
      </w:r>
    </w:p>
    <w:p>
      <w:pPr>
        <w:jc w:val="center"/>
      </w:pPr>
      <w:r>
        <w:rPr>
          <w:rFonts w:ascii="Times New Roman" w:hAnsi="Times New Roman" w:eastAsia="宋体"/>
          <w:i/>
          <w:color w:val="595959"/>
          <w:sz w:val="21"/>
        </w:rPr>
        <w:t>［原图未能获取：https://www.cnas.org/publications/reports/superpowers-and-agi］</w:t>
      </w:r>
    </w:p>
    <w:p>
      <w:pPr>
        <w:pStyle w:val="DocBody"/>
      </w:pPr>
      <w:hyperlink r:id="rId19">
        <w:r>
          <w:rPr>
            <w:rFonts w:ascii="Times New Roman" w:hAnsi="Times New Roman" w:eastAsia="宋体"/>
            <w:color w:val="0563C1"/>
            <w:sz w:val="24"/>
            <w:u w:val="single"/>
          </w:rPr>
          <w:t>Thwarting Communications Blackout</w:t>
        </w:r>
      </w:hyperlink>
    </w:p>
    <w:p>
      <w:pPr>
        <w:pStyle w:val="DocBody"/>
      </w:pPr>
      <w:r>
        <w:rPr>
          <w:rFonts w:ascii="Times New Roman" w:hAnsi="Times New Roman" w:eastAsia="宋体"/>
          <w:sz w:val="24"/>
        </w:rPr>
        <w:t>Control over the physical means of transmitting information—the lifeblood of modern societies—has become a central area of contestation between Taiwan and the United States on...</w:t>
      </w:r>
    </w:p>
    <w:p>
      <w:pPr>
        <w:pStyle w:val="DocBody"/>
      </w:pPr>
      <w:r>
        <w:rPr>
          <w:rFonts w:ascii="Times New Roman" w:hAnsi="Times New Roman" w:eastAsia="宋体"/>
          <w:sz w:val="24"/>
        </w:rPr>
        <w:t>By Jacob Stokes &amp; Ryan Claffey</w:t>
      </w:r>
    </w:p>
    <w:p>
      <w:pPr>
        <w:spacing w:line="240" w:lineRule="auto" w:after="120"/>
        <w:jc w:val="left"/>
      </w:pPr>
      <w:r>
        <w:rPr>
          <w:rFonts w:ascii="Consolas" w:hAnsi="Consolas" w:eastAsia="宋体"/>
          <w:color w:val="595959"/>
          <w:sz w:val="18"/>
        </w:rPr>
        <w:t>* May 28, 2026</w:t>
      </w:r>
    </w:p>
    <w:p>
      <w:pPr>
        <w:jc w:val="center"/>
      </w:pPr>
      <w:r>
        <w:rPr>
          <w:rFonts w:ascii="Times New Roman" w:hAnsi="Times New Roman" w:eastAsia="宋体"/>
          <w:i/>
          <w:color w:val="595959"/>
          <w:sz w:val="21"/>
        </w:rPr>
        <w:t>［原图未能获取：https://www.cnas.org/publications/reports/superpowers-and-agi］</w:t>
      </w:r>
    </w:p>
    <w:p>
      <w:pPr>
        <w:pStyle w:val="DocBody"/>
      </w:pPr>
      <w:hyperlink r:id="rId20">
        <w:r>
          <w:rPr>
            <w:rFonts w:ascii="Times New Roman" w:hAnsi="Times New Roman" w:eastAsia="宋体"/>
            <w:color w:val="0563C1"/>
            <w:sz w:val="24"/>
            <w:u w:val="single"/>
          </w:rPr>
          <w:t>Regional and Global Responses to a Taiwan Contingency</w:t>
        </w:r>
      </w:hyperlink>
    </w:p>
    <w:p>
      <w:pPr>
        <w:pStyle w:val="DocBody"/>
      </w:pPr>
      <w:r>
        <w:rPr>
          <w:rFonts w:ascii="Times New Roman" w:hAnsi="Times New Roman" w:eastAsia="宋体"/>
          <w:sz w:val="24"/>
        </w:rPr>
        <w:t>A contingency across the Taiwan Strait has the potential to reshape the Indo-Pacific and even global security environment. This report explores how states beyond the United St...</w:t>
      </w:r>
    </w:p>
    <w:p>
      <w:pPr>
        <w:pStyle w:val="DocBody"/>
      </w:pPr>
      <w:r>
        <w:rPr>
          <w:rFonts w:ascii="Times New Roman" w:hAnsi="Times New Roman" w:eastAsia="宋体"/>
          <w:sz w:val="24"/>
        </w:rPr>
        <w:t>By Jacob Stokes, Kareen Hart, Ryan Claffey &amp; Thomas Corel</w:t>
      </w:r>
    </w:p>
    <w:p>
      <w:pPr>
        <w:spacing w:line="240" w:lineRule="auto" w:after="120"/>
        <w:jc w:val="left"/>
      </w:pPr>
      <w:r>
        <w:rPr>
          <w:rFonts w:ascii="Consolas" w:hAnsi="Consolas" w:eastAsia="宋体"/>
          <w:color w:val="595959"/>
          <w:sz w:val="18"/>
        </w:rPr>
        <w:t>* May 21, 2025</w:t>
      </w:r>
    </w:p>
    <w:p>
      <w:pPr>
        <w:jc w:val="center"/>
      </w:pPr>
      <w:r>
        <w:rPr>
          <w:rFonts w:ascii="Times New Roman" w:hAnsi="Times New Roman" w:eastAsia="宋体"/>
          <w:i/>
          <w:color w:val="595959"/>
          <w:sz w:val="21"/>
        </w:rPr>
        <w:t>［原图未能获取：https://www.cnas.org/publications/reports/superpowers-and-agi］</w:t>
      </w:r>
    </w:p>
    <w:p>
      <w:pPr>
        <w:pStyle w:val="DocBody"/>
      </w:pPr>
      <w:hyperlink r:id="rId21">
        <w:r>
          <w:rPr>
            <w:rFonts w:ascii="Times New Roman" w:hAnsi="Times New Roman" w:eastAsia="宋体"/>
            <w:color w:val="0563C1"/>
            <w:sz w:val="24"/>
            <w:u w:val="single"/>
          </w:rPr>
          <w:t>Assessing China’s Nuclear Decision-Making</w:t>
        </w:r>
      </w:hyperlink>
    </w:p>
    <w:p>
      <w:pPr>
        <w:pStyle w:val="DocBody"/>
      </w:pPr>
      <w:r>
        <w:rPr>
          <w:rFonts w:ascii="Times New Roman" w:hAnsi="Times New Roman" w:eastAsia="宋体"/>
          <w:sz w:val="24"/>
        </w:rPr>
        <w:t>China’s rapid nuclear buildup is raising questions about how the country makes decisions related to nuclear weapons. This policy brief analyzes that trend by presenting three ...</w:t>
      </w:r>
    </w:p>
    <w:p>
      <w:pPr>
        <w:pStyle w:val="DocBody"/>
      </w:pPr>
      <w:r>
        <w:rPr>
          <w:rFonts w:ascii="Times New Roman" w:hAnsi="Times New Roman" w:eastAsia="宋体"/>
          <w:sz w:val="24"/>
        </w:rPr>
        <w:t>By Jacob Stokes</w:t>
      </w:r>
    </w:p>
    <w:p>
      <w:pPr>
        <w:spacing w:line="240" w:lineRule="auto" w:after="120"/>
        <w:jc w:val="left"/>
      </w:pPr>
      <w:r>
        <w:rPr>
          <w:rFonts w:ascii="Consolas" w:hAnsi="Consolas" w:eastAsia="宋体"/>
          <w:color w:val="595959"/>
          <w:sz w:val="18"/>
        </w:rPr>
        <w:t>* March 18, 2025</w:t>
      </w:r>
    </w:p>
    <w:p>
      <w:pPr>
        <w:jc w:val="center"/>
      </w:pPr>
      <w:r>
        <w:rPr>
          <w:rFonts w:ascii="Times New Roman" w:hAnsi="Times New Roman" w:eastAsia="宋体"/>
          <w:i/>
          <w:color w:val="595959"/>
          <w:sz w:val="21"/>
        </w:rPr>
        <w:t>［原图未能获取：https://www.cnas.org/publications/reports/superpowers-and-agi］</w:t>
      </w:r>
    </w:p>
    <w:p>
      <w:pPr>
        <w:pStyle w:val="DocBody"/>
      </w:pPr>
      <w:hyperlink r:id="rId22">
        <w:r>
          <w:rPr>
            <w:rFonts w:ascii="Times New Roman" w:hAnsi="Times New Roman" w:eastAsia="宋体"/>
            <w:color w:val="0563C1"/>
            <w:sz w:val="24"/>
            <w:u w:val="single"/>
          </w:rPr>
          <w:t>Averting AI Armageddon</w:t>
        </w:r>
      </w:hyperlink>
    </w:p>
    <w:p>
      <w:pPr>
        <w:pStyle w:val="DocBody"/>
      </w:pPr>
      <w:r>
        <w:rPr>
          <w:rFonts w:ascii="Times New Roman" w:hAnsi="Times New Roman" w:eastAsia="宋体"/>
          <w:sz w:val="24"/>
        </w:rPr>
        <w:t>In recent years, the previous bipolar nuclear order led by the United States and Russia has given way to a more volatile tripolar one, as China has quantitatively and qualitat...</w:t>
      </w:r>
    </w:p>
    <w:p>
      <w:pPr>
        <w:pStyle w:val="DocBody"/>
      </w:pPr>
      <w:r>
        <w:rPr>
          <w:rFonts w:ascii="Times New Roman" w:hAnsi="Times New Roman" w:eastAsia="宋体"/>
          <w:sz w:val="24"/>
        </w:rPr>
        <w:t>By Jacob Stokes, Colin H. Kahl, Andrea Kendall-Taylor &amp; Nicholas Lokker</w:t>
      </w:r>
    </w:p>
    <w:p>
      <w:pPr>
        <w:spacing w:line="240" w:lineRule="auto" w:after="120"/>
        <w:jc w:val="left"/>
      </w:pPr>
      <w:r>
        <w:rPr>
          <w:rFonts w:ascii="Consolas" w:hAnsi="Consolas" w:eastAsia="宋体"/>
          <w:color w:val="595959"/>
          <w:sz w:val="18"/>
        </w:rPr>
        <w:t>* February 13, 2025</w:t>
      </w:r>
    </w:p>
    <w:p>
      <w:pPr>
        <w:pStyle w:val="DocBody"/>
      </w:pPr>
      <w:hyperlink r:id="rId23">
        <w:r>
          <w:rPr>
            <w:rFonts w:ascii="Times New Roman" w:hAnsi="Times New Roman" w:eastAsia="宋体"/>
            <w:color w:val="0563C1"/>
            <w:sz w:val="24"/>
            <w:u w:val="single"/>
          </w:rPr>
          <w:t>View All Reports</w:t>
        </w:r>
      </w:hyperlink>
      <w:r>
        <w:rPr>
          <w:rFonts w:ascii="Times New Roman" w:hAnsi="Times New Roman" w:eastAsia="宋体"/>
          <w:sz w:val="24"/>
        </w:rPr>
        <w:t xml:space="preserve"> </w:t>
      </w:r>
      <w:hyperlink r:id="rId24">
        <w:r>
          <w:rPr>
            <w:rFonts w:ascii="Times New Roman" w:hAnsi="Times New Roman" w:eastAsia="宋体"/>
            <w:color w:val="0563C1"/>
            <w:sz w:val="24"/>
            <w:u w:val="single"/>
          </w:rPr>
          <w:t>View All Articles &amp; Multimedia</w:t>
        </w:r>
      </w:hyperlink>
    </w:p>
    <w:p>
      <w:pPr>
        <w:pStyle w:val="DocH1"/>
      </w:pPr>
      <w:r>
        <w:rPr>
          <w:rFonts w:ascii="Times New Roman" w:hAnsi="Times New Roman" w:eastAsia="宋体"/>
          <w:sz w:val="24"/>
        </w:rPr>
        <w:t>Get the Latest from CNAS</w:t>
      </w:r>
    </w:p>
    <w:p>
      <w:pPr>
        <w:pStyle w:val="DocH1"/>
      </w:pPr>
      <w:r>
        <w:rPr>
          <w:rFonts w:ascii="Times New Roman" w:hAnsi="Times New Roman" w:eastAsia="宋体"/>
          <w:sz w:val="24"/>
        </w:rPr>
        <w:t>updates and analysis on the most important issues in U.S. national security.</w:t>
      </w:r>
    </w:p>
    <w:p>
      <w:pPr>
        <w:pStyle w:val="DocBody"/>
      </w:pPr>
      <w:r>
        <w:rPr>
          <w:rFonts w:ascii="Times New Roman" w:hAnsi="Times New Roman" w:eastAsia="宋体"/>
          <w:sz w:val="24"/>
        </w:rPr>
        <w:t>Thanks for subscribing!</w:t>
      </w:r>
    </w:p>
    <w:p>
      <w:pPr>
        <w:pStyle w:val="DocBody"/>
      </w:pPr>
      <w:r>
        <w:rPr>
          <w:rFonts w:ascii="Times New Roman" w:hAnsi="Times New Roman" w:eastAsia="宋体"/>
          <w:sz w:val="24"/>
        </w:rPr>
        <w:t xml:space="preserve">and </w:t>
      </w:r>
      <w:hyperlink r:id="rId25">
        <w:r>
          <w:rPr>
            <w:rFonts w:ascii="Times New Roman" w:hAnsi="Times New Roman" w:eastAsia="宋体"/>
            <w:color w:val="0563C1"/>
            <w:sz w:val="24"/>
            <w:u w:val="single"/>
          </w:rPr>
          <w:t>Terms of Service</w:t>
        </w:r>
      </w:hyperlink>
      <w:r>
        <w:rPr>
          <w:rFonts w:ascii="Times New Roman" w:hAnsi="Times New Roman" w:eastAsia="宋体"/>
          <w:sz w:val="24"/>
        </w:rPr>
        <w:t xml:space="preserve"> apply.</w:t>
      </w:r>
    </w:p>
    <w:p>
      <w:pPr>
        <w:pStyle w:val="DocBody"/>
      </w:pPr>
      <w:r>
        <w:rPr>
          <w:rFonts w:ascii="Times New Roman" w:hAnsi="Times New Roman" w:eastAsia="宋体"/>
          <w:sz w:val="24"/>
        </w:rPr>
        <w:t>There was a problem submitting the form. Please double check your information and try again.</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B001-010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nas.org/publications/reports/superpowers-and-agi" TargetMode="External"/><Relationship Id="rId12" Type="http://schemas.openxmlformats.org/officeDocument/2006/relationships/hyperlink" Target="https://www.cnas.org/publications/reports/superpowers-and-agi#fn1" TargetMode="External"/><Relationship Id="rId13" Type="http://schemas.openxmlformats.org/officeDocument/2006/relationships/hyperlink" Target="https://www.cnas.org/publications/reports/superpowers-and-agi#fn2" TargetMode="External"/><Relationship Id="rId14" Type="http://schemas.openxmlformats.org/officeDocument/2006/relationships/hyperlink" Target="https://doi.org/10.48550/arXiv.2504.07139" TargetMode="External"/><Relationship Id="rId15" Type="http://schemas.openxmlformats.org/officeDocument/2006/relationships/hyperlink" Target="https://www.cnas.org/publications/reports/superpowers-and-agi#fnmarker1" TargetMode="External"/><Relationship Id="rId16" Type="http://schemas.openxmlformats.org/officeDocument/2006/relationships/hyperlink" Target="https://thehill.com/homenews/administration/5880013-donald-trump-xi-jinping-china-summit-ai-guardrails" TargetMode="External"/><Relationship Id="rId17" Type="http://schemas.openxmlformats.org/officeDocument/2006/relationships/hyperlink" Target="https://www.cnas.org/publications/reports/superpowers-and-agi#fnmarker2" TargetMode="External"/><Relationship Id="rId18" Type="http://schemas.openxmlformats.org/officeDocument/2006/relationships/hyperlink" Target="https://www.cnas.org/people/jacob-stokes" TargetMode="External"/><Relationship Id="rId19" Type="http://schemas.openxmlformats.org/officeDocument/2006/relationships/hyperlink" Target="https://www.cnas.org/publications/reports/thwarting-communications-blackout" TargetMode="External"/><Relationship Id="rId20" Type="http://schemas.openxmlformats.org/officeDocument/2006/relationships/hyperlink" Target="https://www.cnas.org/publications/reports/regional-and-global-responses-to-a-taiwan-contingency" TargetMode="External"/><Relationship Id="rId21" Type="http://schemas.openxmlformats.org/officeDocument/2006/relationships/hyperlink" Target="https://www.cnas.org/publications/reports/assessing-chinas-nuclear-decision-making" TargetMode="External"/><Relationship Id="rId22" Type="http://schemas.openxmlformats.org/officeDocument/2006/relationships/hyperlink" Target="https://www.cnas.org/publications/reports/averting-ai-armageddon" TargetMode="External"/><Relationship Id="rId23" Type="http://schemas.openxmlformats.org/officeDocument/2006/relationships/hyperlink" Target="https://www.cnas.org/reports" TargetMode="External"/><Relationship Id="rId24" Type="http://schemas.openxmlformats.org/officeDocument/2006/relationships/hyperlink" Target="https://www.cnas.org/articles-multimedia" TargetMode="External"/><Relationship Id="rId25" Type="http://schemas.openxmlformats.org/officeDocument/2006/relationships/hyperlink" Target="https://policies.google.com/ter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Superpowers and AGI</dc:title>
  <dc:subject/>
  <dc:creator>briefing-article-kb</dc:creator>
  <cp:keywords/>
  <dc:description>https://www.cnas.org/publications/reports/superpowers-and-agi</dc:description>
  <cp:lastModifiedBy/>
  <cp:revision>1</cp:revision>
  <dcterms:created xsi:type="dcterms:W3CDTF">2013-12-23T23:15:00Z</dcterms:created>
  <dcterms:modified xsi:type="dcterms:W3CDTF">2013-12-23T23:15:00Z</dcterms:modified>
  <cp:category/>
</cp:coreProperties>
</file>