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4.png" ContentType="image/jpeg"/>
  <Override PartName="/word/media/image6.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B003-012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A16Z（a16z (Andreessen Horowitz)）</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Machine Age Fund</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https://www.a16z.news/p/the-machine-age-fund</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B003-012-A16z (andreessen horowitz) -the-machine-age-fund-202608.md</w:t>
            </w:r>
          </w:p>
        </w:tc>
      </w:tr>
    </w:tbl>
    <w:p/>
    <w:p>
      <w:pPr>
        <w:pStyle w:val="DocTitle"/>
      </w:pPr>
      <w:r>
        <w:t>The Machine Age Fund</w:t>
      </w:r>
    </w:p>
    <w:p>
      <w:pPr>
        <w:jc w:val="center"/>
      </w:pPr>
      <w:r>
        <w:drawing>
          <wp:inline xmlns:a="http://schemas.openxmlformats.org/drawingml/2006/main" xmlns:pic="http://schemas.openxmlformats.org/drawingml/2006/picture">
            <wp:extent cx="507600" cy="507600"/>
            <wp:docPr id="1" name="Picture 1"/>
            <wp:cNvGraphicFramePr>
              <a:graphicFrameLocks noChangeAspect="1"/>
            </wp:cNvGraphicFramePr>
            <a:graphic>
              <a:graphicData uri="http://schemas.openxmlformats.org/drawingml/2006/picture">
                <pic:pic>
                  <pic:nvPicPr>
                    <pic:cNvPr id="0" name="33dd00947c893e67.png"/>
                    <pic:cNvPicPr/>
                  </pic:nvPicPr>
                  <pic:blipFill>
                    <a:blip r:embed="rId12"/>
                    <a:stretch>
                      <a:fillRect/>
                    </a:stretch>
                  </pic:blipFill>
                  <pic:spPr>
                    <a:xfrm>
                      <a:off x="0" y="0"/>
                      <a:ext cx="507600" cy="507600"/>
                    </a:xfrm>
                    <a:prstGeom prst="rect"/>
                  </pic:spPr>
                </pic:pic>
              </a:graphicData>
            </a:graphic>
          </wp:inline>
        </w:drawing>
      </w:r>
    </w:p>
    <w:p>
      <w:pPr>
        <w:pStyle w:val="DocCaption"/>
      </w:pPr>
      <w:r>
        <w:t>图1  a16z</w:t>
      </w:r>
    </w:p>
    <w:p>
      <w:pPr>
        <w:pStyle w:val="DocH1"/>
      </w:pPr>
    </w:p>
    <w:p>
      <w:pPr>
        <w:jc w:val="center"/>
      </w:pPr>
      <w:r>
        <w:drawing>
          <wp:inline xmlns:a="http://schemas.openxmlformats.org/drawingml/2006/main" xmlns:pic="http://schemas.openxmlformats.org/drawingml/2006/picture">
            <wp:extent cx="5400000" cy="701805"/>
            <wp:docPr id="2" name="Picture 2"/>
            <wp:cNvGraphicFramePr>
              <a:graphicFrameLocks noChangeAspect="1"/>
            </wp:cNvGraphicFramePr>
            <a:graphic>
              <a:graphicData uri="http://schemas.openxmlformats.org/drawingml/2006/picture">
                <pic:pic>
                  <pic:nvPicPr>
                    <pic:cNvPr id="0" name="3f9f5353c1c936e7.png"/>
                    <pic:cNvPicPr/>
                  </pic:nvPicPr>
                  <pic:blipFill>
                    <a:blip r:embed="rId13"/>
                    <a:stretch>
                      <a:fillRect/>
                    </a:stretch>
                  </pic:blipFill>
                  <pic:spPr>
                    <a:xfrm>
                      <a:off x="0" y="0"/>
                      <a:ext cx="5400000" cy="701805"/>
                    </a:xfrm>
                    <a:prstGeom prst="rect"/>
                  </pic:spPr>
                </pic:pic>
              </a:graphicData>
            </a:graphic>
          </wp:inline>
        </w:drawing>
      </w:r>
    </w:p>
    <w:p>
      <w:pPr>
        <w:pStyle w:val="DocCaption"/>
      </w:pPr>
      <w:r>
        <w:t>图2  a16z</w:t>
      </w:r>
    </w:p>
    <w:p>
      <w:pPr>
        <w:pStyle w:val="DocBody"/>
      </w:pPr>
      <w:r>
        <w:rPr>
          <w:rFonts w:ascii="Times New Roman" w:hAnsi="Times New Roman" w:eastAsia="宋体"/>
          <w:sz w:val="24"/>
        </w:rPr>
        <w:t>Discover more from a16z It's time to build.</w:t>
      </w:r>
    </w:p>
    <w:p>
      <w:pPr>
        <w:pStyle w:val="DocBody"/>
      </w:pPr>
      <w:r>
        <w:rPr>
          <w:rFonts w:ascii="Times New Roman" w:hAnsi="Times New Roman" w:eastAsia="宋体"/>
          <w:sz w:val="24"/>
        </w:rPr>
        <w:t xml:space="preserve">Over 262,000 , and acknowledge its </w:t>
      </w:r>
      <w:hyperlink r:id="rId14">
        <w:r>
          <w:rPr>
            <w:rFonts w:ascii="Times New Roman" w:hAnsi="Times New Roman" w:eastAsia="宋体"/>
            <w:color w:val="0563C1"/>
            <w:sz w:val="24"/>
            <w:u w:val="single"/>
          </w:rPr>
          <w:t>Information Collection Notice</w:t>
        </w:r>
      </w:hyperlink>
      <w:r>
        <w:rPr>
          <w:rFonts w:ascii="Times New Roman" w:hAnsi="Times New Roman" w:eastAsia="宋体"/>
          <w:sz w:val="24"/>
        </w:rPr>
        <w:t xml:space="preserve"> and </w:t>
      </w:r>
      <w:hyperlink r:id="rId15">
        <w:r>
          <w:rPr>
            <w:rFonts w:ascii="Times New Roman" w:hAnsi="Times New Roman" w:eastAsia="宋体"/>
            <w:color w:val="0563C1"/>
            <w:sz w:val="24"/>
            <w:u w:val="single"/>
          </w:rPr>
          <w:t>Privacy Policy</w:t>
        </w:r>
      </w:hyperlink>
      <w:r>
        <w:rPr>
          <w:rFonts w:ascii="Times New Roman" w:hAnsi="Times New Roman" w:eastAsia="宋体"/>
          <w:sz w:val="24"/>
        </w:rPr>
        <w:t>.</w:t>
      </w:r>
    </w:p>
    <w:p>
      <w:pPr>
        <w:pStyle w:val="DocBody"/>
      </w:pPr>
      <w:r>
        <w:rPr>
          <w:rFonts w:ascii="Times New Roman" w:hAnsi="Times New Roman" w:eastAsia="宋体"/>
          <w:sz w:val="24"/>
        </w:rPr>
        <w:t>Already have an account? Sign in</w:t>
      </w:r>
    </w:p>
    <w:p>
      <w:pPr>
        <w:pStyle w:val="DocH1"/>
      </w:pPr>
      <w:r>
        <w:rPr>
          <w:rFonts w:ascii="Times New Roman" w:hAnsi="Times New Roman" w:eastAsia="宋体"/>
          <w:sz w:val="24"/>
        </w:rPr>
        <w:t>A16Z’s newest $1.1B fund</w:t>
      </w:r>
    </w:p>
    <w:p>
      <w:pPr>
        <w:jc w:val="center"/>
      </w:pPr>
      <w:r>
        <w:rPr>
          <w:rFonts w:ascii="Times New Roman" w:hAnsi="Times New Roman" w:eastAsia="宋体"/>
          <w:i/>
          <w:color w:val="595959"/>
          <w:sz w:val="21"/>
        </w:rPr>
        <w:t>［原图未能获取：https://substackcdn.com/image/fetch/$s_!mMN8!,w_36,h_36,c_fill,f_auto,q_auto:good,fl_progressive:ste］</w:t>
      </w:r>
    </w:p>
    <w:p>
      <w:pPr>
        <w:jc w:val="center"/>
      </w:pPr>
      <w:r>
        <w:rPr>
          <w:rFonts w:ascii="Times New Roman" w:hAnsi="Times New Roman" w:eastAsia="宋体"/>
          <w:i/>
          <w:color w:val="595959"/>
          <w:sz w:val="21"/>
        </w:rPr>
        <w:t>［原图未能获取：https://substackcdn.com/image/fetch/$s_!vjfm!,w_36,h_36,c_fill,f_auto,q_auto:good,fl_progressive:ste］</w:t>
      </w:r>
    </w:p>
    <w:p>
      <w:pPr>
        <w:jc w:val="center"/>
      </w:pPr>
      <w:r>
        <w:drawing>
          <wp:inline xmlns:a="http://schemas.openxmlformats.org/drawingml/2006/main" xmlns:pic="http://schemas.openxmlformats.org/drawingml/2006/picture">
            <wp:extent cx="457200" cy="457200"/>
            <wp:docPr id="3" name="Picture 3"/>
            <wp:cNvGraphicFramePr>
              <a:graphicFrameLocks noChangeAspect="1"/>
            </wp:cNvGraphicFramePr>
            <a:graphic>
              <a:graphicData uri="http://schemas.openxmlformats.org/drawingml/2006/picture">
                <pic:pic>
                  <pic:nvPicPr>
                    <pic:cNvPr id="0" name="e1c3c1e082589af0.png"/>
                    <pic:cNvPicPr/>
                  </pic:nvPicPr>
                  <pic:blipFill>
                    <a:blip r:embed="rId16"/>
                    <a:stretch>
                      <a:fillRect/>
                    </a:stretch>
                  </pic:blipFill>
                  <pic:spPr>
                    <a:xfrm>
                      <a:off x="0" y="0"/>
                      <a:ext cx="457200" cy="457200"/>
                    </a:xfrm>
                    <a:prstGeom prst="rect"/>
                  </pic:spPr>
                </pic:pic>
              </a:graphicData>
            </a:graphic>
          </wp:inline>
        </w:drawing>
      </w:r>
    </w:p>
    <w:p>
      <w:pPr>
        <w:pStyle w:val="DocCaption"/>
      </w:pPr>
      <w:r>
        <w:t>图5  Raghu Raghuram's avatar</w:t>
      </w:r>
    </w:p>
    <w:p>
      <w:pPr>
        <w:jc w:val="center"/>
      </w:pPr>
      <w:r>
        <w:rPr>
          <w:rFonts w:ascii="Times New Roman" w:hAnsi="Times New Roman" w:eastAsia="宋体"/>
          <w:i/>
          <w:color w:val="595959"/>
          <w:sz w:val="21"/>
        </w:rPr>
        <w:t>［原图未能获取：https://substackcdn.com/image/fetch/$s_!qn5r!,w_36,h_36,c_fill,f_auto,q_auto:good,fl_progressive:ste］</w:t>
      </w:r>
    </w:p>
    <w:p>
      <w:pPr>
        <w:jc w:val="center"/>
      </w:pPr>
      <w:r>
        <w:drawing>
          <wp:inline xmlns:a="http://schemas.openxmlformats.org/drawingml/2006/main" xmlns:pic="http://schemas.openxmlformats.org/drawingml/2006/picture">
            <wp:extent cx="5400000" cy="2403297"/>
            <wp:docPr id="4" name="Picture 4"/>
            <wp:cNvGraphicFramePr>
              <a:graphicFrameLocks noChangeAspect="1"/>
            </wp:cNvGraphicFramePr>
            <a:graphic>
              <a:graphicData uri="http://schemas.openxmlformats.org/drawingml/2006/picture">
                <pic:pic>
                  <pic:nvPicPr>
                    <pic:cNvPr id="0" name="0bdc680117bde823.png"/>
                    <pic:cNvPicPr/>
                  </pic:nvPicPr>
                  <pic:blipFill>
                    <a:blip r:embed="rId17"/>
                    <a:stretch>
                      <a:fillRect/>
                    </a:stretch>
                  </pic:blipFill>
                  <pic:spPr>
                    <a:xfrm>
                      <a:off x="0" y="0"/>
                      <a:ext cx="5400000" cy="2403297"/>
                    </a:xfrm>
                    <a:prstGeom prst="rect"/>
                  </pic:spPr>
                </pic:pic>
              </a:graphicData>
            </a:graphic>
          </wp:inline>
        </w:drawing>
      </w:r>
    </w:p>
    <w:p>
      <w:pPr>
        <w:jc w:val="center"/>
      </w:pPr>
      <w:r>
        <w:rPr>
          <w:rFonts w:ascii="Times New Roman" w:hAnsi="Times New Roman" w:eastAsia="宋体"/>
          <w:i/>
          <w:color w:val="595959"/>
          <w:sz w:val="21"/>
        </w:rPr>
        <w:t>［原图未能获取：https://substackcdn.com/image/fetch/$s_!SU5S!,w_1456,c_limit,f_auto,q_auto:good,fl_progressive:steep］</w:t>
      </w:r>
    </w:p>
    <w:p>
      <w:pPr>
        <w:pStyle w:val="DocBody"/>
      </w:pPr>
      <w:r>
        <w:rPr>
          <w:rFonts w:ascii="Times New Roman" w:hAnsi="Times New Roman" w:eastAsia="宋体"/>
          <w:sz w:val="24"/>
        </w:rPr>
        <w:t xml:space="preserve">We’ve raised </w:t>
      </w:r>
      <w:r>
        <w:rPr>
          <w:rFonts w:ascii="Times New Roman" w:hAnsi="Times New Roman" w:eastAsia="宋体"/>
          <w:b/>
          <w:sz w:val="24"/>
        </w:rPr>
        <w:t>$1.1B for a16z’s newest fund: the Machine Age Fund</w:t>
      </w:r>
      <w:r>
        <w:rPr>
          <w:rFonts w:ascii="Times New Roman" w:hAnsi="Times New Roman" w:eastAsia="宋体"/>
          <w:sz w:val="24"/>
        </w:rPr>
        <w:t>. It’s time to open the throttle and accelerate the physical buildout of AI: the strongest tool ever developed for solving problems and bestowing abundance. It is our social and national imperative.</w:t>
      </w:r>
    </w:p>
    <w:p>
      <w:pPr>
        <w:pStyle w:val="DocBody"/>
      </w:pPr>
      <w:r>
        <w:rPr>
          <w:rFonts w:ascii="Times New Roman" w:hAnsi="Times New Roman" w:eastAsia="宋体"/>
          <w:sz w:val="24"/>
        </w:rPr>
        <w:t>For anyone paying attention, this shouldn’t be a surprise. We’re seeing an upward inflection point in utility and variety of work that AI can do, just over the past year. And as we evolve from chat to reasoning to coding and other forms of knowledge work, both the demand for work and the token intensity of the work increase by orders of magnitude. Machine intelligence is going vertical.</w:t>
      </w:r>
    </w:p>
    <w:p>
      <w:pPr>
        <w:pStyle w:val="DocBody"/>
      </w:pPr>
      <w:r>
        <w:rPr>
          <w:rFonts w:ascii="Times New Roman" w:hAnsi="Times New Roman" w:eastAsia="宋体"/>
          <w:sz w:val="24"/>
        </w:rPr>
        <w:t xml:space="preserve">This fund will invest into all of the computer infrastructure on which AI runs, including chips, memory, networking, and storage. It also includes full systems for running AI: from data centers to robotics to home AI appliances. The common thread among all of these layers of the AI stack is that they are </w:t>
      </w:r>
      <w:r>
        <w:rPr>
          <w:rFonts w:ascii="Times New Roman" w:hAnsi="Times New Roman" w:eastAsia="宋体"/>
          <w:i/>
          <w:sz w:val="24"/>
        </w:rPr>
        <w:t>all</w:t>
      </w:r>
      <w:r>
        <w:rPr>
          <w:rFonts w:ascii="Times New Roman" w:hAnsi="Times New Roman" w:eastAsia="宋体"/>
          <w:sz w:val="24"/>
        </w:rPr>
        <w:t xml:space="preserve"> hitting the wall of today’s supply chain capability, and the limits of physics and computer science. So there is an urgent need for innovation and investment, and a once-in-a-generation opportunity to rearchitect them as platforms, all the way down to the electricity.</w:t>
      </w:r>
    </w:p>
    <w:p>
      <w:pPr>
        <w:pStyle w:val="DocBody"/>
      </w:pPr>
      <w:r>
        <w:rPr>
          <w:rFonts w:ascii="Times New Roman" w:hAnsi="Times New Roman" w:eastAsia="宋体"/>
          <w:sz w:val="24"/>
        </w:rPr>
        <w:t>Reinventions like this happen at each epoch of compute, from the shift from mainframe to client server, to the Internet, cloud and mobile. However, what is different this time is the magnitude and breadth of change needed to keep up with demand, and the speed required to do so. Everything needs an upgrade, now:</w:t>
      </w:r>
    </w:p>
    <w:p>
      <w:pPr>
        <w:pStyle w:val="DocBody"/>
        <w:ind w:left="765"/>
      </w:pPr>
      <w:r>
        <w:rPr>
          <w:rFonts w:ascii="Times New Roman" w:hAnsi="Times New Roman" w:eastAsia="宋体"/>
          <w:sz w:val="24"/>
        </w:rPr>
        <w:t>Compute density per rack increased by 28X from an H100 rack to a Rubin rack.</w:t>
      </w:r>
    </w:p>
    <w:p>
      <w:pPr>
        <w:pStyle w:val="DocBody"/>
        <w:ind w:left="765"/>
      </w:pPr>
      <w:r>
        <w:rPr>
          <w:rFonts w:ascii="Times New Roman" w:hAnsi="Times New Roman" w:eastAsia="宋体"/>
          <w:sz w:val="24"/>
        </w:rPr>
        <w:t>Networking within a rack has grown similarly, hitting the limits of copper cabling</w:t>
      </w:r>
    </w:p>
    <w:p>
      <w:pPr>
        <w:pStyle w:val="DocBody"/>
        <w:ind w:left="765"/>
      </w:pPr>
      <w:r>
        <w:rPr>
          <w:rFonts w:ascii="Times New Roman" w:hAnsi="Times New Roman" w:eastAsia="宋体"/>
          <w:sz w:val="24"/>
        </w:rPr>
        <w:t xml:space="preserve">Rack power moved from roughly 5-10 kW to </w:t>
      </w:r>
      <w:hyperlink r:id="rId18">
        <w:r>
          <w:rPr>
            <w:rFonts w:ascii="Times New Roman" w:hAnsi="Times New Roman" w:eastAsia="宋体"/>
            <w:color w:val="0563C1"/>
            <w:sz w:val="24"/>
            <w:u w:val="single"/>
          </w:rPr>
          <w:t>100-250 kW</w:t>
        </w:r>
      </w:hyperlink>
      <w:r>
        <w:rPr>
          <w:rFonts w:ascii="Times New Roman" w:hAnsi="Times New Roman" w:eastAsia="宋体"/>
          <w:sz w:val="24"/>
        </w:rPr>
        <w:t xml:space="preserve"> to support today’s systems and will increase to 1MW over the next 3 years.</w:t>
      </w:r>
    </w:p>
    <w:p>
      <w:pPr>
        <w:pStyle w:val="DocBody"/>
        <w:ind w:left="765"/>
      </w:pPr>
      <w:r>
        <w:rPr>
          <w:rFonts w:ascii="Times New Roman" w:hAnsi="Times New Roman" w:eastAsia="宋体"/>
          <w:sz w:val="24"/>
        </w:rPr>
        <w:t>Data center scale is moving from tens to hundreds of MW and, in some cases, GW-scale campuses.</w:t>
      </w:r>
    </w:p>
    <w:p>
      <w:pPr>
        <w:pStyle w:val="DocBody"/>
        <w:ind w:left="765"/>
      </w:pPr>
      <w:r>
        <w:rPr>
          <w:rFonts w:ascii="Times New Roman" w:hAnsi="Times New Roman" w:eastAsia="宋体"/>
          <w:sz w:val="24"/>
        </w:rPr>
        <w:t>Power is increasingly supplied not only from grid-only to grid plus behind-the-meter or captive sources.</w:t>
      </w:r>
    </w:p>
    <w:p>
      <w:pPr>
        <w:pStyle w:val="DocBody"/>
      </w:pPr>
      <w:r>
        <w:rPr>
          <w:rFonts w:ascii="Times New Roman" w:hAnsi="Times New Roman" w:eastAsia="宋体"/>
          <w:sz w:val="24"/>
        </w:rPr>
        <w:t>We need faster, more efficient systems. We need cheaper and higher-bandwidth memory across the memory hierarchy. We need faster and more scalable interconnects between nodes and systems. We need power efficient edge devices for AI to explore and interact with the world. And of course we need all the cooling, materials, electrical, and real estate build out to support them. The hardware industry supply side is used to growing 20% to 30% per year at most; not the triple-digit growth that’s needed to catch up with demand. This will change, quickly.</w:t>
      </w:r>
    </w:p>
    <w:p>
      <w:pPr>
        <w:pStyle w:val="DocBody"/>
      </w:pPr>
      <w:r>
        <w:rPr>
          <w:rFonts w:ascii="Times New Roman" w:hAnsi="Times New Roman" w:eastAsia="宋体"/>
          <w:sz w:val="24"/>
        </w:rPr>
        <w:t xml:space="preserve">Founders understand the opportunity. Over the last couple of years </w:t>
      </w:r>
      <w:r>
        <w:rPr>
          <w:rFonts w:ascii="Times New Roman" w:hAnsi="Times New Roman" w:eastAsia="宋体"/>
          <w:b/>
          <w:sz w:val="24"/>
        </w:rPr>
        <w:t>we’ve seen hardware startups grow from a small amount of deal flow to now over 20%.</w:t>
      </w:r>
      <w:r>
        <w:rPr>
          <w:rFonts w:ascii="Times New Roman" w:hAnsi="Times New Roman" w:eastAsia="宋体"/>
          <w:sz w:val="24"/>
        </w:rPr>
        <w:t xml:space="preserve"> While we at a16z are generally known as software investors, we have always paid attention to hardware. Recently we’ve backed a number of hardware companies including Unconventional AI, Nexthop, Volta, Atoms, Heron Power and Mind Robotics. And we have selectively invested in hardware companies since our earliest days. In 2016, we led the series A in Skydio; we invested in SpaceX; we wrote our first check into Anduril in 2019, and were among the first venture investors in Waymo’s 2020 raise.</w:t>
      </w:r>
    </w:p>
    <w:p>
      <w:pPr>
        <w:pStyle w:val="DocBody"/>
      </w:pPr>
      <w:r>
        <w:rPr>
          <w:rFonts w:ascii="Times New Roman" w:hAnsi="Times New Roman" w:eastAsia="宋体"/>
          <w:sz w:val="24"/>
        </w:rPr>
        <w:t>Hardware is in our team DNA, and it’s great to get back to our roots. Guido Appenzeller was the CTO for Intel’s Data Center Group (DPG). Raghu Raghuram and Martin Casado spent multiple decades in the data center space with system software, much of which required deep hardware partnership. Shangda Xu and David George have led investments across the AI infrastructure stack, from silicon and networking to large-scale systems and compute platforms. David Ulevitch and Erin Price-Wright lead many of the firm’s hardware and U.S. manufacturing investments through our American Dynamism practice.</w:t>
      </w:r>
    </w:p>
    <w:p>
      <w:pPr>
        <w:pStyle w:val="DocBody"/>
      </w:pPr>
      <w:r>
        <w:rPr>
          <w:rFonts w:ascii="Times New Roman" w:hAnsi="Times New Roman" w:eastAsia="宋体"/>
          <w:sz w:val="24"/>
        </w:rPr>
        <w:t>We’re excited to make hardware an official motion for a16z and announce the Machine Age Fund to support it. Our GTM, talent, and marketing machine that we’ve built at a16z is now ready to serve hardware founders. And the a16z network has exceptional access to customers, suppliers, and everybody else that’s relevant, for a new age of hardware reinvention.</w:t>
      </w:r>
    </w:p>
    <w:p>
      <w:pPr>
        <w:pStyle w:val="DocBody"/>
      </w:pPr>
      <w:r>
        <w:rPr>
          <w:rFonts w:ascii="Times New Roman" w:hAnsi="Times New Roman" w:eastAsia="宋体"/>
          <w:sz w:val="24"/>
        </w:rPr>
        <w:t>Ambitious founders who are reinventing AI hardware and founding the machine age, please reach out. We’re ready for you.</w:t>
      </w:r>
    </w:p>
    <w:p>
      <w:pPr>
        <w:jc w:val="center"/>
      </w:pPr>
      <w:r>
        <w:drawing>
          <wp:inline xmlns:a="http://schemas.openxmlformats.org/drawingml/2006/main" xmlns:pic="http://schemas.openxmlformats.org/drawingml/2006/picture">
            <wp:extent cx="5400000" cy="274450"/>
            <wp:docPr id="5" name="Picture 5"/>
            <wp:cNvGraphicFramePr>
              <a:graphicFrameLocks noChangeAspect="1"/>
            </wp:cNvGraphicFramePr>
            <a:graphic>
              <a:graphicData uri="http://schemas.openxmlformats.org/drawingml/2006/picture">
                <pic:pic>
                  <pic:nvPicPr>
                    <pic:cNvPr id="0" name="6bfa8a0bacec001a.png"/>
                    <pic:cNvPicPr/>
                  </pic:nvPicPr>
                  <pic:blipFill>
                    <a:blip r:embed="rId19"/>
                    <a:stretch>
                      <a:fillRect/>
                    </a:stretch>
                  </pic:blipFill>
                  <pic:spPr>
                    <a:xfrm>
                      <a:off x="0" y="0"/>
                      <a:ext cx="5400000" cy="274450"/>
                    </a:xfrm>
                    <a:prstGeom prst="rect"/>
                  </pic:spPr>
                </pic:pic>
              </a:graphicData>
            </a:graphic>
          </wp:inline>
        </w:drawing>
      </w:r>
    </w:p>
    <w:p>
      <w:pPr>
        <w:jc w:val="center"/>
      </w:pPr>
      <w:r>
        <w:drawing>
          <wp:inline xmlns:a="http://schemas.openxmlformats.org/drawingml/2006/main" xmlns:pic="http://schemas.openxmlformats.org/drawingml/2006/picture">
            <wp:extent cx="1778400" cy="1778400"/>
            <wp:docPr id="6" name="Picture 6"/>
            <wp:cNvGraphicFramePr>
              <a:graphicFrameLocks noChangeAspect="1"/>
            </wp:cNvGraphicFramePr>
            <a:graphic>
              <a:graphicData uri="http://schemas.openxmlformats.org/drawingml/2006/picture">
                <pic:pic>
                  <pic:nvPicPr>
                    <pic:cNvPr id="0" name="75191782fd4d5225.png"/>
                    <pic:cNvPicPr/>
                  </pic:nvPicPr>
                  <pic:blipFill>
                    <a:blip r:embed="rId20"/>
                    <a:stretch>
                      <a:fillRect/>
                    </a:stretch>
                  </pic:blipFill>
                  <pic:spPr>
                    <a:xfrm>
                      <a:off x="0" y="0"/>
                      <a:ext cx="1778400" cy="1778400"/>
                    </a:xfrm>
                    <a:prstGeom prst="rect"/>
                  </pic:spPr>
                </pic:pic>
              </a:graphicData>
            </a:graphic>
          </wp:inline>
        </w:drawing>
      </w:r>
    </w:p>
    <w:p>
      <w:pPr>
        <w:pStyle w:val="DocCaption"/>
      </w:pPr>
      <w:r>
        <w:t>图10  We raised $15B. Why?</w:t>
      </w:r>
    </w:p>
    <w:p>
      <w:pPr>
        <w:jc w:val="center"/>
      </w:pPr>
      <w:r>
        <w:drawing>
          <wp:inline xmlns:a="http://schemas.openxmlformats.org/drawingml/2006/main" xmlns:pic="http://schemas.openxmlformats.org/drawingml/2006/picture">
            <wp:extent cx="1778400" cy="1778400"/>
            <wp:docPr id="7" name="Picture 7"/>
            <wp:cNvGraphicFramePr>
              <a:graphicFrameLocks noChangeAspect="1"/>
            </wp:cNvGraphicFramePr>
            <a:graphic>
              <a:graphicData uri="http://schemas.openxmlformats.org/drawingml/2006/picture">
                <pic:pic>
                  <pic:nvPicPr>
                    <pic:cNvPr id="0" name="f43a3389971d1c93.png"/>
                    <pic:cNvPicPr/>
                  </pic:nvPicPr>
                  <pic:blipFill>
                    <a:blip r:embed="rId21"/>
                    <a:stretch>
                      <a:fillRect/>
                    </a:stretch>
                  </pic:blipFill>
                  <pic:spPr>
                    <a:xfrm>
                      <a:off x="0" y="0"/>
                      <a:ext cx="1778400" cy="1778400"/>
                    </a:xfrm>
                    <a:prstGeom prst="rect"/>
                  </pic:spPr>
                </pic:pic>
              </a:graphicData>
            </a:graphic>
          </wp:inline>
        </w:drawing>
      </w:r>
    </w:p>
    <w:p>
      <w:pPr>
        <w:pStyle w:val="DocCaption"/>
      </w:pPr>
      <w:r>
        <w:t>图11  You are not a model. Don’t price per token.</w:t>
      </w:r>
    </w:p>
    <w:p>
      <w:pPr>
        <w:pStyle w:val="DocBody"/>
      </w:pPr>
      <w:r>
        <w:rPr>
          <w:rFonts w:ascii="Times New Roman" w:hAnsi="Times New Roman" w:eastAsia="宋体"/>
          <w:sz w:val="24"/>
        </w:rPr>
        <w:t>](https://substackcdn.com/image/fetch/$s_!SU5S!,f_auto,q_auto:good,fl_progressive:steep/https%3A%2F%2Fsubstack-post-media.s3.amazonaws.com%2Fpublic%2Fimages%2F8c68d5c7-8a95-49ea-9c12-8cf7f5f0f1a1_2920x10.png)</w:t>
      </w:r>
    </w:p>
    <w:p>
      <w:pPr>
        <w:pStyle w:val="DocBody"/>
      </w:pPr>
      <w:r>
        <w:rPr>
          <w:rFonts w:ascii="Times New Roman" w:hAnsi="Times New Roman" w:eastAsia="宋体"/>
          <w:sz w:val="24"/>
        </w:rPr>
        <w:t>_This newsletter is provided for informational purposes only, and should not be relied upon as legal, business, investment, or tax advice. Furthermore, this content is not investment advice, nor is it intended for use by any investors or prospective investors in any a16z funds. This newsletter may link to other websites or contain other information obtained from third-party sources - a16z has not independently verified nor makes any representations about the current or enduring accuracy of such information. If this content includes third-party advertisements, a16z has not reviewed such advertisements and does not endorse any advertising content or related companies contained therein. Any investments or portfolio companies mentioned, referred to, or described are not representative of all investments in vehicles managed by a16z; visit</w:t>
      </w:r>
      <w:hyperlink r:id="rId22">
        <w:r>
          <w:rPr>
            <w:rFonts w:ascii="Times New Roman" w:hAnsi="Times New Roman" w:eastAsia="宋体"/>
            <w:color w:val="0563C1"/>
            <w:sz w:val="24"/>
            <w:u w:val="single"/>
          </w:rPr>
          <w:t>https://a16z.com/investment-list/</w:t>
        </w:r>
      </w:hyperlink>
      <w:r>
        <w:rPr>
          <w:rFonts w:ascii="Times New Roman" w:hAnsi="Times New Roman" w:eastAsia="宋体"/>
          <w:sz w:val="24"/>
        </w:rPr>
        <w:t xml:space="preserve"> for a full list of investments. Other important information can be found at </w:t>
      </w:r>
      <w:hyperlink r:id="rId23">
        <w:r>
          <w:rPr>
            <w:rFonts w:ascii="Times New Roman" w:hAnsi="Times New Roman" w:eastAsia="宋体"/>
            <w:color w:val="0563C1"/>
            <w:sz w:val="24"/>
            <w:u w:val="single"/>
          </w:rPr>
          <w:t>a16z.com/disclosures</w:t>
        </w:r>
      </w:hyperlink>
      <w:r>
        <w:rPr>
          <w:rFonts w:ascii="Times New Roman" w:hAnsi="Times New Roman" w:eastAsia="宋体"/>
          <w:sz w:val="24"/>
        </w:rPr>
        <w:t xml:space="preserve">. You’re receiving this newsletter since you opted in earlier; if you would like to opt out of future newsletters you may un, and acknowledge its </w:t>
      </w:r>
      <w:hyperlink r:id="rId14">
        <w:r>
          <w:rPr>
            <w:rFonts w:ascii="Times New Roman" w:hAnsi="Times New Roman" w:eastAsia="宋体"/>
            <w:color w:val="0563C1"/>
            <w:sz w:val="24"/>
            <w:u w:val="single"/>
          </w:rPr>
          <w:t>Information Collection Notice</w:t>
        </w:r>
      </w:hyperlink>
      <w:r>
        <w:rPr>
          <w:rFonts w:ascii="Times New Roman" w:hAnsi="Times New Roman" w:eastAsia="宋体"/>
          <w:sz w:val="24"/>
        </w:rPr>
        <w:t xml:space="preserve"> and </w:t>
      </w:r>
      <w:hyperlink r:id="rId15">
        <w:r>
          <w:rPr>
            <w:rFonts w:ascii="Times New Roman" w:hAnsi="Times New Roman" w:eastAsia="宋体"/>
            <w:color w:val="0563C1"/>
            <w:sz w:val="24"/>
            <w:u w:val="single"/>
          </w:rPr>
          <w:t>Privacy Policy</w:t>
        </w:r>
      </w:hyperlink>
      <w:r>
        <w:rPr>
          <w:rFonts w:ascii="Times New Roman" w:hAnsi="Times New Roman" w:eastAsia="宋体"/>
          <w:sz w:val="24"/>
        </w:rPr>
        <w:t>.</w:t>
      </w:r>
    </w:p>
    <w:p>
      <w:pPr>
        <w:jc w:val="center"/>
      </w:pPr>
      <w:r>
        <w:drawing>
          <wp:inline xmlns:a="http://schemas.openxmlformats.org/drawingml/2006/main" xmlns:pic="http://schemas.openxmlformats.org/drawingml/2006/picture">
            <wp:extent cx="406799" cy="406799"/>
            <wp:docPr id="8" name="Picture 8"/>
            <wp:cNvGraphicFramePr>
              <a:graphicFrameLocks noChangeAspect="1"/>
            </wp:cNvGraphicFramePr>
            <a:graphic>
              <a:graphicData uri="http://schemas.openxmlformats.org/drawingml/2006/picture">
                <pic:pic>
                  <pic:nvPicPr>
                    <pic:cNvPr id="0" name="a1a2aea6bdacbf14.png"/>
                    <pic:cNvPicPr/>
                  </pic:nvPicPr>
                  <pic:blipFill>
                    <a:blip r:embed="rId24"/>
                    <a:stretch>
                      <a:fillRect/>
                    </a:stretch>
                  </pic:blipFill>
                  <pic:spPr>
                    <a:xfrm>
                      <a:off x="0" y="0"/>
                      <a:ext cx="406799" cy="406799"/>
                    </a:xfrm>
                    <a:prstGeom prst="rect"/>
                  </pic:spPr>
                </pic:pic>
              </a:graphicData>
            </a:graphic>
          </wp:inline>
        </w:drawing>
      </w:r>
    </w:p>
    <w:p>
      <w:pPr>
        <w:pStyle w:val="DocCaption"/>
      </w:pPr>
      <w:r>
        <w:t>图12  John Jernigan's avatar</w:t>
      </w:r>
    </w:p>
    <w:p>
      <w:pPr>
        <w:jc w:val="center"/>
      </w:pPr>
      <w:r>
        <w:rPr>
          <w:rFonts w:ascii="Times New Roman" w:hAnsi="Times New Roman" w:eastAsia="宋体"/>
          <w:i/>
          <w:color w:val="595959"/>
          <w:sz w:val="21"/>
        </w:rPr>
        <w:t>［原图未能获取：https://substackcdn.com/image/fetch/$s_!lHN4!,w_32,h_32,c_fill,f_auto,q_auto:good,fl_progressive:ste］</w:t>
      </w:r>
    </w:p>
    <w:p>
      <w:pPr>
        <w:jc w:val="center"/>
      </w:pPr>
      <w:r>
        <w:rPr>
          <w:rFonts w:ascii="Times New Roman" w:hAnsi="Times New Roman" w:eastAsia="宋体"/>
          <w:i/>
          <w:color w:val="595959"/>
          <w:sz w:val="21"/>
        </w:rPr>
        <w:t>［原图未能获取：https://substackcdn.com/image/fetch/$s_!-Cor!,w_32,h_32,c_fill,f_auto,q_auto:good,fl_progressive:ste］</w:t>
      </w:r>
    </w:p>
    <w:p>
      <w:pPr>
        <w:jc w:val="center"/>
      </w:pPr>
      <w:r>
        <w:rPr>
          <w:rFonts w:ascii="Times New Roman" w:hAnsi="Times New Roman" w:eastAsia="宋体"/>
          <w:i/>
          <w:color w:val="595959"/>
          <w:sz w:val="21"/>
        </w:rPr>
        <w:t>［原图未能获取：https://substackcdn.com/image/fetch/$s_!0IOT!,w_32,h_32,c_fill,f_auto,q_auto:good,fl_progressive:ste］</w:t>
      </w:r>
    </w:p>
    <w:p>
      <w:pPr>
        <w:jc w:val="center"/>
      </w:pPr>
      <w:r>
        <w:rPr>
          <w:rFonts w:ascii="Times New Roman" w:hAnsi="Times New Roman" w:eastAsia="宋体"/>
          <w:i/>
          <w:color w:val="595959"/>
          <w:sz w:val="21"/>
        </w:rPr>
        <w:t>［原图未能获取：https://substackcdn.com/image/fetch/$s_!Vndw!,w_32,h_32,c_fill,f_auto,q_auto:good,fl_progressive:ste］</w:t>
      </w:r>
    </w:p>
    <w:p>
      <w:pPr>
        <w:pStyle w:val="DocBody"/>
      </w:pPr>
      <w:r>
        <w:rPr>
          <w:rFonts w:ascii="Times New Roman" w:hAnsi="Times New Roman" w:eastAsia="宋体"/>
          <w:sz w:val="24"/>
        </w:rPr>
        <w:t xml:space="preserve">62 Likes∙ </w:t>
      </w:r>
      <w:hyperlink r:id="rId25">
        <w:r>
          <w:rPr>
            <w:rFonts w:ascii="Times New Roman" w:hAnsi="Times New Roman" w:eastAsia="宋体"/>
            <w:color w:val="0563C1"/>
            <w:sz w:val="24"/>
            <w:u w:val="single"/>
          </w:rPr>
          <w:t>4 Restacks</w:t>
        </w:r>
      </w:hyperlink>
    </w:p>
    <w:p>
      <w:pPr>
        <w:pStyle w:val="DocH1"/>
      </w:pPr>
      <w:r>
        <w:rPr>
          <w:rFonts w:ascii="Times New Roman" w:hAnsi="Times New Roman" w:eastAsia="宋体"/>
          <w:sz w:val="24"/>
        </w:rPr>
        <w:t>Discussion about this post</w:t>
      </w:r>
    </w:p>
    <w:p>
      <w:pPr>
        <w:pStyle w:val="DocBody"/>
      </w:pPr>
      <w:hyperlink r:id="rId26">
        <w:r>
          <w:rPr>
            <w:rFonts w:ascii="Times New Roman" w:hAnsi="Times New Roman" w:eastAsia="宋体"/>
            <w:color w:val="0563C1"/>
            <w:sz w:val="24"/>
            <w:u w:val="single"/>
          </w:rPr>
          <w:t>Dabney Lyles</w:t>
        </w:r>
      </w:hyperlink>
    </w:p>
    <w:p>
      <w:pPr>
        <w:pStyle w:val="DocBody"/>
      </w:pPr>
      <w:hyperlink r:id="rId27">
        <w:r>
          <w:rPr>
            <w:rFonts w:ascii="Times New Roman" w:hAnsi="Times New Roman" w:eastAsia="宋体"/>
            <w:color w:val="0563C1"/>
            <w:sz w:val="24"/>
            <w:u w:val="single"/>
          </w:rPr>
          <w:t>8h</w:t>
        </w:r>
      </w:hyperlink>
    </w:p>
    <w:p>
      <w:pPr>
        <w:pStyle w:val="DocBody"/>
      </w:pPr>
      <w:r>
        <w:rPr>
          <w:rFonts w:ascii="Times New Roman" w:hAnsi="Times New Roman" w:eastAsia="宋体"/>
          <w:sz w:val="24"/>
        </w:rPr>
        <w:t xml:space="preserve">@a16z your narration of AI and a desire to taxidermy people through 'automation' must stop. If you are feeling like a threat to yourself or others, seek the help of a professional. Even </w:t>
      </w:r>
      <w:hyperlink r:id="rId28">
        <w:r>
          <w:rPr>
            <w:rFonts w:ascii="Times New Roman" w:hAnsi="Times New Roman" w:eastAsia="宋体"/>
            <w:color w:val="0563C1"/>
            <w:sz w:val="24"/>
            <w:u w:val="single"/>
          </w:rPr>
          <w:t>betterhelp.com/</w:t>
        </w:r>
      </w:hyperlink>
      <w:r>
        <w:rPr>
          <w:rFonts w:ascii="Times New Roman" w:hAnsi="Times New Roman" w:eastAsia="宋体"/>
          <w:sz w:val="24"/>
        </w:rPr>
        <w:t xml:space="preserve"> might stil be good.</w:t>
      </w:r>
    </w:p>
    <w:p>
      <w:pPr>
        <w:jc w:val="center"/>
      </w:pPr>
      <w:r>
        <w:rPr>
          <w:rFonts w:ascii="Times New Roman" w:hAnsi="Times New Roman" w:eastAsia="宋体"/>
          <w:i/>
          <w:color w:val="595959"/>
          <w:sz w:val="21"/>
        </w:rPr>
        <w:t>［原图未能获取：https://substackcdn.com/image/fetch/$s_!L3cy!,w_32,h_32,c_fill,f_auto,q_auto:good,fl_progressive:ste］</w:t>
      </w:r>
    </w:p>
    <w:p>
      <w:pPr>
        <w:pStyle w:val="DocBody"/>
      </w:pPr>
      <w:hyperlink r:id="rId29">
        <w:r>
          <w:rPr>
            <w:rFonts w:ascii="Times New Roman" w:hAnsi="Times New Roman" w:eastAsia="宋体"/>
            <w:color w:val="0563C1"/>
            <w:sz w:val="24"/>
            <w:u w:val="single"/>
          </w:rPr>
          <w:t>likhith</w:t>
        </w:r>
      </w:hyperlink>
    </w:p>
    <w:p>
      <w:pPr>
        <w:pStyle w:val="DocBody"/>
      </w:pPr>
      <w:hyperlink r:id="rId30">
        <w:r>
          <w:rPr>
            <w:rFonts w:ascii="Times New Roman" w:hAnsi="Times New Roman" w:eastAsia="宋体"/>
            <w:color w:val="0563C1"/>
            <w:sz w:val="24"/>
            <w:u w:val="single"/>
          </w:rPr>
          <w:t>9h</w:t>
        </w:r>
      </w:hyperlink>
    </w:p>
    <w:p>
      <w:pPr>
        <w:pStyle w:val="DocBody"/>
      </w:pPr>
      <w:r>
        <w:rPr>
          <w:rFonts w:ascii="Times New Roman" w:hAnsi="Times New Roman" w:eastAsia="宋体"/>
          <w:sz w:val="24"/>
        </w:rPr>
        <w:t>"bestowing abundance"</w:t>
      </w:r>
    </w:p>
    <w:p>
      <w:pPr>
        <w:pStyle w:val="DocBody"/>
      </w:pPr>
      <w:r>
        <w:rPr>
          <w:rFonts w:ascii="Times New Roman" w:hAnsi="Times New Roman" w:eastAsia="宋体"/>
          <w:sz w:val="24"/>
        </w:rPr>
        <w:t xml:space="preserve">[Like (1)](javascript:void(0))ReplyShare </w:t>
      </w:r>
      <w:hyperlink r:id="rId31">
        <w:r>
          <w:rPr>
            <w:rFonts w:ascii="Times New Roman" w:hAnsi="Times New Roman" w:eastAsia="宋体"/>
            <w:color w:val="0563C1"/>
            <w:sz w:val="24"/>
            <w:u w:val="single"/>
          </w:rPr>
          <w:t>3 more comments...</w:t>
        </w:r>
      </w:hyperlink>
    </w:p>
    <w:p>
      <w:pPr>
        <w:pStyle w:val="DocBody"/>
      </w:pPr>
      <w:r>
        <w:rPr>
          <w:rFonts w:ascii="Times New Roman" w:hAnsi="Times New Roman" w:eastAsia="宋体"/>
          <w:sz w:val="24"/>
        </w:rPr>
        <w:t xml:space="preserve">TopLatestDiscussions </w:t>
      </w:r>
      <w:hyperlink r:id="rId32">
        <w:r>
          <w:rPr>
            <w:rFonts w:ascii="Times New Roman" w:hAnsi="Times New Roman" w:eastAsia="宋体"/>
            <w:color w:val="0563C1"/>
            <w:sz w:val="24"/>
            <w:u w:val="single"/>
          </w:rPr>
          <w:t xml:space="preserve">Charts of the Week: SaaSpocalypse Interrupted </w:t>
        </w:r>
      </w:hyperlink>
    </w:p>
    <w:p>
      <w:pPr>
        <w:pStyle w:val="DocBody"/>
      </w:pPr>
      <w:hyperlink r:id="rId32">
        <w:r>
          <w:rPr>
            <w:rFonts w:ascii="Times New Roman" w:hAnsi="Times New Roman" w:eastAsia="宋体"/>
            <w:color w:val="0563C1"/>
            <w:sz w:val="24"/>
            <w:u w:val="single"/>
          </w:rPr>
          <w:t>Consumer AI: Room to Run; Ads Come for Everything; Trucks Are Busy; Earnings Go Up, Prices Go Down</w:t>
        </w:r>
      </w:hyperlink>
    </w:p>
    <w:p>
      <w:pPr>
        <w:pStyle w:val="DocBody"/>
      </w:pPr>
      <w:r>
        <w:rPr>
          <w:rFonts w:ascii="Times New Roman" w:hAnsi="Times New Roman" w:eastAsia="宋体"/>
          <w:sz w:val="24"/>
        </w:rPr>
        <w:t xml:space="preserve">Apr 3 • </w:t>
      </w:r>
      <w:hyperlink r:id="rId33">
        <w:r>
          <w:rPr>
            <w:rFonts w:ascii="Times New Roman" w:hAnsi="Times New Roman" w:eastAsia="宋体"/>
            <w:color w:val="0563C1"/>
            <w:sz w:val="24"/>
            <w:u w:val="single"/>
          </w:rPr>
          <w:t>a16z New Media</w:t>
        </w:r>
      </w:hyperlink>
    </w:p>
    <w:p>
      <w:pPr>
        <w:jc w:val="center"/>
      </w:pPr>
      <w:r>
        <w:drawing>
          <wp:inline xmlns:a="http://schemas.openxmlformats.org/drawingml/2006/main" xmlns:pic="http://schemas.openxmlformats.org/drawingml/2006/picture">
            <wp:extent cx="4064399" cy="2705366"/>
            <wp:docPr id="9" name="Picture 9"/>
            <wp:cNvGraphicFramePr>
              <a:graphicFrameLocks noChangeAspect="1"/>
            </wp:cNvGraphicFramePr>
            <a:graphic>
              <a:graphicData uri="http://schemas.openxmlformats.org/drawingml/2006/picture">
                <pic:pic>
                  <pic:nvPicPr>
                    <pic:cNvPr id="0" name="c11d5ca530aba491.png"/>
                    <pic:cNvPicPr/>
                  </pic:nvPicPr>
                  <pic:blipFill>
                    <a:blip r:embed="rId34"/>
                    <a:stretch>
                      <a:fillRect/>
                    </a:stretch>
                  </pic:blipFill>
                  <pic:spPr>
                    <a:xfrm>
                      <a:off x="0" y="0"/>
                      <a:ext cx="4064399" cy="2705366"/>
                    </a:xfrm>
                    <a:prstGeom prst="rect"/>
                  </pic:spPr>
                </pic:pic>
              </a:graphicData>
            </a:graphic>
          </wp:inline>
        </w:drawing>
      </w:r>
    </w:p>
    <w:p>
      <w:pPr>
        <w:pStyle w:val="DocBody"/>
      </w:pPr>
      <w:hyperlink r:id="rId35">
        <w:r>
          <w:rPr>
            <w:rFonts w:ascii="Times New Roman" w:hAnsi="Times New Roman" w:eastAsia="宋体"/>
            <w:color w:val="0563C1"/>
            <w:sz w:val="24"/>
            <w:u w:val="single"/>
          </w:rPr>
          <w:t>The Palantirization of everything</w:t>
        </w:r>
      </w:hyperlink>
    </w:p>
    <w:p>
      <w:pPr>
        <w:pStyle w:val="DocBody"/>
      </w:pPr>
      <w:hyperlink r:id="rId35">
        <w:r>
          <w:rPr>
            <w:rFonts w:ascii="Times New Roman" w:hAnsi="Times New Roman" w:eastAsia="宋体"/>
            <w:color w:val="0563C1"/>
            <w:sz w:val="24"/>
            <w:u w:val="single"/>
          </w:rPr>
          <w:t>Pairing enterprise software with high-touch delivery</w:t>
        </w:r>
      </w:hyperlink>
    </w:p>
    <w:p>
      <w:pPr>
        <w:pStyle w:val="DocBody"/>
      </w:pPr>
      <w:r>
        <w:rPr>
          <w:rFonts w:ascii="Times New Roman" w:hAnsi="Times New Roman" w:eastAsia="宋体"/>
          <w:sz w:val="24"/>
        </w:rPr>
        <w:t xml:space="preserve">Jan 16 • </w:t>
      </w:r>
      <w:hyperlink r:id="rId36">
        <w:r>
          <w:rPr>
            <w:rFonts w:ascii="Times New Roman" w:hAnsi="Times New Roman" w:eastAsia="宋体"/>
            <w:color w:val="0563C1"/>
            <w:sz w:val="24"/>
            <w:u w:val="single"/>
          </w:rPr>
          <w:t>Marc Andrusko</w:t>
        </w:r>
      </w:hyperlink>
    </w:p>
    <w:p>
      <w:pPr>
        <w:jc w:val="center"/>
      </w:pPr>
      <w:r>
        <w:drawing>
          <wp:inline xmlns:a="http://schemas.openxmlformats.org/drawingml/2006/main" xmlns:pic="http://schemas.openxmlformats.org/drawingml/2006/picture">
            <wp:extent cx="4064399" cy="2705366"/>
            <wp:docPr id="10" name="Picture 10"/>
            <wp:cNvGraphicFramePr>
              <a:graphicFrameLocks noChangeAspect="1"/>
            </wp:cNvGraphicFramePr>
            <a:graphic>
              <a:graphicData uri="http://schemas.openxmlformats.org/drawingml/2006/picture">
                <pic:pic>
                  <pic:nvPicPr>
                    <pic:cNvPr id="0" name="2cc3e3028baf7e53.png"/>
                    <pic:cNvPicPr/>
                  </pic:nvPicPr>
                  <pic:blipFill>
                    <a:blip r:embed="rId37"/>
                    <a:stretch>
                      <a:fillRect/>
                    </a:stretch>
                  </pic:blipFill>
                  <pic:spPr>
                    <a:xfrm>
                      <a:off x="0" y="0"/>
                      <a:ext cx="4064399" cy="2705366"/>
                    </a:xfrm>
                    <a:prstGeom prst="rect"/>
                  </pic:spPr>
                </pic:pic>
              </a:graphicData>
            </a:graphic>
          </wp:inline>
        </w:drawing>
      </w:r>
    </w:p>
    <w:p>
      <w:pPr>
        <w:pStyle w:val="DocBody"/>
      </w:pPr>
      <w:hyperlink r:id="rId38">
        <w:r>
          <w:rPr>
            <w:rFonts w:ascii="Times New Roman" w:hAnsi="Times New Roman" w:eastAsia="宋体"/>
            <w:color w:val="0563C1"/>
            <w:sz w:val="24"/>
            <w:u w:val="single"/>
          </w:rPr>
          <w:t>Big Ideas 2026: Part 1</w:t>
        </w:r>
      </w:hyperlink>
    </w:p>
    <w:p>
      <w:pPr>
        <w:pStyle w:val="DocBody"/>
      </w:pPr>
      <w:hyperlink r:id="rId38">
        <w:r>
          <w:rPr>
            <w:rFonts w:ascii="Times New Roman" w:hAnsi="Times New Roman" w:eastAsia="宋体"/>
            <w:color w:val="0563C1"/>
            <w:sz w:val="24"/>
            <w:u w:val="single"/>
          </w:rPr>
          <w:t>The biggest problems builders will tackle in 2026, according to our partners</w:t>
        </w:r>
      </w:hyperlink>
    </w:p>
    <w:p>
      <w:pPr>
        <w:pStyle w:val="DocBody"/>
      </w:pPr>
      <w:r>
        <w:rPr>
          <w:rFonts w:ascii="Times New Roman" w:hAnsi="Times New Roman" w:eastAsia="宋体"/>
          <w:sz w:val="24"/>
        </w:rPr>
        <w:t xml:space="preserve">Dec 9, 2025 • </w:t>
      </w:r>
      <w:hyperlink r:id="rId33">
        <w:r>
          <w:rPr>
            <w:rFonts w:ascii="Times New Roman" w:hAnsi="Times New Roman" w:eastAsia="宋体"/>
            <w:color w:val="0563C1"/>
            <w:sz w:val="24"/>
            <w:u w:val="single"/>
          </w:rPr>
          <w:t>a16z New Media</w:t>
        </w:r>
      </w:hyperlink>
    </w:p>
    <w:p>
      <w:pPr>
        <w:jc w:val="center"/>
      </w:pPr>
      <w:r>
        <w:drawing>
          <wp:inline xmlns:a="http://schemas.openxmlformats.org/drawingml/2006/main" xmlns:pic="http://schemas.openxmlformats.org/drawingml/2006/picture">
            <wp:extent cx="4064399" cy="2705366"/>
            <wp:docPr id="11" name="Picture 11"/>
            <wp:cNvGraphicFramePr>
              <a:graphicFrameLocks noChangeAspect="1"/>
            </wp:cNvGraphicFramePr>
            <a:graphic>
              <a:graphicData uri="http://schemas.openxmlformats.org/drawingml/2006/picture">
                <pic:pic>
                  <pic:nvPicPr>
                    <pic:cNvPr id="0" name="e2999c71743cf65e.png"/>
                    <pic:cNvPicPr/>
                  </pic:nvPicPr>
                  <pic:blipFill>
                    <a:blip r:embed="rId39"/>
                    <a:stretch>
                      <a:fillRect/>
                    </a:stretch>
                  </pic:blipFill>
                  <pic:spPr>
                    <a:xfrm>
                      <a:off x="0" y="0"/>
                      <a:ext cx="4064399" cy="2705366"/>
                    </a:xfrm>
                    <a:prstGeom prst="rect"/>
                  </pic:spPr>
                </pic:pic>
              </a:graphicData>
            </a:graphic>
          </wp:inline>
        </w:drawing>
      </w:r>
    </w:p>
    <w:p>
      <w:pPr>
        <w:pStyle w:val="DocBody"/>
      </w:pPr>
      <w:r>
        <w:rPr>
          <w:rFonts w:ascii="Times New Roman" w:hAnsi="Times New Roman" w:eastAsia="宋体"/>
          <w:sz w:val="24"/>
        </w:rPr>
        <w:t>See all</w:t>
      </w:r>
    </w:p>
    <w:p>
      <w:pPr>
        <w:pStyle w:val="DocH1"/>
      </w:pPr>
      <w:r>
        <w:rPr>
          <w:rFonts w:ascii="Times New Roman" w:hAnsi="Times New Roman" w:eastAsia="宋体"/>
          <w:sz w:val="24"/>
        </w:rPr>
        <w:t>Ready for more?</w:t>
      </w:r>
    </w:p>
    <w:p>
      <w:pPr>
        <w:pStyle w:val="DocBody"/>
      </w:pPr>
      <w:r>
        <w:rPr>
          <w:rFonts w:ascii="Times New Roman" w:hAnsi="Times New Roman" w:eastAsia="宋体"/>
          <w:sz w:val="24"/>
        </w:rPr>
        <w:t xml:space="preserve">∙ </w:t>
      </w:r>
      <w:hyperlink r:id="rId40">
        <w:r>
          <w:rPr>
            <w:rFonts w:ascii="Times New Roman" w:hAnsi="Times New Roman" w:eastAsia="宋体"/>
            <w:color w:val="0563C1"/>
            <w:sz w:val="24"/>
            <w:u w:val="single"/>
          </w:rPr>
          <w:t>Terms</w:t>
        </w:r>
      </w:hyperlink>
      <w:r>
        <w:rPr>
          <w:rFonts w:ascii="Times New Roman" w:hAnsi="Times New Roman" w:eastAsia="宋体"/>
          <w:sz w:val="24"/>
        </w:rPr>
        <w:t xml:space="preserve"> ∙ </w:t>
      </w:r>
      <w:hyperlink r:id="rId14">
        <w:r>
          <w:rPr>
            <w:rFonts w:ascii="Times New Roman" w:hAnsi="Times New Roman" w:eastAsia="宋体"/>
            <w:color w:val="0563C1"/>
            <w:sz w:val="24"/>
            <w:u w:val="single"/>
          </w:rPr>
          <w:t>Collection notice</w:t>
        </w:r>
      </w:hyperlink>
    </w:p>
    <w:p>
      <w:pPr>
        <w:pStyle w:val="DocBody"/>
      </w:pPr>
      <w:hyperlink r:id="rId41">
        <w:r>
          <w:rPr>
            <w:rFonts w:ascii="Times New Roman" w:hAnsi="Times New Roman" w:eastAsia="宋体"/>
            <w:color w:val="0563C1"/>
            <w:sz w:val="24"/>
            <w:u w:val="single"/>
          </w:rPr>
          <w:t xml:space="preserve"> Start your Substack</w:t>
        </w:r>
      </w:hyperlink>
      <w:hyperlink r:id="rId42">
        <w:r>
          <w:rPr>
            <w:rFonts w:ascii="Times New Roman" w:hAnsi="Times New Roman" w:eastAsia="宋体"/>
            <w:color w:val="0563C1"/>
            <w:sz w:val="24"/>
            <w:u w:val="single"/>
          </w:rPr>
          <w:t>Get the app</w:t>
        </w:r>
      </w:hyperlink>
    </w:p>
    <w:p>
      <w:pPr>
        <w:pStyle w:val="DocBody"/>
      </w:pPr>
      <w:hyperlink r:id="rId43">
        <w:r>
          <w:rPr>
            <w:rFonts w:ascii="Times New Roman" w:hAnsi="Times New Roman" w:eastAsia="宋体"/>
            <w:color w:val="0563C1"/>
            <w:sz w:val="24"/>
            <w:u w:val="single"/>
          </w:rPr>
          <w:t>Substack</w:t>
        </w:r>
      </w:hyperlink>
      <w:r>
        <w:rPr>
          <w:rFonts w:ascii="Times New Roman" w:hAnsi="Times New Roman" w:eastAsia="宋体"/>
          <w:sz w:val="24"/>
        </w:rPr>
        <w:t xml:space="preserve"> is the home for great culture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16z.news/p/the-machine-age-fun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substack.com/ccpa#personal-data-collected" TargetMode="External"/><Relationship Id="rId15" Type="http://schemas.openxmlformats.org/officeDocument/2006/relationships/hyperlink" Target="https://substack.com/privacy"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yperlink" Target="https://developer.nvidia.com/blog/nvidia-800-v-hvdc-architecture-will-power-the-next-generation-of-ai-factories/"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a16z.com/investment-list/" TargetMode="External"/><Relationship Id="rId23" Type="http://schemas.openxmlformats.org/officeDocument/2006/relationships/hyperlink" Target="http://a16z.com/disclosures" TargetMode="External"/><Relationship Id="rId24" Type="http://schemas.openxmlformats.org/officeDocument/2006/relationships/image" Target="media/image8.png"/><Relationship Id="rId25" Type="http://schemas.openxmlformats.org/officeDocument/2006/relationships/hyperlink" Target="https://substack.com/note/p-213007838/restacks" TargetMode="External"/><Relationship Id="rId26" Type="http://schemas.openxmlformats.org/officeDocument/2006/relationships/hyperlink" Target="https://substack.com/profile/510964246-dabney-lyles" TargetMode="External"/><Relationship Id="rId27" Type="http://schemas.openxmlformats.org/officeDocument/2006/relationships/hyperlink" Target="https://www.a16z.news/p/the-machine-age-fund/comment/324548076" TargetMode="External"/><Relationship Id="rId28" Type="http://schemas.openxmlformats.org/officeDocument/2006/relationships/hyperlink" Target="http://betterhelp.com/" TargetMode="External"/><Relationship Id="rId29" Type="http://schemas.openxmlformats.org/officeDocument/2006/relationships/hyperlink" Target="https://substack.com/profile/131775412-likhith" TargetMode="External"/><Relationship Id="rId30" Type="http://schemas.openxmlformats.org/officeDocument/2006/relationships/hyperlink" Target="https://www.a16z.news/p/the-machine-age-fund/comment/324512676" TargetMode="External"/><Relationship Id="rId31" Type="http://schemas.openxmlformats.org/officeDocument/2006/relationships/hyperlink" Target="https://www.a16z.news/p/the-machine-age-fund/comments" TargetMode="External"/><Relationship Id="rId32" Type="http://schemas.openxmlformats.org/officeDocument/2006/relationships/hyperlink" Target="https://www.a16z.news/p/charts-of-the-week-saaspocalypse" TargetMode="External"/><Relationship Id="rId33" Type="http://schemas.openxmlformats.org/officeDocument/2006/relationships/hyperlink" Target="https://substack.com/@a16znewmedia" TargetMode="External"/><Relationship Id="rId34" Type="http://schemas.openxmlformats.org/officeDocument/2006/relationships/image" Target="media/image9.png"/><Relationship Id="rId35" Type="http://schemas.openxmlformats.org/officeDocument/2006/relationships/hyperlink" Target="https://www.a16z.news/p/the-palantirization-of-everything" TargetMode="External"/><Relationship Id="rId36" Type="http://schemas.openxmlformats.org/officeDocument/2006/relationships/hyperlink" Target="https://substack.com/@marcandrusko" TargetMode="External"/><Relationship Id="rId37" Type="http://schemas.openxmlformats.org/officeDocument/2006/relationships/image" Target="media/image10.png"/><Relationship Id="rId38" Type="http://schemas.openxmlformats.org/officeDocument/2006/relationships/hyperlink" Target="https://www.a16z.news/p/big-ideas-2026-part-1" TargetMode="External"/><Relationship Id="rId39" Type="http://schemas.openxmlformats.org/officeDocument/2006/relationships/image" Target="media/image11.png"/><Relationship Id="rId40" Type="http://schemas.openxmlformats.org/officeDocument/2006/relationships/hyperlink" Target="https://substack.com/tos" TargetMode="External"/><Relationship Id="rId41" Type="http://schemas.openxmlformats.org/officeDocument/2006/relationships/hyperlink" Target="https://substack.com/signup" TargetMode="External"/><Relationship Id="rId42" Type="http://schemas.openxmlformats.org/officeDocument/2006/relationships/hyperlink" Target="https://substack.com/app/app-store-redirect" TargetMode="External"/><Relationship Id="rId43" Type="http://schemas.openxmlformats.org/officeDocument/2006/relationships/hyperlink" Target="https://sub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Machine Age Fund</dc:title>
  <dc:subject/>
  <dc:creator>briefing-article-kb</dc:creator>
  <cp:keywords/>
  <dc:description>https://www.a16z.news/p/the-machine-age-fund</dc:description>
  <cp:lastModifiedBy/>
  <cp:revision>1</cp:revision>
  <dcterms:created xsi:type="dcterms:W3CDTF">2013-12-23T23:15:00Z</dcterms:created>
  <dcterms:modified xsi:type="dcterms:W3CDTF">2013-12-23T23:15:00Z</dcterms:modified>
  <cp:category/>
</cp:coreProperties>
</file>