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AtlanticCouncil（Atlantic Council）</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In space, everyone can hear you stream: Challenges ahead of the corporate space data race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https://www.atlanticcouncil.org/blogs/geotech-cues/in-space-everyone-can-hear-you-stream-challenges-ahead-of-the-corporate-space-data-race/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B003-017-Atlantic council -in-space-everyone-can-hear-you-stream-challenges-202608.md</w:t>
            </w:r>
          </w:p>
        </w:tc>
      </w:tr>
    </w:tbl>
    <w:p/>
    <w:p>
      <w:pPr>
        <w:pStyle w:val="DocTitle"/>
      </w:pPr>
      <w:r>
        <w:t>In space, everyone can hear you stream: Challenges ahead of the corporate space data race</w:t>
      </w:r>
    </w:p>
    <w:p>
      <w:pPr>
        <w:pStyle w:val="DocH1"/>
      </w:pPr>
      <w:r>
        <w:rPr>
          <w:rFonts w:ascii="Times New Roman" w:hAnsi="Times New Roman" w:eastAsia="宋体"/>
          <w:sz w:val="24"/>
        </w:rPr>
        <w:t>Share</w:t>
      </w:r>
    </w:p>
    <w:p>
      <w:pPr>
        <w:pStyle w:val="DocBody"/>
      </w:pPr>
      <w:r>
        <w:rPr>
          <w:rFonts w:ascii="Times New Roman" w:hAnsi="Times New Roman" w:eastAsia="宋体"/>
          <w:sz w:val="24"/>
        </w:rPr>
        <w:t xml:space="preserve">Close Mail  </w:t>
      </w:r>
      <w:hyperlink r:id="rId12">
        <w:r>
          <w:rPr>
            <w:rFonts w:ascii="Times New Roman" w:hAnsi="Times New Roman" w:eastAsia="宋体"/>
            <w:color w:val="0563C1"/>
            <w:sz w:val="24"/>
            <w:u w:val="single"/>
          </w:rPr>
          <w:t xml:space="preserve"> Facebook </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 xml:space="preserve"> Twitter / X </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 xml:space="preserve"> LinkedIn </w:t>
        </w:r>
      </w:hyperlink>
    </w:p>
    <w:p>
      <w:pPr>
        <w:jc w:val="center"/>
      </w:pPr>
      <w:r>
        <w:drawing>
          <wp:inline xmlns:a="http://schemas.openxmlformats.org/drawingml/2006/main" xmlns:pic="http://schemas.openxmlformats.org/drawingml/2006/picture">
            <wp:extent cx="5400000" cy="3592266"/>
            <wp:docPr id="1" name="Picture 1"/>
            <wp:cNvGraphicFramePr>
              <a:graphicFrameLocks noChangeAspect="1"/>
            </wp:cNvGraphicFramePr>
            <a:graphic>
              <a:graphicData uri="http://schemas.openxmlformats.org/drawingml/2006/picture">
                <pic:pic>
                  <pic:nvPicPr>
                    <pic:cNvPr id="0" name="bb6620c1c304bd46.jpg"/>
                    <pic:cNvPicPr/>
                  </pic:nvPicPr>
                  <pic:blipFill>
                    <a:blip r:embed="rId15"/>
                    <a:stretch>
                      <a:fillRect/>
                    </a:stretch>
                  </pic:blipFill>
                  <pic:spPr>
                    <a:xfrm>
                      <a:off x="0" y="0"/>
                      <a:ext cx="5400000" cy="3592266"/>
                    </a:xfrm>
                    <a:prstGeom prst="rect"/>
                  </pic:spPr>
                </pic:pic>
              </a:graphicData>
            </a:graphic>
          </wp:inline>
        </w:drawing>
      </w:r>
    </w:p>
    <w:p>
      <w:pPr>
        <w:pStyle w:val="DocBody"/>
      </w:pPr>
      <w:r>
        <w:rPr>
          <w:rFonts w:ascii="Times New Roman" w:hAnsi="Times New Roman" w:eastAsia="宋体"/>
          <w:sz w:val="24"/>
        </w:rPr>
        <w:t xml:space="preserve">As the public debate over data centers heats up on planet Earth, companies are already considering launching them into orbit. SpaceX is </w:t>
      </w:r>
      <w:hyperlink r:id="rId16">
        <w:r>
          <w:rPr>
            <w:rFonts w:ascii="Times New Roman" w:hAnsi="Times New Roman" w:eastAsia="宋体"/>
            <w:color w:val="0563C1"/>
            <w:sz w:val="24"/>
            <w:u w:val="single"/>
          </w:rPr>
          <w:t>on the front lines</w:t>
        </w:r>
      </w:hyperlink>
      <w:r>
        <w:rPr>
          <w:rFonts w:ascii="Times New Roman" w:hAnsi="Times New Roman" w:eastAsia="宋体"/>
          <w:sz w:val="24"/>
        </w:rPr>
        <w:t xml:space="preserve"> of this push, but it is </w:t>
      </w:r>
      <w:hyperlink r:id="rId17">
        <w:r>
          <w:rPr>
            <w:rFonts w:ascii="Times New Roman" w:hAnsi="Times New Roman" w:eastAsia="宋体"/>
            <w:color w:val="0563C1"/>
            <w:sz w:val="24"/>
            <w:u w:val="single"/>
          </w:rPr>
          <w:t>far from the only company</w:t>
        </w:r>
      </w:hyperlink>
      <w:r>
        <w:rPr>
          <w:rFonts w:ascii="Times New Roman" w:hAnsi="Times New Roman" w:eastAsia="宋体"/>
          <w:sz w:val="24"/>
        </w:rPr>
        <w:t xml:space="preserve"> considering orbital compute and storage. Its </w:t>
      </w:r>
      <w:hyperlink r:id="rId18">
        <w:r>
          <w:rPr>
            <w:rFonts w:ascii="Times New Roman" w:hAnsi="Times New Roman" w:eastAsia="宋体"/>
            <w:color w:val="0563C1"/>
            <w:sz w:val="24"/>
            <w:u w:val="single"/>
          </w:rPr>
          <w:t>record-breaking $85 billion</w:t>
        </w:r>
      </w:hyperlink>
      <w:r>
        <w:rPr>
          <w:rFonts w:ascii="Times New Roman" w:hAnsi="Times New Roman" w:eastAsia="宋体"/>
          <w:sz w:val="24"/>
        </w:rPr>
        <w:t xml:space="preserve"> initial public offering (IPO) demonstrates how much of the new space economy is now being driven by private companies rather than governments.</w:t>
      </w:r>
    </w:p>
    <w:p>
      <w:pPr>
        <w:pStyle w:val="DocBody"/>
      </w:pPr>
      <w:r>
        <w:rPr>
          <w:rFonts w:ascii="Times New Roman" w:hAnsi="Times New Roman" w:eastAsia="宋体"/>
          <w:sz w:val="24"/>
        </w:rPr>
        <w:t>Such a shift raises a serious and unprecedented governance problem. If companies store and process data beyond national borders, who owns the data once it leaves Earth? Is it the company operating the infrastructure, the country where that company is headquartered, or investors who hold a large portion of that company’s value?</w:t>
      </w:r>
    </w:p>
    <w:p>
      <w:pPr>
        <w:pStyle w:val="DocH1"/>
      </w:pPr>
      <w:r>
        <w:rPr>
          <w:rFonts w:ascii="Times New Roman" w:hAnsi="Times New Roman" w:eastAsia="宋体"/>
          <w:b/>
          <w:sz w:val="24"/>
        </w:rPr>
        <w:t>The data behind space data</w:t>
      </w:r>
    </w:p>
    <w:p>
      <w:pPr>
        <w:pStyle w:val="DocBody"/>
      </w:pPr>
      <w:r>
        <w:rPr>
          <w:rFonts w:ascii="Times New Roman" w:hAnsi="Times New Roman" w:eastAsia="宋体"/>
          <w:sz w:val="24"/>
        </w:rPr>
        <w:t xml:space="preserve">The space economy has transformed since the first commercial communications satellite, Intelsat I, entered orbit in 1965. The mid-century space race pitted the United States against the Soviet Union—two diametrically opposed superpowers reaching for the stars to demonstrate their power on Earth. Today’s space race is defined by private innovators, who have </w:t>
      </w:r>
      <w:hyperlink r:id="rId19">
        <w:r>
          <w:rPr>
            <w:rFonts w:ascii="Times New Roman" w:hAnsi="Times New Roman" w:eastAsia="宋体"/>
            <w:color w:val="0563C1"/>
            <w:sz w:val="24"/>
            <w:u w:val="single"/>
          </w:rPr>
          <w:t>demonstrated organic tissue printing</w:t>
        </w:r>
      </w:hyperlink>
      <w:r>
        <w:rPr>
          <w:rFonts w:ascii="Times New Roman" w:hAnsi="Times New Roman" w:eastAsia="宋体"/>
          <w:sz w:val="24"/>
        </w:rPr>
        <w:t xml:space="preserve"> and </w:t>
      </w:r>
      <w:hyperlink r:id="rId20">
        <w:r>
          <w:rPr>
            <w:rFonts w:ascii="Times New Roman" w:hAnsi="Times New Roman" w:eastAsia="宋体"/>
            <w:color w:val="0563C1"/>
            <w:sz w:val="24"/>
            <w:u w:val="single"/>
          </w:rPr>
          <w:t>food cultivation</w:t>
        </w:r>
      </w:hyperlink>
      <w:r>
        <w:rPr>
          <w:rFonts w:ascii="Times New Roman" w:hAnsi="Times New Roman" w:eastAsia="宋体"/>
          <w:sz w:val="24"/>
        </w:rPr>
        <w:t xml:space="preserve"> in space, while exploring </w:t>
      </w:r>
      <w:hyperlink r:id="rId21">
        <w:r>
          <w:rPr>
            <w:rFonts w:ascii="Times New Roman" w:hAnsi="Times New Roman" w:eastAsia="宋体"/>
            <w:color w:val="0563C1"/>
            <w:sz w:val="24"/>
            <w:u w:val="single"/>
          </w:rPr>
          <w:t>asteroid mining</w:t>
        </w:r>
      </w:hyperlink>
      <w:r>
        <w:rPr>
          <w:rFonts w:ascii="Times New Roman" w:hAnsi="Times New Roman" w:eastAsia="宋体"/>
          <w:sz w:val="24"/>
        </w:rPr>
        <w:t xml:space="preserve"> to take advantage of unique orbital conditions and resources. Cheaper launch costs, modern manufacturing techniques, and advanced robotics are </w:t>
      </w:r>
      <w:hyperlink r:id="rId22">
        <w:r>
          <w:rPr>
            <w:rFonts w:ascii="Times New Roman" w:hAnsi="Times New Roman" w:eastAsia="宋体"/>
            <w:color w:val="0563C1"/>
            <w:sz w:val="24"/>
            <w:u w:val="single"/>
          </w:rPr>
          <w:t>lowering barriers</w:t>
        </w:r>
      </w:hyperlink>
      <w:r>
        <w:rPr>
          <w:rFonts w:ascii="Times New Roman" w:hAnsi="Times New Roman" w:eastAsia="宋体"/>
          <w:sz w:val="24"/>
        </w:rPr>
        <w:t xml:space="preserve"> to reaching orbit.</w:t>
      </w:r>
    </w:p>
    <w:p>
      <w:pPr>
        <w:pStyle w:val="DocBody"/>
      </w:pPr>
      <w:r>
        <w:rPr>
          <w:rFonts w:ascii="Times New Roman" w:hAnsi="Times New Roman" w:eastAsia="宋体"/>
          <w:sz w:val="24"/>
        </w:rPr>
        <w:t xml:space="preserve">Orbital data centers may be a more nascent venture, but space offers a compelling opportunity to reduce some of the </w:t>
      </w:r>
      <w:hyperlink r:id="rId23">
        <w:r>
          <w:rPr>
            <w:rFonts w:ascii="Times New Roman" w:hAnsi="Times New Roman" w:eastAsia="宋体"/>
            <w:color w:val="0563C1"/>
            <w:sz w:val="24"/>
            <w:u w:val="single"/>
          </w:rPr>
          <w:t>environmental and community impacts</w:t>
        </w:r>
      </w:hyperlink>
      <w:r>
        <w:rPr>
          <w:rFonts w:ascii="Times New Roman" w:hAnsi="Times New Roman" w:eastAsia="宋体"/>
          <w:sz w:val="24"/>
        </w:rPr>
        <w:t xml:space="preserve"> of terrestrial construction and operation. With growing concerns over impacts on power grids and water availability, space-based data centers could ease the burden on utilities and reduce local opposition.</w:t>
      </w:r>
    </w:p>
    <w:p>
      <w:pPr>
        <w:pStyle w:val="DocBody"/>
      </w:pPr>
      <w:r>
        <w:rPr>
          <w:rFonts w:ascii="Times New Roman" w:hAnsi="Times New Roman" w:eastAsia="宋体"/>
          <w:sz w:val="24"/>
        </w:rPr>
        <w:t xml:space="preserve">SpaceX is just one of several companies exploring this technology, but it enjoys a clear advantage thanks to the scale of its Starlink constellation, which offers </w:t>
      </w:r>
      <w:hyperlink r:id="rId24">
        <w:r>
          <w:rPr>
            <w:rFonts w:ascii="Times New Roman" w:hAnsi="Times New Roman" w:eastAsia="宋体"/>
            <w:color w:val="0563C1"/>
            <w:sz w:val="24"/>
            <w:u w:val="single"/>
          </w:rPr>
          <w:t>orbital computing power</w:t>
        </w:r>
      </w:hyperlink>
      <w:r>
        <w:rPr>
          <w:rFonts w:ascii="Times New Roman" w:hAnsi="Times New Roman" w:eastAsia="宋体"/>
          <w:sz w:val="24"/>
        </w:rPr>
        <w:t xml:space="preserve">. Deploying and operating space-based data centers </w:t>
      </w:r>
      <w:hyperlink r:id="rId25">
        <w:r>
          <w:rPr>
            <w:rFonts w:ascii="Times New Roman" w:hAnsi="Times New Roman" w:eastAsia="宋体"/>
            <w:color w:val="0563C1"/>
            <w:sz w:val="24"/>
            <w:u w:val="single"/>
          </w:rPr>
          <w:t>could cost seven to ten times more</w:t>
        </w:r>
      </w:hyperlink>
      <w:r>
        <w:rPr>
          <w:rFonts w:ascii="Times New Roman" w:hAnsi="Times New Roman" w:eastAsia="宋体"/>
          <w:sz w:val="24"/>
        </w:rPr>
        <w:t xml:space="preserve"> than their terrestrial counterparts—and vital </w:t>
      </w:r>
      <w:hyperlink r:id="rId26">
        <w:r>
          <w:rPr>
            <w:rFonts w:ascii="Times New Roman" w:hAnsi="Times New Roman" w:eastAsia="宋体"/>
            <w:color w:val="0563C1"/>
            <w:sz w:val="24"/>
            <w:u w:val="single"/>
          </w:rPr>
          <w:t>cooling issues remain unresolved</w:t>
        </w:r>
      </w:hyperlink>
      <w:r>
        <w:rPr>
          <w:rFonts w:ascii="Times New Roman" w:hAnsi="Times New Roman" w:eastAsia="宋体"/>
          <w:sz w:val="24"/>
        </w:rPr>
        <w:t>—but SpaceX could cut that premium by more than half by leveraging edge compute capacity across the Starlink fleet.</w:t>
      </w:r>
    </w:p>
    <w:p>
      <w:pPr>
        <w:pStyle w:val="DocH1"/>
      </w:pPr>
      <w:r>
        <w:rPr>
          <w:rFonts w:ascii="Times New Roman" w:hAnsi="Times New Roman" w:eastAsia="宋体"/>
          <w:sz w:val="24"/>
        </w:rPr>
        <w:t>Ghost owners in the skies</w:t>
      </w:r>
    </w:p>
    <w:p>
      <w:pPr>
        <w:pStyle w:val="DocBody"/>
      </w:pPr>
      <w:r>
        <w:rPr>
          <w:rFonts w:ascii="Times New Roman" w:hAnsi="Times New Roman" w:eastAsia="宋体"/>
          <w:sz w:val="24"/>
        </w:rPr>
        <w:t>American companies dominate this economy, but this preeminence may not last. Strategic competitors and emerging middle powers with deep pockets are building substantial leverage over US-launched space infrastructure and the data it could store. Complicated supply chain and financial ties raise difficult questions about who ultimately holds influence over the emerging space economy.</w:t>
      </w:r>
    </w:p>
    <w:p>
      <w:pPr>
        <w:pStyle w:val="DocBody"/>
      </w:pPr>
      <w:r>
        <w:rPr>
          <w:rFonts w:ascii="Times New Roman" w:hAnsi="Times New Roman" w:eastAsia="宋体"/>
          <w:sz w:val="24"/>
        </w:rPr>
        <w:t xml:space="preserve">Chinese launch capabilities, satellites, and deep space networks are increasingly capturing market share—and are already having a terrestrial </w:t>
      </w:r>
      <w:hyperlink r:id="rId27">
        <w:r>
          <w:rPr>
            <w:rFonts w:ascii="Times New Roman" w:hAnsi="Times New Roman" w:eastAsia="宋体"/>
            <w:color w:val="0563C1"/>
            <w:sz w:val="24"/>
            <w:u w:val="single"/>
          </w:rPr>
          <w:t>impact</w:t>
        </w:r>
      </w:hyperlink>
      <w:r>
        <w:rPr>
          <w:rFonts w:ascii="Times New Roman" w:hAnsi="Times New Roman" w:eastAsia="宋体"/>
          <w:sz w:val="24"/>
        </w:rPr>
        <w:t xml:space="preserve">. China also </w:t>
      </w:r>
      <w:hyperlink r:id="rId28">
        <w:r>
          <w:rPr>
            <w:rFonts w:ascii="Times New Roman" w:hAnsi="Times New Roman" w:eastAsia="宋体"/>
            <w:color w:val="0563C1"/>
            <w:sz w:val="24"/>
            <w:u w:val="single"/>
          </w:rPr>
          <w:t>holds a considerable share of “upstream” space supply</w:t>
        </w:r>
      </w:hyperlink>
      <w:r>
        <w:rPr>
          <w:rFonts w:ascii="Times New Roman" w:hAnsi="Times New Roman" w:eastAsia="宋体"/>
          <w:sz w:val="24"/>
        </w:rPr>
        <w:t xml:space="preserve"> chains through its state-owned mining, refining, and shipping monopolies.</w:t>
      </w:r>
    </w:p>
    <w:p>
      <w:pPr>
        <w:pStyle w:val="DocBody"/>
      </w:pPr>
      <w:r>
        <w:rPr>
          <w:rFonts w:ascii="Times New Roman" w:hAnsi="Times New Roman" w:eastAsia="宋体"/>
          <w:sz w:val="24"/>
        </w:rPr>
        <w:t xml:space="preserve">When it comes to financing the global space economy, China isn’t the only player. Gulf investors reportedly anchored more than one-fifth of SpaceX’s IPO. Saudi Arabia’s Public Investment Fund (PIF), the Kuwait Investment Authority, the Qatar Investment Authority, Abu Dhabi’s MGX and Mubadala, and the Oman Investment Authority reportedly </w:t>
      </w:r>
      <w:hyperlink r:id="rId29">
        <w:r>
          <w:rPr>
            <w:rFonts w:ascii="Times New Roman" w:hAnsi="Times New Roman" w:eastAsia="宋体"/>
            <w:color w:val="0563C1"/>
            <w:sz w:val="24"/>
            <w:u w:val="single"/>
          </w:rPr>
          <w:t>purchased IPO stakes</w:t>
        </w:r>
      </w:hyperlink>
      <w:r>
        <w:rPr>
          <w:rFonts w:ascii="Times New Roman" w:hAnsi="Times New Roman" w:eastAsia="宋体"/>
          <w:sz w:val="24"/>
        </w:rPr>
        <w:t xml:space="preserve"> estimated at $15 billion to $17 billion.</w:t>
      </w:r>
    </w:p>
    <w:p>
      <w:pPr>
        <w:pStyle w:val="DocBody"/>
      </w:pPr>
      <w:r>
        <w:rPr>
          <w:rFonts w:ascii="Times New Roman" w:hAnsi="Times New Roman" w:eastAsia="宋体"/>
          <w:sz w:val="24"/>
        </w:rPr>
        <w:t xml:space="preserve">Gulf capital also reaches China’s space and technology firms. Saudi Aramco’s venture arm, Prosperity7 Ventures, raised </w:t>
      </w:r>
      <w:hyperlink r:id="rId30">
        <w:r>
          <w:rPr>
            <w:rFonts w:ascii="Times New Roman" w:hAnsi="Times New Roman" w:eastAsia="宋体"/>
            <w:color w:val="0563C1"/>
            <w:sz w:val="24"/>
            <w:u w:val="single"/>
          </w:rPr>
          <w:t>$83 million for Chinese firm Orienspace</w:t>
        </w:r>
      </w:hyperlink>
      <w:r>
        <w:rPr>
          <w:rFonts w:ascii="Times New Roman" w:hAnsi="Times New Roman" w:eastAsia="宋体"/>
          <w:sz w:val="24"/>
        </w:rPr>
        <w:t xml:space="preserve">. The PIF also reportedly has </w:t>
      </w:r>
      <w:hyperlink r:id="rId31">
        <w:r>
          <w:rPr>
            <w:rFonts w:ascii="Times New Roman" w:hAnsi="Times New Roman" w:eastAsia="宋体"/>
            <w:color w:val="0563C1"/>
            <w:sz w:val="24"/>
            <w:u w:val="single"/>
          </w:rPr>
          <w:t>invested billions into Chinese private equity firms</w:t>
        </w:r>
      </w:hyperlink>
      <w:r>
        <w:rPr>
          <w:rFonts w:ascii="Times New Roman" w:hAnsi="Times New Roman" w:eastAsia="宋体"/>
          <w:sz w:val="24"/>
        </w:rPr>
        <w:t xml:space="preserve"> like HongShan (formerly Sequoia Capital China) and Hillhouse Capital, which have in turn invested widely in Chinese space companies.</w:t>
      </w:r>
    </w:p>
    <w:p>
      <w:pPr>
        <w:pStyle w:val="DocBody"/>
      </w:pPr>
      <w:r>
        <w:rPr>
          <w:rFonts w:ascii="Times New Roman" w:hAnsi="Times New Roman" w:eastAsia="宋体"/>
          <w:sz w:val="24"/>
        </w:rPr>
        <w:t>Funding both sides of the corporate space race does not itself give Gulf investors explicit control over the infrastructure or its data, but it could position them to become data brokers to the stars. If a Gulf-backed company eventually builds an orbital network that routes data across a US-owned Starlink constellation and a Chinese-owned satellite mesh, for instance, it could become an important intermediary in how data moves. The physical location of the server would be irrelevant, and the data would be governed by an opaque corporate contract.</w:t>
      </w:r>
    </w:p>
    <w:p>
      <w:pPr>
        <w:pStyle w:val="DocBody"/>
      </w:pPr>
      <w:r>
        <w:rPr>
          <w:rFonts w:ascii="Times New Roman" w:hAnsi="Times New Roman" w:eastAsia="宋体"/>
          <w:sz w:val="24"/>
        </w:rPr>
        <w:t>In such a cloudy and complicated system, determining who governs data and who has access to it could become considerably more difficult.</w:t>
      </w:r>
    </w:p>
    <w:p>
      <w:pPr>
        <w:pStyle w:val="DocH1"/>
      </w:pPr>
      <w:r>
        <w:rPr>
          <w:rFonts w:ascii="Times New Roman" w:hAnsi="Times New Roman" w:eastAsia="宋体"/>
          <w:b/>
          <w:sz w:val="24"/>
        </w:rPr>
        <w:t>The void: missing legislation and international coordination</w:t>
      </w:r>
    </w:p>
    <w:p>
      <w:pPr>
        <w:pStyle w:val="DocBody"/>
      </w:pPr>
      <w:r>
        <w:rPr>
          <w:rFonts w:ascii="Times New Roman" w:hAnsi="Times New Roman" w:eastAsia="宋体"/>
          <w:sz w:val="24"/>
        </w:rPr>
        <w:t xml:space="preserve">Part of the problem is that the legal architecture governing space was built for a different era. As the international space race was heating up, the United Nations adopted several measures in the </w:t>
      </w:r>
      <w:hyperlink r:id="rId32">
        <w:r>
          <w:rPr>
            <w:rFonts w:ascii="Times New Roman" w:hAnsi="Times New Roman" w:eastAsia="宋体"/>
            <w:color w:val="0563C1"/>
            <w:sz w:val="24"/>
            <w:u w:val="single"/>
          </w:rPr>
          <w:t>1967 Outer Space Treaty</w:t>
        </w:r>
      </w:hyperlink>
      <w:r>
        <w:rPr>
          <w:rFonts w:ascii="Times New Roman" w:hAnsi="Times New Roman" w:eastAsia="宋体"/>
          <w:sz w:val="24"/>
        </w:rPr>
        <w:t xml:space="preserve"> that (more or less) defined ownership of objects launched into space. In essence, governments bear responsibility for the satellites they (or their private companies) launch. The UN relied on launching states to work out ownership and governance of space infrastructure among themselves.</w:t>
      </w:r>
    </w:p>
    <w:p>
      <w:pPr>
        <w:pStyle w:val="DocBody"/>
      </w:pPr>
      <w:r>
        <w:rPr>
          <w:rFonts w:ascii="Times New Roman" w:hAnsi="Times New Roman" w:eastAsia="宋体"/>
          <w:sz w:val="24"/>
        </w:rPr>
        <w:t>But space data is not launched. There is therefore no legal framework governing who owns it, how it is used, and where it goes.</w:t>
      </w:r>
    </w:p>
    <w:p>
      <w:pPr>
        <w:pStyle w:val="DocBody"/>
      </w:pPr>
      <w:r>
        <w:rPr>
          <w:rFonts w:ascii="Times New Roman" w:hAnsi="Times New Roman" w:eastAsia="宋体"/>
          <w:sz w:val="24"/>
        </w:rPr>
        <w:t xml:space="preserve">While states may agree on data-sharing provisions through space—the EU’s </w:t>
      </w:r>
      <w:hyperlink r:id="rId33">
        <w:r>
          <w:rPr>
            <w:rFonts w:ascii="Times New Roman" w:hAnsi="Times New Roman" w:eastAsia="宋体"/>
            <w:color w:val="0563C1"/>
            <w:sz w:val="24"/>
            <w:u w:val="single"/>
          </w:rPr>
          <w:t>General Data Protection Regulation</w:t>
        </w:r>
      </w:hyperlink>
      <w:r>
        <w:rPr>
          <w:rFonts w:ascii="Times New Roman" w:hAnsi="Times New Roman" w:eastAsia="宋体"/>
          <w:sz w:val="24"/>
        </w:rPr>
        <w:t xml:space="preserve"> (GDPR) has such guidelines—there is no framework that governs how data transfers across space systems owned and operated by corporations. Companies backed by sovereign wealth funds or quasi-state vehicles are serving multiple masters.</w:t>
      </w:r>
    </w:p>
    <w:p>
      <w:pPr>
        <w:pStyle w:val="DocBody"/>
      </w:pPr>
      <w:r>
        <w:rPr>
          <w:rFonts w:ascii="Times New Roman" w:hAnsi="Times New Roman" w:eastAsia="宋体"/>
          <w:sz w:val="24"/>
        </w:rPr>
        <w:t xml:space="preserve">This becomes especially complicated with derived data. Axiom Space successfully </w:t>
      </w:r>
      <w:hyperlink r:id="rId34">
        <w:r>
          <w:rPr>
            <w:rFonts w:ascii="Times New Roman" w:hAnsi="Times New Roman" w:eastAsia="宋体"/>
            <w:color w:val="0563C1"/>
            <w:sz w:val="24"/>
            <w:u w:val="single"/>
          </w:rPr>
          <w:t>launched</w:t>
        </w:r>
      </w:hyperlink>
      <w:r>
        <w:rPr>
          <w:rFonts w:ascii="Times New Roman" w:hAnsi="Times New Roman" w:eastAsia="宋体"/>
          <w:sz w:val="24"/>
        </w:rPr>
        <w:t xml:space="preserve"> its first dedicated orbital data center nodes in January 2026, and the startup Starcloud successfully trained the first </w:t>
      </w:r>
      <w:hyperlink r:id="rId35">
        <w:r>
          <w:rPr>
            <w:rFonts w:ascii="Times New Roman" w:hAnsi="Times New Roman" w:eastAsia="宋体"/>
            <w:color w:val="0563C1"/>
            <w:sz w:val="24"/>
            <w:u w:val="single"/>
          </w:rPr>
          <w:t>large language model</w:t>
        </w:r>
      </w:hyperlink>
      <w:r>
        <w:rPr>
          <w:rFonts w:ascii="Times New Roman" w:hAnsi="Times New Roman" w:eastAsia="宋体"/>
          <w:sz w:val="24"/>
        </w:rPr>
        <w:t xml:space="preserve"> in space in late 2025. SpaceX is touting a </w:t>
      </w:r>
      <w:hyperlink r:id="rId16">
        <w:r>
          <w:rPr>
            <w:rFonts w:ascii="Times New Roman" w:hAnsi="Times New Roman" w:eastAsia="宋体"/>
            <w:color w:val="0563C1"/>
            <w:sz w:val="24"/>
            <w:u w:val="single"/>
          </w:rPr>
          <w:t>plan</w:t>
        </w:r>
      </w:hyperlink>
      <w:r>
        <w:rPr>
          <w:rFonts w:ascii="Times New Roman" w:hAnsi="Times New Roman" w:eastAsia="宋体"/>
          <w:sz w:val="24"/>
        </w:rPr>
        <w:t xml:space="preserve"> to place one million artificial intelligence (AI) satellites in space in the coming years. As orbital computing becomes more capable, these AI models could generate altogether new insights.</w:t>
      </w:r>
    </w:p>
    <w:p>
      <w:pPr>
        <w:pStyle w:val="DocBody"/>
      </w:pPr>
      <w:r>
        <w:rPr>
          <w:rFonts w:ascii="Times New Roman" w:hAnsi="Times New Roman" w:eastAsia="宋体"/>
          <w:sz w:val="24"/>
        </w:rPr>
        <w:t>It is not clear who owns the data these space-bound centers will process: Is it SpaceX, the sovereign wealth funds that invest in it, or the states they fly over? Without borders and legal frameworks, the skies could become a tax haven for data. Companies could use personal data to train models without clear legal oversight; both corporations and states could surveil human activities on a stellar scale.</w:t>
      </w:r>
    </w:p>
    <w:p>
      <w:pPr>
        <w:pStyle w:val="DocH1"/>
      </w:pPr>
      <w:r>
        <w:rPr>
          <w:rFonts w:ascii="Times New Roman" w:hAnsi="Times New Roman" w:eastAsia="宋体"/>
          <w:sz w:val="24"/>
        </w:rPr>
        <w:t>What Washington should do now</w:t>
      </w:r>
    </w:p>
    <w:p>
      <w:pPr>
        <w:pStyle w:val="DocBody"/>
      </w:pPr>
      <w:r>
        <w:rPr>
          <w:rFonts w:ascii="Times New Roman" w:hAnsi="Times New Roman" w:eastAsia="宋体"/>
          <w:sz w:val="24"/>
        </w:rPr>
        <w:t>These gaps leave policymakers with a narrowing window to set rules for orbital data before the technology scales.</w:t>
      </w:r>
    </w:p>
    <w:p>
      <w:pPr>
        <w:pStyle w:val="DocBody"/>
        <w:ind w:left="765"/>
      </w:pPr>
      <w:r>
        <w:rPr>
          <w:rFonts w:ascii="Times New Roman" w:hAnsi="Times New Roman" w:eastAsia="宋体"/>
          <w:b/>
          <w:sz w:val="24"/>
        </w:rPr>
        <w:t>The executive branch should sharpen scrutiny of space investments:</w:t>
      </w:r>
      <w:r>
        <w:rPr>
          <w:rFonts w:ascii="Times New Roman" w:hAnsi="Times New Roman" w:eastAsia="宋体"/>
          <w:sz w:val="24"/>
        </w:rPr>
        <w:t xml:space="preserve"> Nine US federal agencies are voting members of the Committee on Foreign Investment in the United States (CFIUS), led by the Department of the Treasury. CFIUS is tasked with assessing foreign investments in US companies for national security risks. These agencies should coordinate with the Department of Commerce’s Office of Space Commerce, US Space Command, National Reconnaissance Office, and other agencies to extend CFIUS reviews to US space companies and data partnerships. This could be part of a space data executive order, following the </w:t>
      </w:r>
      <w:hyperlink r:id="rId36">
        <w:r>
          <w:rPr>
            <w:rFonts w:ascii="Times New Roman" w:hAnsi="Times New Roman" w:eastAsia="宋体"/>
            <w:color w:val="0563C1"/>
            <w:sz w:val="24"/>
            <w:u w:val="single"/>
          </w:rPr>
          <w:t>June order</w:t>
        </w:r>
      </w:hyperlink>
      <w:r>
        <w:rPr>
          <w:rFonts w:ascii="Times New Roman" w:hAnsi="Times New Roman" w:eastAsia="宋体"/>
          <w:sz w:val="24"/>
        </w:rPr>
        <w:t xml:space="preserve"> covering frontier AI models.</w:t>
      </w:r>
    </w:p>
    <w:p>
      <w:pPr>
        <w:pStyle w:val="DocBody"/>
        <w:ind w:left="765"/>
      </w:pPr>
      <w:r>
        <w:rPr>
          <w:rFonts w:ascii="Times New Roman" w:hAnsi="Times New Roman" w:eastAsia="宋体"/>
          <w:b/>
          <w:sz w:val="24"/>
        </w:rPr>
        <w:t>Congress should write legislation that clearly protects American data:</w:t>
      </w:r>
      <w:r>
        <w:rPr>
          <w:rFonts w:ascii="Times New Roman" w:hAnsi="Times New Roman" w:eastAsia="宋体"/>
          <w:sz w:val="24"/>
        </w:rPr>
        <w:t xml:space="preserve"> It is unlikely the Trump administration or Congress will push for robust data guidelines akin to the EU’s GDPR. However, both have a role in crafting legislation governing how American data outside US jurisdiction is stored, processed, and transferred. Separately, a careful review of whether SpaceX’s growing role in critical space infrastructure could constitute a </w:t>
      </w:r>
      <w:hyperlink r:id="rId37">
        <w:r>
          <w:rPr>
            <w:rFonts w:ascii="Times New Roman" w:hAnsi="Times New Roman" w:eastAsia="宋体"/>
            <w:color w:val="0563C1"/>
            <w:sz w:val="24"/>
            <w:u w:val="single"/>
          </w:rPr>
          <w:t>defense-critical monopoly</w:t>
        </w:r>
      </w:hyperlink>
      <w:r>
        <w:rPr>
          <w:rFonts w:ascii="Times New Roman" w:hAnsi="Times New Roman" w:eastAsia="宋体"/>
          <w:sz w:val="24"/>
        </w:rPr>
        <w:t xml:space="preserve"> is long overdue.</w:t>
      </w:r>
    </w:p>
    <w:p>
      <w:pPr>
        <w:pStyle w:val="DocBody"/>
        <w:ind w:left="765"/>
      </w:pPr>
      <w:r>
        <w:rPr>
          <w:rFonts w:ascii="Times New Roman" w:hAnsi="Times New Roman" w:eastAsia="宋体"/>
          <w:b/>
          <w:sz w:val="24"/>
        </w:rPr>
        <w:t>The State Department should shape international coordinating bodies for space data:</w:t>
      </w:r>
      <w:r>
        <w:rPr>
          <w:rFonts w:ascii="Times New Roman" w:hAnsi="Times New Roman" w:eastAsia="宋体"/>
          <w:sz w:val="24"/>
        </w:rPr>
        <w:t xml:space="preserve"> While fora like the International Telecommunication Union exist to </w:t>
      </w:r>
      <w:hyperlink r:id="rId38">
        <w:r>
          <w:rPr>
            <w:rFonts w:ascii="Times New Roman" w:hAnsi="Times New Roman" w:eastAsia="宋体"/>
            <w:color w:val="0563C1"/>
            <w:sz w:val="24"/>
            <w:u w:val="single"/>
          </w:rPr>
          <w:t>coordinate terrestrial data and AI issues</w:t>
        </w:r>
      </w:hyperlink>
      <w:r>
        <w:rPr>
          <w:rFonts w:ascii="Times New Roman" w:hAnsi="Times New Roman" w:eastAsia="宋体"/>
          <w:sz w:val="24"/>
        </w:rPr>
        <w:t xml:space="preserve">, they are not yet addressing space data governance. This effort, however, relies on reinvigorating US participation in international fora after a period of intentional withdrawal. China, by contrast, </w:t>
      </w:r>
      <w:hyperlink r:id="rId39">
        <w:r>
          <w:rPr>
            <w:rFonts w:ascii="Times New Roman" w:hAnsi="Times New Roman" w:eastAsia="宋体"/>
            <w:color w:val="0563C1"/>
            <w:sz w:val="24"/>
            <w:u w:val="single"/>
          </w:rPr>
          <w:t>has moved swiftly</w:t>
        </w:r>
      </w:hyperlink>
      <w:r>
        <w:rPr>
          <w:rFonts w:ascii="Times New Roman" w:hAnsi="Times New Roman" w:eastAsia="宋体"/>
          <w:sz w:val="24"/>
        </w:rPr>
        <w:t xml:space="preserve"> to secure seats on and shape the agendas of these international bodies.</w:t>
      </w:r>
    </w:p>
    <w:p>
      <w:pPr>
        <w:pStyle w:val="DocBody"/>
        <w:ind w:left="765"/>
      </w:pPr>
      <w:r>
        <w:rPr>
          <w:rFonts w:ascii="Times New Roman" w:hAnsi="Times New Roman" w:eastAsia="宋体"/>
          <w:b/>
          <w:sz w:val="24"/>
        </w:rPr>
        <w:t>Civil society groups should press to protect data in transit:</w:t>
      </w:r>
      <w:r>
        <w:rPr>
          <w:rFonts w:ascii="Times New Roman" w:hAnsi="Times New Roman" w:eastAsia="宋体"/>
          <w:sz w:val="24"/>
        </w:rPr>
        <w:t xml:space="preserve"> Unencrypted satellite transmissions expose sensitive data to interception. Data owners should demand advanced encryption protections and the option to opt out of space-based storage.</w:t>
      </w:r>
    </w:p>
    <w:p>
      <w:pPr>
        <w:pStyle w:val="DocBody"/>
        <w:ind w:left="765"/>
      </w:pPr>
      <w:r>
        <w:rPr>
          <w:rFonts w:ascii="Times New Roman" w:hAnsi="Times New Roman" w:eastAsia="宋体"/>
          <w:b/>
          <w:sz w:val="24"/>
        </w:rPr>
        <w:t>Industry should strengthen shared collision-avoidance and characterization measures:</w:t>
      </w:r>
      <w:r>
        <w:rPr>
          <w:rFonts w:ascii="Times New Roman" w:hAnsi="Times New Roman" w:eastAsia="宋体"/>
          <w:sz w:val="24"/>
        </w:rPr>
        <w:t xml:space="preserve"> With </w:t>
      </w:r>
      <w:hyperlink r:id="rId40">
        <w:r>
          <w:rPr>
            <w:rFonts w:ascii="Times New Roman" w:hAnsi="Times New Roman" w:eastAsia="宋体"/>
            <w:color w:val="0563C1"/>
            <w:sz w:val="24"/>
            <w:u w:val="single"/>
          </w:rPr>
          <w:t>nearly 18,000</w:t>
        </w:r>
      </w:hyperlink>
      <w:r>
        <w:rPr>
          <w:rFonts w:ascii="Times New Roman" w:hAnsi="Times New Roman" w:eastAsia="宋体"/>
          <w:sz w:val="24"/>
        </w:rPr>
        <w:t xml:space="preserve"> satellites in orbit, deconfliction standards and monitoring capabilities are necessary to preserve a safe operational environment.</w:t>
      </w:r>
    </w:p>
    <w:p>
      <w:pPr>
        <w:pStyle w:val="DocBody"/>
        <w:ind w:left="765"/>
      </w:pPr>
      <w:r>
        <w:rPr>
          <w:rFonts w:ascii="Times New Roman" w:hAnsi="Times New Roman" w:eastAsia="宋体"/>
          <w:b/>
          <w:sz w:val="24"/>
        </w:rPr>
        <w:t>Industry and international fora should clarify liability and dispute-resolution frameworks:</w:t>
      </w:r>
      <w:r>
        <w:rPr>
          <w:rFonts w:ascii="Times New Roman" w:hAnsi="Times New Roman" w:eastAsia="宋体"/>
          <w:sz w:val="24"/>
        </w:rPr>
        <w:t xml:space="preserve"> Fault attribution for risks like collisions and service disruptions </w:t>
      </w:r>
      <w:hyperlink r:id="rId41">
        <w:r>
          <w:rPr>
            <w:rFonts w:ascii="Times New Roman" w:hAnsi="Times New Roman" w:eastAsia="宋体"/>
            <w:color w:val="0563C1"/>
            <w:sz w:val="24"/>
            <w:u w:val="single"/>
          </w:rPr>
          <w:t>largely depends on state-to-state mechanisms</w:t>
        </w:r>
      </w:hyperlink>
      <w:r>
        <w:rPr>
          <w:rFonts w:ascii="Times New Roman" w:hAnsi="Times New Roman" w:eastAsia="宋体"/>
          <w:sz w:val="24"/>
        </w:rPr>
        <w:t>, under which the “launching state” is responsible for claims on behalf of companies. States should establish clearer domestic rules and arbitration mechanisms and demonstrate a willingness to defend firms in international disputes. Doing so could make these jurisdictions more attractive for investment and operations.</w:t>
      </w:r>
    </w:p>
    <w:p>
      <w:pPr>
        <w:pStyle w:val="DocBody"/>
      </w:pPr>
      <w:r>
        <w:rPr>
          <w:rFonts w:ascii="Times New Roman" w:hAnsi="Times New Roman" w:eastAsia="宋体"/>
          <w:sz w:val="24"/>
        </w:rPr>
        <w:t xml:space="preserve">The </w:t>
      </w:r>
      <w:hyperlink r:id="rId42">
        <w:r>
          <w:rPr>
            <w:rFonts w:ascii="Times New Roman" w:hAnsi="Times New Roman" w:eastAsia="宋体"/>
            <w:b/>
            <w:color w:val="0563C1"/>
            <w:sz w:val="24"/>
            <w:u w:val="single"/>
          </w:rPr>
          <w:t>GeoTech Center</w:t>
        </w:r>
      </w:hyperlink>
      <w:r>
        <w:rPr>
          <w:rFonts w:ascii="Times New Roman" w:hAnsi="Times New Roman" w:eastAsia="宋体"/>
          <w:sz w:val="24"/>
        </w:rPr>
        <w:t xml:space="preserve"> champions positive paths forward that societies can pursue to ensure new technologies and data empower people, prosperity, and peace.</w:t>
      </w:r>
    </w:p>
    <w:p>
      <w:pPr>
        <w:pStyle w:val="DocBody"/>
      </w:pPr>
      <w:hyperlink r:id="rId42">
        <w:r>
          <w:rPr>
            <w:rFonts w:ascii="Times New Roman" w:hAnsi="Times New Roman" w:eastAsia="宋体"/>
            <w:color w:val="0563C1"/>
            <w:sz w:val="24"/>
            <w:u w:val="single"/>
          </w:rPr>
          <w:t>Learn more</w:t>
        </w:r>
      </w:hyperlink>
    </w:p>
    <w:p>
      <w:pPr>
        <w:pStyle w:val="DocH1"/>
      </w:pPr>
      <w:r>
        <w:rPr>
          <w:rFonts w:ascii="Times New Roman" w:hAnsi="Times New Roman" w:eastAsia="宋体"/>
          <w:sz w:val="24"/>
        </w:rPr>
        <w:t>Further reading</w:t>
      </w:r>
    </w:p>
    <w:p>
      <w:pPr>
        <w:jc w:val="center"/>
      </w:pPr>
      <w:r>
        <w:drawing>
          <wp:inline xmlns:a="http://schemas.openxmlformats.org/drawingml/2006/main" xmlns:pic="http://schemas.openxmlformats.org/drawingml/2006/picture">
            <wp:extent cx="1522800" cy="1065960"/>
            <wp:docPr id="2" name="Picture 2"/>
            <wp:cNvGraphicFramePr>
              <a:graphicFrameLocks noChangeAspect="1"/>
            </wp:cNvGraphicFramePr>
            <a:graphic>
              <a:graphicData uri="http://schemas.openxmlformats.org/drawingml/2006/picture">
                <pic:pic>
                  <pic:nvPicPr>
                    <pic:cNvPr id="0" name="875873f264224612.jpg"/>
                    <pic:cNvPicPr/>
                  </pic:nvPicPr>
                  <pic:blipFill>
                    <a:blip r:embed="rId43"/>
                    <a:stretch>
                      <a:fillRect/>
                    </a:stretch>
                  </pic:blipFill>
                  <pic:spPr>
                    <a:xfrm>
                      <a:off x="0" y="0"/>
                      <a:ext cx="1522800" cy="1065960"/>
                    </a:xfrm>
                    <a:prstGeom prst="rect"/>
                  </pic:spPr>
                </pic:pic>
              </a:graphicData>
            </a:graphic>
          </wp:inline>
        </w:drawing>
      </w:r>
    </w:p>
    <w:p>
      <w:pPr>
        <w:pStyle w:val="DocCaption"/>
      </w:pPr>
      <w:r>
        <w:t>图2  In space, everyone can hear you stream: Challenges ahead of the corporate space data race</w:t>
      </w:r>
    </w:p>
    <w:p>
      <w:pPr>
        <w:pStyle w:val="DocBody"/>
      </w:pPr>
      <w:hyperlink r:id="rId44">
        <w:r>
          <w:rPr>
            <w:rFonts w:ascii="Times New Roman" w:hAnsi="Times New Roman" w:eastAsia="宋体"/>
            <w:color w:val="0563C1"/>
            <w:sz w:val="24"/>
            <w:u w:val="single"/>
          </w:rPr>
          <w:t>Europe &amp; Eurasia</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Politics &amp; Diplomacy</w:t>
        </w:r>
      </w:hyperlink>
    </w:p>
    <w:p>
      <w:pPr>
        <w:jc w:val="center"/>
      </w:pPr>
      <w:r>
        <w:drawing>
          <wp:inline xmlns:a="http://schemas.openxmlformats.org/drawingml/2006/main" xmlns:pic="http://schemas.openxmlformats.org/drawingml/2006/picture">
            <wp:extent cx="5400000" cy="3780000"/>
            <wp:docPr id="3" name="Picture 3"/>
            <wp:cNvGraphicFramePr>
              <a:graphicFrameLocks noChangeAspect="1"/>
            </wp:cNvGraphicFramePr>
            <a:graphic>
              <a:graphicData uri="http://schemas.openxmlformats.org/drawingml/2006/picture">
                <pic:pic>
                  <pic:nvPicPr>
                    <pic:cNvPr id="0" name="a46520b2a9cf6b47.jpg"/>
                    <pic:cNvPicPr/>
                  </pic:nvPicPr>
                  <pic:blipFill>
                    <a:blip r:embed="rId46"/>
                    <a:stretch>
                      <a:fillRect/>
                    </a:stretch>
                  </pic:blipFill>
                  <pic:spPr>
                    <a:xfrm>
                      <a:off x="0" y="0"/>
                      <a:ext cx="5400000" cy="3780000"/>
                    </a:xfrm>
                    <a:prstGeom prst="rect"/>
                  </pic:spPr>
                </pic:pic>
              </a:graphicData>
            </a:graphic>
          </wp:inline>
        </w:drawing>
      </w:r>
    </w:p>
    <w:p>
      <w:pPr>
        <w:pStyle w:val="DocCaption"/>
      </w:pPr>
      <w:r>
        <w:t>图3  In space, everyone can hear you stream: Challenges ahead of the corporate space data race</w:t>
      </w:r>
    </w:p>
    <w:p>
      <w:pPr>
        <w:pStyle w:val="DocBody"/>
      </w:pPr>
      <w:hyperlink r:id="rId47">
        <w:r>
          <w:rPr>
            <w:rFonts w:ascii="Times New Roman" w:hAnsi="Times New Roman" w:eastAsia="宋体"/>
            <w:color w:val="0563C1"/>
            <w:sz w:val="24"/>
            <w:u w:val="single"/>
          </w:rPr>
          <w:t>Africa</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National Security</w:t>
        </w:r>
      </w:hyperlink>
    </w:p>
    <w:p>
      <w:pPr>
        <w:pStyle w:val="DocBody"/>
      </w:pPr>
      <w:hyperlink r:id="rId49">
        <w:r>
          <w:rPr>
            <w:rFonts w:ascii="Times New Roman" w:hAnsi="Times New Roman" w:eastAsia="宋体"/>
            <w:color w:val="0563C1"/>
            <w:sz w:val="24"/>
            <w:u w:val="single"/>
          </w:rPr>
          <w:t>Space</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Technology &amp; Innovation</w:t>
        </w:r>
      </w:hyperlink>
    </w:p>
    <w:p>
      <w:pPr>
        <w:pStyle w:val="DocBody"/>
      </w:pPr>
      <w:r>
        <w:rPr>
          <w:rFonts w:ascii="Times New Roman" w:hAnsi="Times New Roman" w:eastAsia="宋体"/>
          <w:sz w:val="24"/>
        </w:rPr>
        <w:t>Image: Satellites crossing the night sky above the northern Atacama Desert in Chile, over a period of just one hour. It is a stack of a time-lapse video taken on 15 October 2025, about two hours after sunset. A few streaks are caused by planes, and can be easily identified by their blinking and coloured lights, but most trails are due to satellites. (F. Kamphues, ESO/M. Kornmesser/Cover Images via Reuters Connect)</w:t>
      </w:r>
    </w:p>
    <w:p>
      <w:pPr>
        <w:pStyle w:val="DocBody"/>
      </w:pPr>
      <w:r>
        <w:rPr>
          <w:rFonts w:ascii="Times New Roman" w:hAnsi="Times New Roman" w:eastAsia="宋体"/>
          <w:sz w:val="24"/>
        </w:rPr>
        <w:t>Original text Rate this translation Your feedback will be used to help improve Google Translate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tlanticcouncil.org/blogs/geotech-cues/in-space-everyone-can-hear-you-stream-challenges-ahead-of-the-corporate-space-data-race/" TargetMode="External"/><Relationship Id="rId12" Type="http://schemas.openxmlformats.org/officeDocument/2006/relationships/hyperlink" Target="https://www.facebook.com/sharer/sharer.php?u=https%3A%2F%2Fwww.atlanticcouncil.org%2Fblogs%2Fgeotech-cues%2Fin-space-everyone-can-hear-you-stream-challenges-ahead-of-the-corporate-space-data-race%2F" TargetMode="External"/><Relationship Id="rId13" Type="http://schemas.openxmlformats.org/officeDocument/2006/relationships/hyperlink" Target="https://twitter.com/intent/tweet?url=https%3A%2F%2Fwww.atlanticcouncil.org%2Fblogs%2Fgeotech-cues%2Fin-space-everyone-can-hear-you-stream-challenges-ahead-of-the-corporate-space-data-race%2F&amp;text=In+space%2C+everyone+can+hear+you+stream%3A+Challenges+ahead+of+the+corporate+space+data+race" TargetMode="External"/><Relationship Id="rId14" Type="http://schemas.openxmlformats.org/officeDocument/2006/relationships/hyperlink" Target="https://www.linkedin.com/sharing/share-offsite/?url=https://www.atlanticcouncil.org/blogs/geotech-cues/in-space-everyone-can-hear-you-stream-challenges-ahead-of-the-corporate-space-data-race/&amp;text=In+space%2C+everyone+can+hear+you+stream%3A+Challenges+ahead+of+the+corporate+space+data+race%20%5Bhttps://www.atlanticcouncil.org/blogs/geotech-cues/in-space-everyone-can-hear-you-stream-challenges-ahead-of-the-corporate-space-data-race/%5D" TargetMode="External"/><Relationship Id="rId15" Type="http://schemas.openxmlformats.org/officeDocument/2006/relationships/image" Target="media/image1.jpg"/><Relationship Id="rId16" Type="http://schemas.openxmlformats.org/officeDocument/2006/relationships/hyperlink" Target="https://www.datacenterknowledge.com/next-gen-data-centers/data-centers-in-space-hype-reality-and-the-long-timeline-ahead" TargetMode="External"/><Relationship Id="rId17" Type="http://schemas.openxmlformats.org/officeDocument/2006/relationships/hyperlink" Target="https://satlyt.ai/" TargetMode="External"/><Relationship Id="rId18" Type="http://schemas.openxmlformats.org/officeDocument/2006/relationships/hyperlink" Target="https://www.nasdaq.com/newsroom/spacex-makes-history-raising-85-billion-through-nasdaq-listing" TargetMode="External"/><Relationship Id="rId19" Type="http://schemas.openxmlformats.org/officeDocument/2006/relationships/hyperlink" Target="https://spacenews.com/redwire-demonstrates-bioprinting-human-tissue-in-space/" TargetMode="External"/><Relationship Id="rId20" Type="http://schemas.openxmlformats.org/officeDocument/2006/relationships/hyperlink" Target="https://vivatech.com/news/from-earth-to-orbit-can-we-grow-food-in-space" TargetMode="External"/><Relationship Id="rId21" Type="http://schemas.openxmlformats.org/officeDocument/2006/relationships/hyperlink" Target="https://nstxl.org/what-is-asteroid-mining/" TargetMode="External"/><Relationship Id="rId22" Type="http://schemas.openxmlformats.org/officeDocument/2006/relationships/hyperlink" Target="https://washingtondc.jhu.edu/news/drivers-of-the-space-economy/" TargetMode="External"/><Relationship Id="rId23" Type="http://schemas.openxmlformats.org/officeDocument/2006/relationships/hyperlink" Target="https://www.technologyreview.com/2026/04/03/1135073/four-things-wed-need-to-put-data-centers-in-space/" TargetMode="External"/><Relationship Id="rId24" Type="http://schemas.openxmlformats.org/officeDocument/2006/relationships/hyperlink" Target="https://www.tomshardware.com/tech-industry/spacex-details-its-ai1-compute-satellite" TargetMode="External"/><Relationship Id="rId25" Type="http://schemas.openxmlformats.org/officeDocument/2006/relationships/hyperlink" Target="https://spectrum.ieee.org/orbital-data-centers" TargetMode="External"/><Relationship Id="rId26" Type="http://schemas.openxmlformats.org/officeDocument/2006/relationships/hyperlink" Target="https://www.weforum.org/stories/artificial-intelligence/space-data-centres-cooling/" TargetMode="External"/><Relationship Id="rId27" Type="http://schemas.openxmlformats.org/officeDocument/2006/relationships/hyperlink" Target="https://www.hudson.org/national-security-defense/war-above-war-how-chinese-satellites-support-iran-mena-defense-can-kasapoglu" TargetMode="External"/><Relationship Id="rId28" Type="http://schemas.openxmlformats.org/officeDocument/2006/relationships/hyperlink" Target="https://www.atlanticcouncil.org/blogs/geotech-cues/to-compete-with-china-in-space-the-us-must-form-more-equitable-commercial-partnerships-with-african-nations/" TargetMode="External"/><Relationship Id="rId29" Type="http://schemas.openxmlformats.org/officeDocument/2006/relationships/hyperlink" Target="https://www.markets.com/education-centre/spacex-vs-aramco-largest-ipo-gcc-cfd-traders" TargetMode="External"/><Relationship Id="rId30" Type="http://schemas.openxmlformats.org/officeDocument/2006/relationships/hyperlink" Target="https://businessmodelcanvastemplate.com/blogs/owners/orienspace-who-owns" TargetMode="External"/><Relationship Id="rId31" Type="http://schemas.openxmlformats.org/officeDocument/2006/relationships/hyperlink" Target="https://knowledge.insead.edu/entrepreneurship/hidden-rules-china-gulf-investment-dealmaking" TargetMode="External"/><Relationship Id="rId32" Type="http://schemas.openxmlformats.org/officeDocument/2006/relationships/hyperlink" Target="https://avalon.law.yale.edu/20th_century/usmu016.asp#art1" TargetMode="External"/><Relationship Id="rId33" Type="http://schemas.openxmlformats.org/officeDocument/2006/relationships/hyperlink" Target="https://gdpr-info.eu/" TargetMode="External"/><Relationship Id="rId34" Type="http://schemas.openxmlformats.org/officeDocument/2006/relationships/hyperlink" Target="https://www.axiomspace.com/orbital-data-center" TargetMode="External"/><Relationship Id="rId35" Type="http://schemas.openxmlformats.org/officeDocument/2006/relationships/hyperlink" Target="https://scienceblog.com/t-starcloud-first-llm-trained-orbit-nvidia-h100-500-km/" TargetMode="External"/><Relationship Id="rId36" Type="http://schemas.openxmlformats.org/officeDocument/2006/relationships/hyperlink" Target="https://www.whitehouse.gov/presidential-actions/2026/06/promoting-advanced-artificial-intelligence-innovation-and-security/" TargetMode="External"/><Relationship Id="rId37" Type="http://schemas.openxmlformats.org/officeDocument/2006/relationships/hyperlink" Target="https://www.gtlaw.com/en/insights/2026/2/new-guidance-for-defense-sector-m-and-a-review" TargetMode="External"/><Relationship Id="rId38" Type="http://schemas.openxmlformats.org/officeDocument/2006/relationships/hyperlink" Target="https://www.itu.int/cities/dt-resource-hub/ai/" TargetMode="External"/><Relationship Id="rId39" Type="http://schemas.openxmlformats.org/officeDocument/2006/relationships/hyperlink" Target="https://chinaselectcommittee.house.gov/media/reports/inside-china-s-strategy-to-reshape-the-united-nations" TargetMode="External"/><Relationship Id="rId40" Type="http://schemas.openxmlformats.org/officeDocument/2006/relationships/hyperlink" Target="https://orbitalradar.com/satellites-by-country" TargetMode="External"/><Relationship Id="rId41" Type="http://schemas.openxmlformats.org/officeDocument/2006/relationships/hyperlink" Target="https://globalarbitrationreview.com/guide/the-guide-aviation-and-space-disputes/second-edition/article/orbiting-human-built-objects-managing-and-resolving-satellite-disputes" TargetMode="External"/><Relationship Id="rId42" Type="http://schemas.openxmlformats.org/officeDocument/2006/relationships/hyperlink" Target="https://www.atlanticcouncil.org/programs/geotech-center/" TargetMode="External"/><Relationship Id="rId43" Type="http://schemas.openxmlformats.org/officeDocument/2006/relationships/image" Target="media/image2.jpg"/><Relationship Id="rId44" Type="http://schemas.openxmlformats.org/officeDocument/2006/relationships/hyperlink" Target="https://www.atlanticcouncil.org/region/europe-eurasia/" TargetMode="External"/><Relationship Id="rId45" Type="http://schemas.openxmlformats.org/officeDocument/2006/relationships/hyperlink" Target="https://www.atlanticcouncil.org/issue/politics-diplomacy/" TargetMode="External"/><Relationship Id="rId46" Type="http://schemas.openxmlformats.org/officeDocument/2006/relationships/image" Target="media/image3.jpg"/><Relationship Id="rId47" Type="http://schemas.openxmlformats.org/officeDocument/2006/relationships/hyperlink" Target="https://www.atlanticcouncil.org/region/africa/" TargetMode="External"/><Relationship Id="rId48" Type="http://schemas.openxmlformats.org/officeDocument/2006/relationships/hyperlink" Target="https://www.atlanticcouncil.org/issue/national-security/" TargetMode="External"/><Relationship Id="rId49" Type="http://schemas.openxmlformats.org/officeDocument/2006/relationships/hyperlink" Target="https://www.atlanticcouncil.org/issue/space/" TargetMode="External"/><Relationship Id="rId50" Type="http://schemas.openxmlformats.org/officeDocument/2006/relationships/hyperlink" Target="https://www.atlanticcouncil.org/issue/technology-inno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space, everyone can hear you stream: Challenges ahead of the corporate space data race</dc:title>
  <dc:subject/>
  <dc:creator>briefing-article-kb</dc:creator>
  <cp:keywords/>
  <dc:description>https://www.atlanticcouncil.org/blogs/geotech-cues/in-space-everyone-can-hear-you-stream-challenges-ahead-of-the-corporate-space-data-race/</dc:description>
  <cp:lastModifiedBy/>
  <cp:revision>1</cp:revision>
  <dcterms:created xsi:type="dcterms:W3CDTF">2013-12-23T23:15:00Z</dcterms:created>
  <dcterms:modified xsi:type="dcterms:W3CDTF">2013-12-23T23:15:00Z</dcterms:modified>
  <cp:category/>
</cp:coreProperties>
</file>