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B006-003</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CEPR（CEPR - Discussion Papers）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2026-08-31</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DP21889 What Work Does Generative AI Do?</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https://cepr.org/publications/dp21889</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B006-003-Cepr - discussion papers -dp21889-what-work-does-generative-ai-do-202608.md</w:t>
            </w:r>
          </w:p>
        </w:tc>
      </w:tr>
    </w:tbl>
    <w:p/>
    <w:p>
      <w:pPr>
        <w:pStyle w:val="DocTitle"/>
      </w:pPr>
      <w:r>
        <w:t>DP21889 What Work Does Generative AI Do?</w:t>
      </w:r>
    </w:p>
    <w:p>
      <w:pPr>
        <w:pStyle w:val="DocBody"/>
      </w:pPr>
      <w:r>
        <w:rPr>
          <w:rFonts w:ascii="Times New Roman" w:hAnsi="Times New Roman" w:eastAsia="宋体"/>
          <w:sz w:val="24"/>
        </w:rPr>
        <w:t>Search the site Search English Français Deutsch Italiano 中文 More We measure how workers use genAI for their jobs in a nationally representative survey. Our data provide the first task-level genAI adoption indexes, which can inform analyses of genAI's labor market impact. Exposure scores explain some, but far from all, of the variation in adoption across occupations and tasks. Chat-log measures differ conceptually and tend to over-classify chats into generic activities. Current adoption is widespread but shallow: genAI is used across many occupations and tasks, yet within most, fewer than half of workers adopt. Understanding who adopts may thus matter as much as understanding which tasks genAI assists.</w:t>
      </w:r>
    </w:p>
    <w:p>
      <w:pPr>
        <w:pStyle w:val="DocBody"/>
      </w:pPr>
      <w:r>
        <w:rPr>
          <w:rFonts w:ascii="Times New Roman" w:hAnsi="Times New Roman" w:eastAsia="宋体"/>
          <w:sz w:val="24"/>
        </w:rPr>
        <w:t>Translation created by Artificial Intelligence (LLM)</w:t>
      </w:r>
    </w:p>
    <w:p>
      <w:pPr>
        <w:pStyle w:val="DocBody"/>
      </w:pPr>
      <w:r>
        <w:rPr>
          <w:rFonts w:ascii="Times New Roman" w:hAnsi="Times New Roman" w:eastAsia="宋体"/>
          <w:sz w:val="24"/>
        </w:rPr>
        <w:t>Conference</w:t>
      </w:r>
    </w:p>
    <w:p>
      <w:pPr>
        <w:pStyle w:val="DocH1"/>
      </w:pPr>
      <w:hyperlink r:id="rId12">
        <w:r>
          <w:rPr>
            <w:rFonts w:ascii="Times New Roman" w:hAnsi="Times New Roman" w:eastAsia="宋体"/>
            <w:color w:val="0563C1"/>
            <w:sz w:val="24"/>
            <w:u w:val="single"/>
          </w:rPr>
          <w:t>Bank of Italy/CEPR/EIEF Conference on “Innovation and Finance”</w:t>
        </w:r>
      </w:hyperlink>
    </w:p>
    <w:p>
      <w:pPr>
        <w:pStyle w:val="DocBody"/>
      </w:pPr>
      <w:r>
        <w:rPr>
          <w:rFonts w:ascii="Times New Roman" w:hAnsi="Times New Roman" w:eastAsia="宋体"/>
          <w:sz w:val="24"/>
        </w:rPr>
        <w:t>10 Dec 2026 - 11 Dec 2026 in Rome, Italy</w:t>
      </w:r>
    </w:p>
    <w:p>
      <w:pPr>
        <w:pStyle w:val="DocBody"/>
        <w:ind w:left="765"/>
      </w:pPr>
      <w:hyperlink r:id="rId13">
        <w:r>
          <w:rPr>
            <w:rFonts w:ascii="Times New Roman" w:hAnsi="Times New Roman" w:eastAsia="宋体"/>
            <w:color w:val="0563C1"/>
            <w:sz w:val="24"/>
            <w:u w:val="single"/>
          </w:rPr>
          <w:t>Macroeconomics and Growth</w:t>
        </w:r>
      </w:hyperlink>
    </w:p>
    <w:p>
      <w:pPr>
        <w:jc w:val="center"/>
      </w:pPr>
      <w:r>
        <w:drawing>
          <wp:inline xmlns:a="http://schemas.openxmlformats.org/drawingml/2006/main" xmlns:pic="http://schemas.openxmlformats.org/drawingml/2006/picture">
            <wp:extent cx="5335200" cy="3001050"/>
            <wp:docPr id="1" name="Picture 1"/>
            <wp:cNvGraphicFramePr>
              <a:graphicFrameLocks noChangeAspect="1"/>
            </wp:cNvGraphicFramePr>
            <a:graphic>
              <a:graphicData uri="http://schemas.openxmlformats.org/drawingml/2006/picture">
                <pic:pic>
                  <pic:nvPicPr>
                    <pic:cNvPr id="0" name="7335bb09834cce96.jpg"/>
                    <pic:cNvPicPr/>
                  </pic:nvPicPr>
                  <pic:blipFill>
                    <a:blip r:embed="rId14"/>
                    <a:stretch>
                      <a:fillRect/>
                    </a:stretch>
                  </pic:blipFill>
                  <pic:spPr>
                    <a:xfrm>
                      <a:off x="0" y="0"/>
                      <a:ext cx="5335200" cy="3001050"/>
                    </a:xfrm>
                    <a:prstGeom prst="rect"/>
                  </pic:spPr>
                </pic:pic>
              </a:graphicData>
            </a:graphic>
          </wp:inline>
        </w:drawing>
      </w:r>
    </w:p>
    <w:p>
      <w:pPr>
        <w:pStyle w:val="DocCaption"/>
      </w:pPr>
      <w:r>
        <w:t>图1  Paris Symposium 2024 image</w:t>
      </w:r>
    </w:p>
    <w:p>
      <w:pPr>
        <w:pStyle w:val="DocBody"/>
      </w:pPr>
      <w:r>
        <w:rPr>
          <w:rFonts w:ascii="Times New Roman" w:hAnsi="Times New Roman" w:eastAsia="宋体"/>
          <w:sz w:val="24"/>
        </w:rPr>
        <w:t xml:space="preserve">Conference </w:t>
      </w:r>
      <w:hyperlink r:id="rId15">
        <w:r>
          <w:rPr>
            <w:rFonts w:ascii="Times New Roman" w:hAnsi="Times New Roman" w:eastAsia="宋体"/>
            <w:color w:val="0563C1"/>
            <w:sz w:val="24"/>
            <w:u w:val="single"/>
          </w:rPr>
          <w:t>CEPR Paris Symposium</w:t>
        </w:r>
      </w:hyperlink>
    </w:p>
    <w:p>
      <w:pPr>
        <w:pStyle w:val="DocH1"/>
      </w:pPr>
      <w:hyperlink r:id="rId16">
        <w:r>
          <w:rPr>
            <w:rFonts w:ascii="Times New Roman" w:hAnsi="Times New Roman" w:eastAsia="宋体"/>
            <w:color w:val="0563C1"/>
            <w:sz w:val="24"/>
            <w:u w:val="single"/>
          </w:rPr>
          <w:t>CEPR Paris Symposium 2026</w:t>
        </w:r>
      </w:hyperlink>
    </w:p>
    <w:p>
      <w:pPr>
        <w:pStyle w:val="DocBody"/>
      </w:pPr>
      <w:r>
        <w:rPr>
          <w:rFonts w:ascii="Times New Roman" w:hAnsi="Times New Roman" w:eastAsia="宋体"/>
          <w:sz w:val="24"/>
        </w:rPr>
        <w:t>3 Dec 2026 - 8 Dec 2026 in Paris, France</w:t>
      </w:r>
    </w:p>
    <w:p>
      <w:pPr>
        <w:pStyle w:val="DocBody"/>
        <w:ind w:left="765"/>
      </w:pPr>
      <w:hyperlink r:id="rId17">
        <w:r>
          <w:rPr>
            <w:rFonts w:ascii="Times New Roman" w:hAnsi="Times New Roman" w:eastAsia="宋体"/>
            <w:color w:val="0563C1"/>
            <w:sz w:val="24"/>
            <w:u w:val="single"/>
          </w:rPr>
          <w:t>Ageing and Longevity</w:t>
        </w:r>
      </w:hyperlink>
    </w:p>
    <w:p>
      <w:pPr>
        <w:pStyle w:val="DocBody"/>
        <w:ind w:left="765"/>
      </w:pPr>
      <w:hyperlink r:id="rId18">
        <w:r>
          <w:rPr>
            <w:rFonts w:ascii="Times New Roman" w:hAnsi="Times New Roman" w:eastAsia="宋体"/>
            <w:color w:val="0563C1"/>
            <w:sz w:val="24"/>
            <w:u w:val="single"/>
          </w:rPr>
          <w:t>Artificial Intelligence</w:t>
        </w:r>
      </w:hyperlink>
    </w:p>
    <w:p>
      <w:pPr>
        <w:pStyle w:val="DocBody"/>
        <w:ind w:left="765"/>
      </w:pPr>
      <w:hyperlink r:id="rId19">
        <w:r>
          <w:rPr>
            <w:rFonts w:ascii="Times New Roman" w:hAnsi="Times New Roman" w:eastAsia="宋体"/>
            <w:color w:val="0563C1"/>
            <w:sz w:val="24"/>
            <w:u w:val="single"/>
          </w:rPr>
          <w:t>Competition Policy</w:t>
        </w:r>
      </w:hyperlink>
    </w:p>
    <w:p>
      <w:pPr>
        <w:pStyle w:val="DocBody"/>
        <w:ind w:left="765"/>
      </w:pPr>
      <w:hyperlink r:id="rId20">
        <w:r>
          <w:rPr>
            <w:rFonts w:ascii="Times New Roman" w:hAnsi="Times New Roman" w:eastAsia="宋体"/>
            <w:color w:val="0563C1"/>
            <w:sz w:val="24"/>
            <w:u w:val="single"/>
          </w:rPr>
          <w:t>European Economic Policy</w:t>
        </w:r>
      </w:hyperlink>
    </w:p>
    <w:p>
      <w:pPr>
        <w:pStyle w:val="DocBody"/>
        <w:ind w:left="765"/>
      </w:pPr>
      <w:hyperlink r:id="rId21">
        <w:r>
          <w:rPr>
            <w:rFonts w:ascii="Times New Roman" w:hAnsi="Times New Roman" w:eastAsia="宋体"/>
            <w:color w:val="0563C1"/>
            <w:sz w:val="24"/>
            <w:u w:val="single"/>
          </w:rPr>
          <w:t>European Financial Architecture</w:t>
        </w:r>
      </w:hyperlink>
    </w:p>
    <w:p>
      <w:pPr>
        <w:pStyle w:val="DocBody"/>
        <w:ind w:left="765"/>
      </w:pPr>
      <w:hyperlink r:id="rId22">
        <w:r>
          <w:rPr>
            <w:rFonts w:ascii="Times New Roman" w:hAnsi="Times New Roman" w:eastAsia="宋体"/>
            <w:color w:val="0563C1"/>
            <w:sz w:val="24"/>
            <w:u w:val="single"/>
          </w:rPr>
          <w:t>Fintech and Digital Currencies</w:t>
        </w:r>
      </w:hyperlink>
    </w:p>
    <w:p>
      <w:pPr>
        <w:pStyle w:val="DocBody"/>
        <w:ind w:left="765"/>
      </w:pPr>
      <w:hyperlink r:id="rId23">
        <w:r>
          <w:rPr>
            <w:rFonts w:ascii="Times New Roman" w:hAnsi="Times New Roman" w:eastAsia="宋体"/>
            <w:color w:val="0563C1"/>
            <w:sz w:val="24"/>
            <w:u w:val="single"/>
          </w:rPr>
          <w:t>Geoeconomics and Security</w:t>
        </w:r>
      </w:hyperlink>
    </w:p>
    <w:p>
      <w:pPr>
        <w:pStyle w:val="DocBody"/>
        <w:ind w:left="765"/>
      </w:pPr>
      <w:hyperlink r:id="rId24">
        <w:r>
          <w:rPr>
            <w:rFonts w:ascii="Times New Roman" w:hAnsi="Times New Roman" w:eastAsia="宋体"/>
            <w:color w:val="0563C1"/>
            <w:sz w:val="24"/>
            <w:u w:val="single"/>
          </w:rPr>
          <w:t>Growth, Innovation and Social Model in Europe</w:t>
        </w:r>
      </w:hyperlink>
    </w:p>
    <w:p>
      <w:pPr>
        <w:pStyle w:val="DocBody"/>
        <w:ind w:left="765"/>
      </w:pPr>
      <w:hyperlink r:id="rId25">
        <w:r>
          <w:rPr>
            <w:rFonts w:ascii="Times New Roman" w:hAnsi="Times New Roman" w:eastAsia="宋体"/>
            <w:color w:val="0563C1"/>
            <w:sz w:val="24"/>
            <w:u w:val="single"/>
          </w:rPr>
          <w:t>Household Finance</w:t>
        </w:r>
      </w:hyperlink>
    </w:p>
    <w:p>
      <w:pPr>
        <w:pStyle w:val="DocBody"/>
        <w:ind w:left="765"/>
      </w:pPr>
      <w:hyperlink r:id="rId26">
        <w:r>
          <w:rPr>
            <w:rFonts w:ascii="Times New Roman" w:hAnsi="Times New Roman" w:eastAsia="宋体"/>
            <w:color w:val="0563C1"/>
            <w:sz w:val="24"/>
            <w:u w:val="single"/>
          </w:rPr>
          <w:t>Media Plurality</w:t>
        </w:r>
      </w:hyperlink>
    </w:p>
    <w:p>
      <w:pPr>
        <w:pStyle w:val="DocBody"/>
        <w:ind w:left="765"/>
      </w:pPr>
      <w:hyperlink r:id="rId27">
        <w:r>
          <w:rPr>
            <w:rFonts w:ascii="Times New Roman" w:hAnsi="Times New Roman" w:eastAsia="宋体"/>
            <w:color w:val="0563C1"/>
            <w:sz w:val="24"/>
            <w:u w:val="single"/>
          </w:rPr>
          <w:t>Political Economy of Migration</w:t>
        </w:r>
      </w:hyperlink>
    </w:p>
    <w:p>
      <w:pPr>
        <w:pStyle w:val="DocBody"/>
        <w:ind w:left="765"/>
      </w:pPr>
      <w:hyperlink r:id="rId28">
        <w:r>
          <w:rPr>
            <w:rFonts w:ascii="Times New Roman" w:hAnsi="Times New Roman" w:eastAsia="宋体"/>
            <w:color w:val="0563C1"/>
            <w:sz w:val="24"/>
            <w:u w:val="single"/>
          </w:rPr>
          <w:t>Preventing Conflict: Policies for Peace</w:t>
        </w:r>
      </w:hyperlink>
    </w:p>
    <w:p>
      <w:pPr>
        <w:pStyle w:val="DocBody"/>
        <w:ind w:left="765"/>
      </w:pPr>
      <w:hyperlink r:id="rId29">
        <w:r>
          <w:rPr>
            <w:rFonts w:ascii="Times New Roman" w:hAnsi="Times New Roman" w:eastAsia="宋体"/>
            <w:color w:val="0563C1"/>
            <w:sz w:val="24"/>
            <w:u w:val="single"/>
          </w:rPr>
          <w:t>Asset Pricing</w:t>
        </w:r>
      </w:hyperlink>
    </w:p>
    <w:p>
      <w:pPr>
        <w:pStyle w:val="DocBody"/>
        <w:ind w:left="765"/>
      </w:pPr>
      <w:hyperlink r:id="rId30">
        <w:r>
          <w:rPr>
            <w:rFonts w:ascii="Times New Roman" w:hAnsi="Times New Roman" w:eastAsia="宋体"/>
            <w:color w:val="0563C1"/>
            <w:sz w:val="24"/>
            <w:u w:val="single"/>
          </w:rPr>
          <w:t>Banking and Corporate Finance</w:t>
        </w:r>
      </w:hyperlink>
    </w:p>
    <w:p>
      <w:pPr>
        <w:pStyle w:val="DocBody"/>
        <w:ind w:left="765"/>
      </w:pPr>
      <w:hyperlink r:id="rId31">
        <w:r>
          <w:rPr>
            <w:rFonts w:ascii="Times New Roman" w:hAnsi="Times New Roman" w:eastAsia="宋体"/>
            <w:color w:val="0563C1"/>
            <w:sz w:val="24"/>
            <w:u w:val="single"/>
          </w:rPr>
          <w:t>Climate Change and the Environment</w:t>
        </w:r>
      </w:hyperlink>
    </w:p>
    <w:p>
      <w:pPr>
        <w:pStyle w:val="DocBody"/>
        <w:ind w:left="765"/>
      </w:pPr>
      <w:hyperlink r:id="rId32">
        <w:r>
          <w:rPr>
            <w:rFonts w:ascii="Times New Roman" w:hAnsi="Times New Roman" w:eastAsia="宋体"/>
            <w:color w:val="0563C1"/>
            <w:sz w:val="24"/>
            <w:u w:val="single"/>
          </w:rPr>
          <w:t>Development Economics</w:t>
        </w:r>
      </w:hyperlink>
    </w:p>
    <w:p>
      <w:pPr>
        <w:pStyle w:val="DocBody"/>
        <w:ind w:left="765"/>
      </w:pPr>
      <w:hyperlink r:id="rId33">
        <w:r>
          <w:rPr>
            <w:rFonts w:ascii="Times New Roman" w:hAnsi="Times New Roman" w:eastAsia="宋体"/>
            <w:color w:val="0563C1"/>
            <w:sz w:val="24"/>
            <w:u w:val="single"/>
          </w:rPr>
          <w:t>Economic History</w:t>
        </w:r>
      </w:hyperlink>
    </w:p>
    <w:p>
      <w:pPr>
        <w:pStyle w:val="DocBody"/>
        <w:ind w:left="765"/>
      </w:pPr>
      <w:hyperlink r:id="rId34">
        <w:r>
          <w:rPr>
            <w:rFonts w:ascii="Times New Roman" w:hAnsi="Times New Roman" w:eastAsia="宋体"/>
            <w:color w:val="0563C1"/>
            <w:sz w:val="24"/>
            <w:u w:val="single"/>
          </w:rPr>
          <w:t>Industrial Organization</w:t>
        </w:r>
      </w:hyperlink>
    </w:p>
    <w:p>
      <w:pPr>
        <w:pStyle w:val="DocBody"/>
        <w:ind w:left="765"/>
      </w:pPr>
      <w:hyperlink r:id="rId35">
        <w:r>
          <w:rPr>
            <w:rFonts w:ascii="Times New Roman" w:hAnsi="Times New Roman" w:eastAsia="宋体"/>
            <w:color w:val="0563C1"/>
            <w:sz w:val="24"/>
            <w:u w:val="single"/>
          </w:rPr>
          <w:t>International Macroeconomics and Finance</w:t>
        </w:r>
      </w:hyperlink>
    </w:p>
    <w:p>
      <w:pPr>
        <w:pStyle w:val="DocBody"/>
        <w:ind w:left="765"/>
      </w:pPr>
      <w:hyperlink r:id="rId36">
        <w:r>
          <w:rPr>
            <w:rFonts w:ascii="Times New Roman" w:hAnsi="Times New Roman" w:eastAsia="宋体"/>
            <w:color w:val="0563C1"/>
            <w:sz w:val="24"/>
            <w:u w:val="single"/>
          </w:rPr>
          <w:t>International Trade and Regional Economics</w:t>
        </w:r>
      </w:hyperlink>
    </w:p>
    <w:p>
      <w:pPr>
        <w:pStyle w:val="DocBody"/>
        <w:ind w:left="765"/>
      </w:pPr>
      <w:hyperlink r:id="rId37">
        <w:r>
          <w:rPr>
            <w:rFonts w:ascii="Times New Roman" w:hAnsi="Times New Roman" w:eastAsia="宋体"/>
            <w:color w:val="0563C1"/>
            <w:sz w:val="24"/>
            <w:u w:val="single"/>
          </w:rPr>
          <w:t>Labour Economics</w:t>
        </w:r>
      </w:hyperlink>
    </w:p>
    <w:p>
      <w:pPr>
        <w:pStyle w:val="DocBody"/>
        <w:ind w:left="765"/>
      </w:pPr>
      <w:hyperlink r:id="rId13">
        <w:r>
          <w:rPr>
            <w:rFonts w:ascii="Times New Roman" w:hAnsi="Times New Roman" w:eastAsia="宋体"/>
            <w:color w:val="0563C1"/>
            <w:sz w:val="24"/>
            <w:u w:val="single"/>
          </w:rPr>
          <w:t>Macroeconomics and Growth</w:t>
        </w:r>
      </w:hyperlink>
    </w:p>
    <w:p>
      <w:pPr>
        <w:pStyle w:val="DocBody"/>
        <w:ind w:left="765"/>
      </w:pPr>
      <w:hyperlink r:id="rId38">
        <w:r>
          <w:rPr>
            <w:rFonts w:ascii="Times New Roman" w:hAnsi="Times New Roman" w:eastAsia="宋体"/>
            <w:color w:val="0563C1"/>
            <w:sz w:val="24"/>
            <w:u w:val="single"/>
          </w:rPr>
          <w:t>Monetary Economics and Fluctuations</w:t>
        </w:r>
      </w:hyperlink>
    </w:p>
    <w:p>
      <w:pPr>
        <w:pStyle w:val="DocBody"/>
        <w:ind w:left="765"/>
      </w:pPr>
      <w:hyperlink r:id="rId39">
        <w:r>
          <w:rPr>
            <w:rFonts w:ascii="Times New Roman" w:hAnsi="Times New Roman" w:eastAsia="宋体"/>
            <w:color w:val="0563C1"/>
            <w:sz w:val="24"/>
            <w:u w:val="single"/>
          </w:rPr>
          <w:t>Organizational Economics</w:t>
        </w:r>
      </w:hyperlink>
    </w:p>
    <w:p>
      <w:pPr>
        <w:pStyle w:val="DocBody"/>
        <w:ind w:left="765"/>
      </w:pPr>
      <w:hyperlink r:id="rId40">
        <w:r>
          <w:rPr>
            <w:rFonts w:ascii="Times New Roman" w:hAnsi="Times New Roman" w:eastAsia="宋体"/>
            <w:color w:val="0563C1"/>
            <w:sz w:val="24"/>
            <w:u w:val="single"/>
          </w:rPr>
          <w:t>Political Economy</w:t>
        </w:r>
      </w:hyperlink>
    </w:p>
    <w:p>
      <w:pPr>
        <w:pStyle w:val="DocBody"/>
        <w:ind w:left="765"/>
      </w:pPr>
      <w:hyperlink r:id="rId41">
        <w:r>
          <w:rPr>
            <w:rFonts w:ascii="Times New Roman" w:hAnsi="Times New Roman" w:eastAsia="宋体"/>
            <w:color w:val="0563C1"/>
            <w:sz w:val="24"/>
            <w:u w:val="single"/>
          </w:rPr>
          <w:t>Public Economics</w:t>
        </w:r>
      </w:hyperlink>
    </w:p>
    <w:p>
      <w:pPr>
        <w:pStyle w:val="DocBody"/>
      </w:pPr>
      <w:r>
        <w:rPr>
          <w:rFonts w:ascii="Times New Roman" w:hAnsi="Times New Roman" w:eastAsia="宋体"/>
          <w:sz w:val="24"/>
        </w:rPr>
        <w:t>Conference</w:t>
      </w:r>
    </w:p>
    <w:p>
      <w:pPr>
        <w:pStyle w:val="DocH1"/>
      </w:pPr>
      <w:hyperlink r:id="rId42">
        <w:r>
          <w:rPr>
            <w:rFonts w:ascii="Times New Roman" w:hAnsi="Times New Roman" w:eastAsia="宋体"/>
            <w:color w:val="0563C1"/>
            <w:sz w:val="24"/>
            <w:u w:val="single"/>
          </w:rPr>
          <w:t>CEPR Macroeconomics and Growth Annual Symposium 2026</w:t>
        </w:r>
      </w:hyperlink>
    </w:p>
    <w:p>
      <w:pPr>
        <w:pStyle w:val="DocBody"/>
      </w:pPr>
      <w:r>
        <w:rPr>
          <w:rFonts w:ascii="Times New Roman" w:hAnsi="Times New Roman" w:eastAsia="宋体"/>
          <w:sz w:val="24"/>
        </w:rPr>
        <w:t>19 Nov 2026 - 20 Nov 2026 in Madrid, Spain</w:t>
      </w:r>
    </w:p>
    <w:p>
      <w:pPr>
        <w:pStyle w:val="DocBody"/>
        <w:ind w:left="765"/>
      </w:pPr>
      <w:hyperlink r:id="rId13">
        <w:r>
          <w:rPr>
            <w:rFonts w:ascii="Times New Roman" w:hAnsi="Times New Roman" w:eastAsia="宋体"/>
            <w:color w:val="0563C1"/>
            <w:sz w:val="24"/>
            <w:u w:val="single"/>
          </w:rPr>
          <w:t>Macroeconomics and Growth</w:t>
        </w:r>
      </w:hyperlink>
    </w:p>
    <w:p>
      <w:pPr>
        <w:pStyle w:val="DocBody"/>
      </w:pPr>
      <w:hyperlink r:id="rId43">
        <w:r>
          <w:rPr>
            <w:rFonts w:ascii="Times New Roman" w:hAnsi="Times New Roman" w:eastAsia="宋体"/>
            <w:color w:val="0563C1"/>
            <w:sz w:val="24"/>
            <w:u w:val="single"/>
          </w:rPr>
          <w:t>This Event is no longer receiving submissions.</w:t>
        </w:r>
      </w:hyperlink>
    </w:p>
    <w:p>
      <w:pPr>
        <w:pStyle w:val="DocBody"/>
      </w:pPr>
      <w:r>
        <w:rPr>
          <w:rFonts w:ascii="Times New Roman" w:hAnsi="Times New Roman" w:eastAsia="宋体"/>
          <w:sz w:val="24"/>
        </w:rPr>
        <w:t>Español Ελληνικά 日本語 Português Türkçe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epr.org/publications/dp21889" TargetMode="External"/><Relationship Id="rId12" Type="http://schemas.openxmlformats.org/officeDocument/2006/relationships/hyperlink" Target="https://cepr.org/events/bank-italycepreief-conference-innovation-and-finance" TargetMode="External"/><Relationship Id="rId13" Type="http://schemas.openxmlformats.org/officeDocument/2006/relationships/hyperlink" Target="https://cepr.org/research/programme-areas/macroeconomics-and-growth" TargetMode="External"/><Relationship Id="rId14" Type="http://schemas.openxmlformats.org/officeDocument/2006/relationships/image" Target="media/image1.jpg"/><Relationship Id="rId15" Type="http://schemas.openxmlformats.org/officeDocument/2006/relationships/hyperlink" Target="https://cepr.org/events/event-series/cepr-paris-symposium" TargetMode="External"/><Relationship Id="rId16" Type="http://schemas.openxmlformats.org/officeDocument/2006/relationships/hyperlink" Target="https://cepr.org/events/event-series/cepr-paris-symposium/cepr-paris-symposium-2026" TargetMode="External"/><Relationship Id="rId17" Type="http://schemas.openxmlformats.org/officeDocument/2006/relationships/hyperlink" Target="https://cepr.org/research/research-policy-networks/ageing-and-longevity" TargetMode="External"/><Relationship Id="rId18" Type="http://schemas.openxmlformats.org/officeDocument/2006/relationships/hyperlink" Target="https://cepr.org/research/research-policy-networks/artificial-intelligence" TargetMode="External"/><Relationship Id="rId19" Type="http://schemas.openxmlformats.org/officeDocument/2006/relationships/hyperlink" Target="https://cepr.org/research/research-policy-networks/competition-policy" TargetMode="External"/><Relationship Id="rId20" Type="http://schemas.openxmlformats.org/officeDocument/2006/relationships/hyperlink" Target="https://cepr.org/research/research-policy-networks/european-economic-policy" TargetMode="External"/><Relationship Id="rId21" Type="http://schemas.openxmlformats.org/officeDocument/2006/relationships/hyperlink" Target="https://cepr.org/research/research-policy-networks/european-financial-architecture" TargetMode="External"/><Relationship Id="rId22" Type="http://schemas.openxmlformats.org/officeDocument/2006/relationships/hyperlink" Target="https://cepr.org/research/research-policy-networks/fintech-and-digital-currencies" TargetMode="External"/><Relationship Id="rId23" Type="http://schemas.openxmlformats.org/officeDocument/2006/relationships/hyperlink" Target="https://cepr.org/research/research-policy-networks/geoeconomics-and-security" TargetMode="External"/><Relationship Id="rId24" Type="http://schemas.openxmlformats.org/officeDocument/2006/relationships/hyperlink" Target="https://cepr.org/research/research-policy-networks/growth-innovation-and-social-model-europe" TargetMode="External"/><Relationship Id="rId25" Type="http://schemas.openxmlformats.org/officeDocument/2006/relationships/hyperlink" Target="https://cepr.org/research/research-policy-networks/household-finance" TargetMode="External"/><Relationship Id="rId26" Type="http://schemas.openxmlformats.org/officeDocument/2006/relationships/hyperlink" Target="https://cepr.org/research/research-policy-networks/media-plurality" TargetMode="External"/><Relationship Id="rId27" Type="http://schemas.openxmlformats.org/officeDocument/2006/relationships/hyperlink" Target="https://cepr.org/research/research-policy-networks/political-economy-migration" TargetMode="External"/><Relationship Id="rId28" Type="http://schemas.openxmlformats.org/officeDocument/2006/relationships/hyperlink" Target="https://cepr.org/research/research-policy-networks/preventing-conflict-policies-peace" TargetMode="External"/><Relationship Id="rId29" Type="http://schemas.openxmlformats.org/officeDocument/2006/relationships/hyperlink" Target="https://cepr.org/research/programme-areas/asset-pricing" TargetMode="External"/><Relationship Id="rId30" Type="http://schemas.openxmlformats.org/officeDocument/2006/relationships/hyperlink" Target="https://cepr.org/research/programme-areas/banking-and-corporate-finance" TargetMode="External"/><Relationship Id="rId31" Type="http://schemas.openxmlformats.org/officeDocument/2006/relationships/hyperlink" Target="https://cepr.org/research/programme-areas/climate-change-and-environment" TargetMode="External"/><Relationship Id="rId32" Type="http://schemas.openxmlformats.org/officeDocument/2006/relationships/hyperlink" Target="https://cepr.org/research/programme-areas/development-economics" TargetMode="External"/><Relationship Id="rId33" Type="http://schemas.openxmlformats.org/officeDocument/2006/relationships/hyperlink" Target="https://cepr.org/research/programme-areas/economic-history" TargetMode="External"/><Relationship Id="rId34" Type="http://schemas.openxmlformats.org/officeDocument/2006/relationships/hyperlink" Target="https://cepr.org/research/programme-areas/industrial-organization" TargetMode="External"/><Relationship Id="rId35" Type="http://schemas.openxmlformats.org/officeDocument/2006/relationships/hyperlink" Target="https://cepr.org/research/programme-areas/international-macroeconomics-and-finance" TargetMode="External"/><Relationship Id="rId36" Type="http://schemas.openxmlformats.org/officeDocument/2006/relationships/hyperlink" Target="https://cepr.org/research/programme-areas/international-trade-and-regional-economics" TargetMode="External"/><Relationship Id="rId37" Type="http://schemas.openxmlformats.org/officeDocument/2006/relationships/hyperlink" Target="https://cepr.org/research/programme-areas/labour-economics" TargetMode="External"/><Relationship Id="rId38" Type="http://schemas.openxmlformats.org/officeDocument/2006/relationships/hyperlink" Target="https://cepr.org/research/programme-areas/monetary-economics-and-fluctuations" TargetMode="External"/><Relationship Id="rId39" Type="http://schemas.openxmlformats.org/officeDocument/2006/relationships/hyperlink" Target="https://cepr.org/research/programme-areas/organizational-economics" TargetMode="External"/><Relationship Id="rId40" Type="http://schemas.openxmlformats.org/officeDocument/2006/relationships/hyperlink" Target="https://cepr.org/research/programme-areas/political-economy" TargetMode="External"/><Relationship Id="rId41" Type="http://schemas.openxmlformats.org/officeDocument/2006/relationships/hyperlink" Target="https://cepr.org/research/programme-areas/public-economics" TargetMode="External"/><Relationship Id="rId42" Type="http://schemas.openxmlformats.org/officeDocument/2006/relationships/hyperlink" Target="https://cepr.org/events/cepr-macroeconomics-and-growth-annual-symposium-2026" TargetMode="External"/><Relationship Id="rId43" Type="http://schemas.openxmlformats.org/officeDocument/2006/relationships/hyperlink" Target="https://cepr.org/events/cepr-macroeconomics-and-growth-annual-symposium-2026#cf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DP21889 What Work Does Generative AI Do?</dc:title>
  <dc:subject/>
  <dc:creator>briefing-article-kb</dc:creator>
  <cp:keywords/>
  <dc:description>https://cepr.org/publications/dp21889</dc:description>
  <cp:lastModifiedBy/>
  <cp:revision>1</cp:revision>
  <dcterms:created xsi:type="dcterms:W3CDTF">2013-12-23T23:15:00Z</dcterms:created>
  <dcterms:modified xsi:type="dcterms:W3CDTF">2013-12-23T23:15:00Z</dcterms:modified>
  <cp:category/>
</cp:coreProperties>
</file>