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B007-010</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NBER（NBER - National Bureau of Economic Research）</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2026-08-27</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CentaurBench: Benchmarking LLM Capabilities on Augmenting vs. Automating Real-World Work Tasks -- by Pattaraphon Kenny Wongchamcharoen, Kris Gulati, Min Min Fong, Abhishek Nagaraj</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https://www.nber.org/papers/w35663#fromrss</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B007（2026-08-31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B007-010-Nber - national bureau of economic research -centaurbench-benchmarking-llm-capabilities-on-au-202608.md</w:t>
            </w:r>
          </w:p>
        </w:tc>
      </w:tr>
    </w:tbl>
    <w:p/>
    <w:p>
      <w:pPr>
        <w:pStyle w:val="DocTitle"/>
      </w:pPr>
      <w:r>
        <w:t>CentaurBench: Benchmarking LLM Capabilities on Augmenting vs. Automating Real-World Work Tasks -- by Pattaraphon Kenny Wongchamcharoen, Kris Gulati, Min Min Fong, Abhishek Nagaraj</w:t>
      </w:r>
    </w:p>
    <w:p>
      <w:pPr>
        <w:pStyle w:val="DocH1"/>
      </w:pPr>
      <w:r>
        <w:rPr>
          <w:rFonts w:ascii="Times New Roman" w:hAnsi="Times New Roman" w:eastAsia="宋体"/>
          <w:sz w:val="24"/>
        </w:rPr>
        <w:t>CentaurBench: Benchmarking LLM Capabilities on Augmenting vs. Automating Real-World Work Tasks</w:t>
      </w:r>
    </w:p>
    <w:p>
      <w:pPr>
        <w:pStyle w:val="DocBody"/>
      </w:pPr>
      <w:hyperlink r:id="rId12">
        <w:r>
          <w:rPr>
            <w:rFonts w:ascii="Times New Roman" w:hAnsi="Times New Roman" w:eastAsia="宋体"/>
            <w:color w:val="0563C1"/>
            <w:sz w:val="24"/>
            <w:u w:val="single"/>
          </w:rPr>
          <w:t>Pattaraphon Kenny Wongchamcharoen</w:t>
        </w:r>
      </w:hyperlink>
      <w:r>
        <w:rPr>
          <w:rFonts w:ascii="Times New Roman" w:hAnsi="Times New Roman" w:eastAsia="宋体"/>
          <w:sz w:val="24"/>
        </w:rPr>
        <w:t xml:space="preserve">,  </w:t>
      </w:r>
      <w:hyperlink r:id="rId13">
        <w:r>
          <w:rPr>
            <w:rFonts w:ascii="Times New Roman" w:hAnsi="Times New Roman" w:eastAsia="宋体"/>
            <w:color w:val="0563C1"/>
            <w:sz w:val="24"/>
            <w:u w:val="single"/>
          </w:rPr>
          <w:t>Kris Gulati</w:t>
        </w:r>
      </w:hyperlink>
      <w:r>
        <w:rPr>
          <w:rFonts w:ascii="Times New Roman" w:hAnsi="Times New Roman" w:eastAsia="宋体"/>
          <w:sz w:val="24"/>
        </w:rPr>
        <w:t xml:space="preserve">,  </w:t>
      </w:r>
      <w:hyperlink r:id="rId14">
        <w:r>
          <w:rPr>
            <w:rFonts w:ascii="Times New Roman" w:hAnsi="Times New Roman" w:eastAsia="宋体"/>
            <w:color w:val="0563C1"/>
            <w:sz w:val="24"/>
            <w:u w:val="single"/>
          </w:rPr>
          <w:t>Min Min Fong</w:t>
        </w:r>
      </w:hyperlink>
      <w:r>
        <w:rPr>
          <w:rFonts w:ascii="Times New Roman" w:hAnsi="Times New Roman" w:eastAsia="宋体"/>
          <w:sz w:val="24"/>
        </w:rPr>
        <w:t xml:space="preserve"> &amp; </w:t>
      </w:r>
      <w:hyperlink r:id="rId15">
        <w:r>
          <w:rPr>
            <w:rFonts w:ascii="Times New Roman" w:hAnsi="Times New Roman" w:eastAsia="宋体"/>
            <w:color w:val="0563C1"/>
            <w:sz w:val="24"/>
            <w:u w:val="single"/>
          </w:rPr>
          <w:t>Abhishek Nagaraj</w:t>
        </w:r>
      </w:hyperlink>
    </w:p>
    <w:p>
      <w:pPr>
        <w:pStyle w:val="DocBody"/>
      </w:pPr>
      <w:hyperlink r:id="rId16">
        <w:r>
          <w:rPr>
            <w:rFonts w:ascii="Times New Roman" w:hAnsi="Times New Roman" w:eastAsia="宋体"/>
            <w:color w:val="0563C1"/>
            <w:sz w:val="24"/>
            <w:u w:val="single"/>
          </w:rPr>
          <w:t xml:space="preserve"> X </w:t>
        </w:r>
      </w:hyperlink>
      <w:r>
        <w:rPr>
          <w:rFonts w:ascii="Times New Roman" w:hAnsi="Times New Roman" w:eastAsia="宋体"/>
          <w:sz w:val="24"/>
        </w:rPr>
        <w:t xml:space="preserve"> </w:t>
      </w:r>
      <w:hyperlink r:id="rId17">
        <w:r>
          <w:rPr>
            <w:rFonts w:ascii="Times New Roman" w:hAnsi="Times New Roman" w:eastAsia="宋体"/>
            <w:color w:val="0563C1"/>
            <w:sz w:val="24"/>
            <w:u w:val="single"/>
          </w:rPr>
          <w:t xml:space="preserve"> LinkedIn </w:t>
        </w:r>
      </w:hyperlink>
      <w:r>
        <w:rPr>
          <w:rFonts w:ascii="Times New Roman" w:hAnsi="Times New Roman" w:eastAsia="宋体"/>
          <w:sz w:val="24"/>
        </w:rPr>
        <w:t xml:space="preserve"> </w:t>
      </w:r>
      <w:hyperlink r:id="rId18">
        <w:r>
          <w:rPr>
            <w:rFonts w:ascii="Times New Roman" w:hAnsi="Times New Roman" w:eastAsia="宋体"/>
            <w:color w:val="0563C1"/>
            <w:sz w:val="24"/>
            <w:u w:val="single"/>
          </w:rPr>
          <w:t xml:space="preserve"> Facebook </w:t>
        </w:r>
      </w:hyperlink>
      <w:r>
        <w:rPr>
          <w:rFonts w:ascii="Times New Roman" w:hAnsi="Times New Roman" w:eastAsia="宋体"/>
          <w:sz w:val="24"/>
        </w:rPr>
        <w:t xml:space="preserve"> </w:t>
      </w:r>
      <w:hyperlink r:id="rId19">
        <w:r>
          <w:rPr>
            <w:rFonts w:ascii="Times New Roman" w:hAnsi="Times New Roman" w:eastAsia="宋体"/>
            <w:color w:val="0563C1"/>
            <w:sz w:val="24"/>
            <w:u w:val="single"/>
          </w:rPr>
          <w:t xml:space="preserve"> Bluesky </w:t>
        </w:r>
      </w:hyperlink>
      <w:r>
        <w:rPr>
          <w:rFonts w:ascii="Times New Roman" w:hAnsi="Times New Roman" w:eastAsia="宋体"/>
          <w:sz w:val="24"/>
        </w:rPr>
        <w:t xml:space="preserve"> </w:t>
      </w:r>
      <w:hyperlink r:id="rId20">
        <w:r>
          <w:rPr>
            <w:rFonts w:ascii="Times New Roman" w:hAnsi="Times New Roman" w:eastAsia="宋体"/>
            <w:color w:val="0563C1"/>
            <w:sz w:val="24"/>
            <w:u w:val="single"/>
          </w:rPr>
          <w:t xml:space="preserve"> Threads </w:t>
        </w:r>
      </w:hyperlink>
      <w:r>
        <w:rPr>
          <w:rFonts w:ascii="Times New Roman" w:hAnsi="Times New Roman" w:eastAsia="宋体"/>
          <w:sz w:val="24"/>
        </w:rPr>
        <w:t xml:space="preserve"> Email </w:t>
      </w:r>
      <w:hyperlink r:id="rId11">
        <w:r>
          <w:rPr>
            <w:rFonts w:ascii="Times New Roman" w:hAnsi="Times New Roman" w:eastAsia="宋体"/>
            <w:color w:val="0563C1"/>
            <w:sz w:val="24"/>
            <w:u w:val="single"/>
          </w:rPr>
          <w:t xml:space="preserve"> Link </w:t>
        </w:r>
      </w:hyperlink>
    </w:p>
    <w:p>
      <w:pPr>
        <w:pStyle w:val="DocBody"/>
      </w:pPr>
      <w:r>
        <w:rPr>
          <w:rFonts w:ascii="Times New Roman" w:hAnsi="Times New Roman" w:eastAsia="宋体"/>
          <w:sz w:val="24"/>
        </w:rPr>
        <w:t>Working Paper 35663 DOI 10.3386/w35663 Issue Date August 2026 Most LLM benchmarks rank models on their ability to automate work tasks. In practice, however, models are often used to assist other (human or LLM) agents. The question that drives model selection is therefore not only which model produces the best output, but which model most improves the work of another (weaker) agent. We introduce a unified framework that evaluates the capability of models to automate and augment another agent's performance. Across seven economically grounded real-world tasks, an assistant model writes assistance text for a standardized lower-capacity worker model, which produces the deliverable. In automation mode, the assistant produces the output directly. Outputs are scored through blind pairwise comparisons by an LLM judge panel with task-specific rubrics, replicated across ten runs. Rankings across the two regimes are only modestly correlated, and the automation winner loses augmentation on five of seven tasks. Assistance is not reliably positive. The unaided worker outranks every assisted condition on three tasks, and only one model's guidance beats no guidance on average. These results suggest that automation ability is an incomplete proxy for assistance quality, motivating benchmarks that evaluate models according to the roles they play in human-AI and multi-agent systems.</w:t>
      </w:r>
    </w:p>
    <w:p>
      <w:pPr>
        <w:pStyle w:val="DocBody"/>
      </w:pPr>
      <w:r>
        <w:rPr>
          <w:rFonts w:ascii="Times New Roman" w:hAnsi="Times New Roman" w:eastAsia="宋体"/>
          <w:sz w:val="24"/>
        </w:rPr>
        <w:t>You may have unlimited free access to working papers. Many colleges and universities have institutional subscriptions. If you are affiliated with a subscribing institution, please access this site through your on-campus IP address. This should permit unlimited downloads. Alternatively, you can [). This will enable you to download working papers when you are away from your institution’s network.</w:t>
      </w:r>
    </w:p>
    <w:p>
      <w:pPr>
        <w:pStyle w:val="DocBody"/>
      </w:pPr>
      <w:r>
        <w:rPr>
          <w:rFonts w:ascii="Times New Roman" w:hAnsi="Times New Roman" w:eastAsia="宋体"/>
          <w:sz w:val="24"/>
        </w:rPr>
        <w:t>If you are affiliated with a subscribing institution, you may also request that this paper be sent to your institutional email address. Please Email Address In addition, all visitors to the NBER website are eligible for 3 free downloads each year.</w:t>
      </w:r>
    </w:p>
    <w:p>
      <w:pPr>
        <w:pStyle w:val="DocBody"/>
      </w:pPr>
      <w:r>
        <w:rPr>
          <w:rFonts w:ascii="Times New Roman" w:hAnsi="Times New Roman" w:eastAsia="宋体"/>
          <w:sz w:val="24"/>
        </w:rPr>
        <w:t>You have used 0 of 3.</w:t>
      </w:r>
    </w:p>
    <w:p>
      <w:pPr>
        <w:pStyle w:val="DocBody"/>
      </w:pPr>
      <w:hyperlink r:id="rId21">
        <w:r>
          <w:rPr>
            <w:rFonts w:ascii="Times New Roman" w:hAnsi="Times New Roman" w:eastAsia="宋体"/>
            <w:color w:val="0563C1"/>
            <w:sz w:val="24"/>
            <w:u w:val="single"/>
          </w:rPr>
          <w:t>Download a PDF</w:t>
        </w:r>
      </w:hyperlink>
    </w:p>
    <w:p>
      <w:pPr>
        <w:pStyle w:val="DocBody"/>
        <w:ind w:left="765"/>
      </w:pPr>
      <w:r>
        <w:rPr>
          <w:rFonts w:ascii="Times New Roman" w:hAnsi="Times New Roman" w:eastAsia="宋体"/>
          <w:sz w:val="24"/>
        </w:rPr>
        <w:t>Acknowledgements and Disclosures We thank Shruti Vora for invaluable research assistance and members of the Data Innovation &amp; AI Lab (DIAL) for helpful discussions and iterative feedback. This work received no external funding, although Expected Parrot and Together AI provided in-kind model-inference credits used in the research. Any opinions, conclusions, or views expressed herein are those of the authors and do not necessarily reflect the views of the National Bureau of Economic Research.</w:t>
      </w:r>
    </w:p>
    <w:p>
      <w:pPr>
        <w:pStyle w:val="DocBody"/>
        <w:ind w:left="765"/>
      </w:pPr>
      <w:r>
        <w:rPr>
          <w:rFonts w:ascii="Times New Roman" w:hAnsi="Times New Roman" w:eastAsia="宋体"/>
          <w:sz w:val="24"/>
        </w:rPr>
        <w:t>Citation and Citation Data Copy Citation Pattaraphon Kenny Wongchamcharoen, Kris Gulati, Min Min Fong, and Abhishek Nagaraj, "CentaurBench: Benchmarking LLM Capabilities on Augmenting vs. Automating Real-World Work Tasks," NBER Working Paper 35663 (2026), https://doi.org/10.3386/w35663.</w:t>
      </w:r>
    </w:p>
    <w:p>
      <w:pPr>
        <w:pStyle w:val="DocBody"/>
      </w:pPr>
      <w:r>
        <w:rPr>
          <w:rFonts w:ascii="Times New Roman" w:hAnsi="Times New Roman" w:eastAsia="宋体"/>
          <w:sz w:val="24"/>
        </w:rPr>
        <w:t>Copy to Clipboard Download Citation MARC RIS BibTeΧ Download Citation Data</w:t>
      </w:r>
    </w:p>
    <w:p>
      <w:pPr>
        <w:pStyle w:val="DocBody"/>
        <w:ind w:left="765"/>
      </w:pPr>
      <w:r>
        <w:rPr>
          <w:rFonts w:ascii="Times New Roman" w:hAnsi="Times New Roman" w:eastAsia="宋体"/>
          <w:sz w:val="24"/>
        </w:rPr>
        <w:t>Associated Links</w:t>
      </w:r>
    </w:p>
    <w:p>
      <w:pPr>
        <w:pStyle w:val="DocBody"/>
        <w:ind w:left="1106"/>
      </w:pPr>
      <w:hyperlink r:id="rId22">
        <w:r>
          <w:rPr>
            <w:rFonts w:ascii="Times New Roman" w:hAnsi="Times New Roman" w:eastAsia="宋体"/>
            <w:color w:val="0563C1"/>
            <w:sz w:val="24"/>
            <w:u w:val="single"/>
          </w:rPr>
          <w:t>Code</w:t>
        </w:r>
      </w:hyperlink>
    </w:p>
    <w:p>
      <w:pPr>
        <w:pStyle w:val="DocBody"/>
        <w:ind w:left="1106"/>
      </w:pPr>
      <w:hyperlink r:id="rId23">
        <w:r>
          <w:rPr>
            <w:rFonts w:ascii="Times New Roman" w:hAnsi="Times New Roman" w:eastAsia="宋体"/>
            <w:color w:val="0563C1"/>
            <w:sz w:val="24"/>
            <w:u w:val="single"/>
          </w:rPr>
          <w:t>Dashboard</w:t>
        </w:r>
      </w:hyperlink>
    </w:p>
    <w:p>
      <w:pPr>
        <w:pStyle w:val="DocH1"/>
      </w:pPr>
      <w:r>
        <w:rPr>
          <w:rFonts w:ascii="Times New Roman" w:hAnsi="Times New Roman" w:eastAsia="宋体"/>
          <w:sz w:val="24"/>
        </w:rPr>
        <w:t>Related</w:t>
      </w:r>
    </w:p>
    <w:p>
      <w:pPr>
        <w:pStyle w:val="DocH1"/>
      </w:pPr>
      <w:r>
        <w:rPr>
          <w:rFonts w:ascii="Times New Roman" w:hAnsi="Times New Roman" w:eastAsia="宋体"/>
          <w:sz w:val="24"/>
        </w:rPr>
        <w:t>Topics Programs</w:t>
      </w:r>
    </w:p>
    <w:p>
      <w:pPr>
        <w:pStyle w:val="DocBody"/>
      </w:pPr>
      <w:hyperlink r:id="rId24">
        <w:r>
          <w:rPr>
            <w:rFonts w:ascii="Times New Roman" w:hAnsi="Times New Roman" w:eastAsia="宋体"/>
            <w:color w:val="0563C1"/>
            <w:sz w:val="24"/>
            <w:u w:val="single"/>
          </w:rPr>
          <w:t>Labor Studies</w:t>
        </w:r>
      </w:hyperlink>
    </w:p>
    <w:p>
      <w:pPr>
        <w:pStyle w:val="DocBody"/>
      </w:pPr>
      <w:hyperlink r:id="rId25">
        <w:r>
          <w:rPr>
            <w:rFonts w:ascii="Times New Roman" w:hAnsi="Times New Roman" w:eastAsia="宋体"/>
            <w:color w:val="0563C1"/>
            <w:sz w:val="24"/>
            <w:u w:val="single"/>
          </w:rPr>
          <w:t>Productivity, Innovation, and Entrepreneurship</w:t>
        </w:r>
      </w:hyperlink>
    </w:p>
    <w:p>
      <w:pPr>
        <w:pStyle w:val="DocH1"/>
      </w:pPr>
      <w:r>
        <w:rPr>
          <w:rFonts w:ascii="Times New Roman" w:hAnsi="Times New Roman" w:eastAsia="宋体"/>
          <w:sz w:val="24"/>
        </w:rPr>
        <w:t>More from the NBER</w:t>
      </w:r>
    </w:p>
    <w:p>
      <w:r/>
    </w:p>
    <w:p>
      <w:pPr>
        <w:jc w:val="center"/>
      </w:pPr>
      <w:r>
        <w:rPr>
          <w:rFonts w:ascii="Times New Roman" w:hAnsi="Times New Roman" w:eastAsia="宋体"/>
          <w:i/>
          <w:color w:val="595959"/>
          <w:sz w:val="21"/>
        </w:rPr>
        <w:t>［原图未能获取：https://www.nber.org/sites/default/files/styles/promo/public/2026-07/2026%20Martin%20Feldstein.png?i］</w:t>
      </w:r>
    </w:p>
    <w:p>
      <w:pPr>
        <w:pStyle w:val="DocBody"/>
      </w:pPr>
      <w:hyperlink r:id="rId26">
        <w:r>
          <w:rPr>
            <w:rFonts w:ascii="Times New Roman" w:hAnsi="Times New Roman" w:eastAsia="宋体"/>
            <w:color w:val="0563C1"/>
            <w:sz w:val="24"/>
            <w:u w:val="single"/>
          </w:rPr>
          <w:t xml:space="preserve"> 2026, 18th Annual Feldstein Lecture, Mark Duggan, "Social Security Reform in an Era of Fiscal Deficits" </w:t>
        </w:r>
      </w:hyperlink>
    </w:p>
    <w:p>
      <w:pPr>
        <w:pStyle w:val="DocBody"/>
        <w:ind w:left="765"/>
      </w:pPr>
      <w:r>
        <w:rPr>
          <w:rFonts w:ascii="Times New Roman" w:hAnsi="Times New Roman" w:eastAsia="宋体"/>
          <w:sz w:val="24"/>
        </w:rPr>
        <w:t>Feldstein Lecture</w:t>
      </w:r>
    </w:p>
    <w:p>
      <w:pPr>
        <w:pStyle w:val="DocBody"/>
        <w:ind w:left="765"/>
      </w:pPr>
      <w:r>
        <w:rPr>
          <w:rFonts w:ascii="Times New Roman" w:hAnsi="Times New Roman" w:eastAsia="宋体"/>
          <w:sz w:val="24"/>
        </w:rPr>
        <w:t xml:space="preserve">Presenter:  </w:t>
      </w:r>
      <w:hyperlink r:id="rId27">
        <w:r>
          <w:rPr>
            <w:rFonts w:ascii="Times New Roman" w:hAnsi="Times New Roman" w:eastAsia="宋体"/>
            <w:color w:val="0563C1"/>
            <w:sz w:val="24"/>
            <w:u w:val="single"/>
          </w:rPr>
          <w:t>Mark Duggan</w:t>
        </w:r>
      </w:hyperlink>
    </w:p>
    <w:p>
      <w:pPr>
        <w:pStyle w:val="DocBody"/>
      </w:pPr>
      <w:r>
        <w:rPr>
          <w:rFonts w:ascii="Times New Roman" w:hAnsi="Times New Roman" w:eastAsia="宋体"/>
          <w:sz w:val="24"/>
        </w:rPr>
        <w:t>Mark Duggan, who is currently the Wayne and Jodi Cooperman Professor of Economics at Stanford University and will soon...</w:t>
      </w:r>
    </w:p>
    <w:p>
      <w:r/>
    </w:p>
    <w:p>
      <w:pPr>
        <w:jc w:val="center"/>
      </w:pPr>
      <w:r>
        <w:rPr>
          <w:rFonts w:ascii="Times New Roman" w:hAnsi="Times New Roman" w:eastAsia="宋体"/>
          <w:i/>
          <w:color w:val="595959"/>
          <w:sz w:val="21"/>
        </w:rPr>
        <w:t>［原图未能获取：https://www.nber.org/sites/default/files/styles/promo/public/2026-08/SI%202026%20Methods%20Lecture.p］</w:t>
      </w:r>
    </w:p>
    <w:p>
      <w:pPr>
        <w:pStyle w:val="DocBody"/>
      </w:pPr>
      <w:hyperlink r:id="rId28">
        <w:r>
          <w:rPr>
            <w:rFonts w:ascii="Times New Roman" w:hAnsi="Times New Roman" w:eastAsia="宋体"/>
            <w:color w:val="0563C1"/>
            <w:sz w:val="24"/>
            <w:u w:val="single"/>
          </w:rPr>
          <w:t xml:space="preserve"> 2026, Methods Lecture, Melissa Dell and Ashesh Rambachan, "Estimation and Inference with AI-Generated Data" </w:t>
        </w:r>
      </w:hyperlink>
    </w:p>
    <w:p>
      <w:pPr>
        <w:pStyle w:val="DocBody"/>
        <w:ind w:left="765"/>
      </w:pPr>
      <w:r>
        <w:rPr>
          <w:rFonts w:ascii="Times New Roman" w:hAnsi="Times New Roman" w:eastAsia="宋体"/>
          <w:sz w:val="24"/>
        </w:rPr>
        <w:t>Methods Lectures</w:t>
      </w:r>
    </w:p>
    <w:p>
      <w:pPr>
        <w:pStyle w:val="DocBody"/>
        <w:ind w:left="765"/>
      </w:pPr>
      <w:r>
        <w:rPr>
          <w:rFonts w:ascii="Times New Roman" w:hAnsi="Times New Roman" w:eastAsia="宋体"/>
          <w:sz w:val="24"/>
        </w:rPr>
        <w:t xml:space="preserve">Presenters:  </w:t>
      </w:r>
      <w:hyperlink r:id="rId29">
        <w:r>
          <w:rPr>
            <w:rFonts w:ascii="Times New Roman" w:hAnsi="Times New Roman" w:eastAsia="宋体"/>
            <w:color w:val="0563C1"/>
            <w:sz w:val="24"/>
            <w:u w:val="single"/>
          </w:rPr>
          <w:t>Melissa Dell</w:t>
        </w:r>
      </w:hyperlink>
      <w:r>
        <w:rPr>
          <w:rFonts w:ascii="Times New Roman" w:hAnsi="Times New Roman" w:eastAsia="宋体"/>
          <w:sz w:val="24"/>
        </w:rPr>
        <w:t xml:space="preserve"> &amp; </w:t>
      </w:r>
      <w:hyperlink r:id="rId30">
        <w:r>
          <w:rPr>
            <w:rFonts w:ascii="Times New Roman" w:hAnsi="Times New Roman" w:eastAsia="宋体"/>
            <w:color w:val="0563C1"/>
            <w:sz w:val="24"/>
            <w:u w:val="single"/>
          </w:rPr>
          <w:t>Ashesh Rambachan</w:t>
        </w:r>
      </w:hyperlink>
    </w:p>
    <w:p>
      <w:pPr>
        <w:pStyle w:val="DocBody"/>
      </w:pPr>
      <w:r>
        <w:rPr>
          <w:rFonts w:ascii="Times New Roman" w:hAnsi="Times New Roman" w:eastAsia="宋体"/>
          <w:sz w:val="24"/>
        </w:rPr>
        <w:t>Research Associate Melissa Dell of Harvard University and Ashesh Rambachan of MIT delivered the 2026 Methods...</w:t>
      </w:r>
    </w:p>
    <w:p>
      <w:r/>
    </w:p>
    <w:p>
      <w:pPr>
        <w:jc w:val="center"/>
      </w:pPr>
      <w:r>
        <w:rPr>
          <w:rFonts w:ascii="Times New Roman" w:hAnsi="Times New Roman" w:eastAsia="宋体"/>
          <w:i/>
          <w:color w:val="595959"/>
          <w:sz w:val="21"/>
        </w:rPr>
        <w:t>［原图未能获取：https://www.nber.org/sites/default/files/styles/promo/public/2026-07/Household%20Finance%20SI%202026］</w:t>
      </w:r>
    </w:p>
    <w:p>
      <w:pPr>
        <w:pStyle w:val="DocBody"/>
      </w:pPr>
      <w:hyperlink r:id="rId31">
        <w:r>
          <w:rPr>
            <w:rFonts w:ascii="Times New Roman" w:hAnsi="Times New Roman" w:eastAsia="宋体"/>
            <w:color w:val="0563C1"/>
            <w:sz w:val="24"/>
            <w:u w:val="single"/>
          </w:rPr>
          <w:t xml:space="preserve"> 2026, SI Household Finance, Paul Goldsmith-Pinkham, "Using AI in Household Finance Research: A Practical Guide" </w:t>
        </w:r>
      </w:hyperlink>
    </w:p>
    <w:p>
      <w:pPr>
        <w:pStyle w:val="DocBody"/>
        <w:ind w:left="765"/>
      </w:pPr>
      <w:r>
        <w:rPr>
          <w:rFonts w:ascii="Times New Roman" w:hAnsi="Times New Roman" w:eastAsia="宋体"/>
          <w:sz w:val="24"/>
        </w:rPr>
        <w:t>Video</w:t>
      </w:r>
    </w:p>
    <w:p>
      <w:pPr>
        <w:pStyle w:val="DocBody"/>
        <w:ind w:left="765"/>
      </w:pPr>
      <w:r>
        <w:rPr>
          <w:rFonts w:ascii="Times New Roman" w:hAnsi="Times New Roman" w:eastAsia="宋体"/>
          <w:sz w:val="24"/>
        </w:rPr>
        <w:t xml:space="preserve">Presenter:  </w:t>
      </w:r>
      <w:hyperlink r:id="rId32">
        <w:r>
          <w:rPr>
            <w:rFonts w:ascii="Times New Roman" w:hAnsi="Times New Roman" w:eastAsia="宋体"/>
            <w:color w:val="0563C1"/>
            <w:sz w:val="24"/>
            <w:u w:val="single"/>
          </w:rPr>
          <w:t>Paul Goldsmith-Pinkham</w:t>
        </w:r>
      </w:hyperlink>
    </w:p>
    <w:p>
      <w:pPr>
        <w:pStyle w:val="DocBody"/>
      </w:pPr>
      <w:r>
        <w:rPr>
          <w:rFonts w:ascii="Times New Roman" w:hAnsi="Times New Roman" w:eastAsia="宋体"/>
          <w:sz w:val="24"/>
        </w:rPr>
        <w:t>Supported by the Vanguard Group</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B007-010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ber.org/papers/w35663#fromrss" TargetMode="External"/><Relationship Id="rId12" Type="http://schemas.openxmlformats.org/officeDocument/2006/relationships/hyperlink" Target="https://www.nber.org/people/kenny_wongchamcharoen" TargetMode="External"/><Relationship Id="rId13" Type="http://schemas.openxmlformats.org/officeDocument/2006/relationships/hyperlink" Target="https://www.nber.org/people/kris_gulati" TargetMode="External"/><Relationship Id="rId14" Type="http://schemas.openxmlformats.org/officeDocument/2006/relationships/hyperlink" Target="https://www.nber.org/people/min_min_fong" TargetMode="External"/><Relationship Id="rId15" Type="http://schemas.openxmlformats.org/officeDocument/2006/relationships/hyperlink" Target="https://www.nber.org/people/abhishek_nagaraj" TargetMode="External"/><Relationship Id="rId16" Type="http://schemas.openxmlformats.org/officeDocument/2006/relationships/hyperlink" Target="https://twitter.com/intent/?text=CentaurBench%3A%20Benchmarking%20LLM%20Capabilities%20on%20Augmenting%20vs.%20Automating%20Real-World%20Work%20Tasks&amp;url=https://www.nber.org/papers/w35663" TargetMode="External"/><Relationship Id="rId17" Type="http://schemas.openxmlformats.org/officeDocument/2006/relationships/hyperlink" Target="https://www.linkedin.com/sharing/share-offsite/?url=https://www.nber.org/papers/w35663" TargetMode="External"/><Relationship Id="rId18" Type="http://schemas.openxmlformats.org/officeDocument/2006/relationships/hyperlink" Target="https://www.facebook.com/sharer/sharer.php?u=https://www.nber.org/papers/w35663" TargetMode="External"/><Relationship Id="rId19" Type="http://schemas.openxmlformats.org/officeDocument/2006/relationships/hyperlink" Target="https://bsky.app/intent/compose?text=CentaurBench%3A%20Benchmarking%20LLM%20Capabilities%20on%20Augmenting%20vs.%20Automating%20Real-World%20Work%20Tasks+https://www.nber.org/papers/w35663" TargetMode="External"/><Relationship Id="rId20" Type="http://schemas.openxmlformats.org/officeDocument/2006/relationships/hyperlink" Target="https://www.threads.net/intent/post?text=CentaurBench%3A%20Benchmarking%20LLM%20Capabilities%20on%20Augmenting%20vs.%20Automating%20Real-World%20Work%20Tasks&amp;url=https://www.nber.org/papers/w35663" TargetMode="External"/><Relationship Id="rId21" Type="http://schemas.openxmlformats.org/officeDocument/2006/relationships/hyperlink" Target="https://www.nber.org/system/files/working_papers/w35663/w35663.pdf" TargetMode="External"/><Relationship Id="rId22" Type="http://schemas.openxmlformats.org/officeDocument/2006/relationships/hyperlink" Target="https://github.com/kennywong524/best-player-not-best-coach" TargetMode="External"/><Relationship Id="rId23" Type="http://schemas.openxmlformats.org/officeDocument/2006/relationships/hyperlink" Target="https://kennywong524.github.io/centaur-benchmark/" TargetMode="External"/><Relationship Id="rId24" Type="http://schemas.openxmlformats.org/officeDocument/2006/relationships/hyperlink" Target="https://www.nber.org/programs-projects/programs-working-groups/labor-studies" TargetMode="External"/><Relationship Id="rId25" Type="http://schemas.openxmlformats.org/officeDocument/2006/relationships/hyperlink" Target="https://www.nber.org/programs-projects/programs-working-groups/productivity-innovation-and-entrepreneurship" TargetMode="External"/><Relationship Id="rId26" Type="http://schemas.openxmlformats.org/officeDocument/2006/relationships/hyperlink" Target="https://www.nber.org/research/videos/2026-18th-annual-feldstein-lecture-mark-duggan-social-security-reform-era-fiscal-deficits" TargetMode="External"/><Relationship Id="rId27" Type="http://schemas.openxmlformats.org/officeDocument/2006/relationships/hyperlink" Target="https://www.nber.org/people/mark_duggan" TargetMode="External"/><Relationship Id="rId28" Type="http://schemas.openxmlformats.org/officeDocument/2006/relationships/hyperlink" Target="https://www.nber.org/research/videos/2026-methods-lecture-melissa-dell-and-ashesh-rambachan-estimation-and-inference-ai-generated-data" TargetMode="External"/><Relationship Id="rId29" Type="http://schemas.openxmlformats.org/officeDocument/2006/relationships/hyperlink" Target="https://www.nber.org/people/melissa_dell" TargetMode="External"/><Relationship Id="rId30" Type="http://schemas.openxmlformats.org/officeDocument/2006/relationships/hyperlink" Target="https://www.nber.org/people/ashesh_rambachan" TargetMode="External"/><Relationship Id="rId31" Type="http://schemas.openxmlformats.org/officeDocument/2006/relationships/hyperlink" Target="https://www.nber.org/research/videos/2026-si-household-finance-paul-goldsmith-pinkham-using-ai-household-finance-research-practical-guide" TargetMode="External"/><Relationship Id="rId32" Type="http://schemas.openxmlformats.org/officeDocument/2006/relationships/hyperlink" Target="https://www.nber.org/people/paul_goldsmithpinkh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CentaurBench: Benchmarking LLM Capabilities on Augmenting vs. Automating Real-World Work Tasks -- by Pattaraphon Kenny Wongchamcharoen, Kris Gulati, Min Min Fong, Abhishek Nagaraj</dc:title>
  <dc:subject/>
  <dc:creator>briefing-article-kb</dc:creator>
  <cp:keywords/>
  <dc:description>https://www.nber.org/papers/w35663#fromrss</dc:description>
  <cp:lastModifiedBy/>
  <cp:revision>1</cp:revision>
  <dcterms:created xsi:type="dcterms:W3CDTF">2013-12-23T23:15:00Z</dcterms:created>
  <dcterms:modified xsi:type="dcterms:W3CDTF">2013-12-23T23:15:00Z</dcterms:modified>
  <cp:category/>
</cp:coreProperties>
</file>