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B003-005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Hoover（Hoover Institution - China Program）</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Cost Of Decoupling With China</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https://cms.hoover.org/research/cost-decoupling-china</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B003-005-Hoover institution - china program -a-hrefhttpscmshooverorgresearchcost-decoupling-c-202608.md</w:t>
            </w:r>
          </w:p>
        </w:tc>
      </w:tr>
    </w:tbl>
    <w:p/>
    <w:p>
      <w:pPr>
        <w:pStyle w:val="DocTitle"/>
      </w:pPr>
      <w:r>
        <w:t>The Cost Of Decoupling With China</w:t>
      </w:r>
    </w:p>
    <w:p>
      <w:pPr>
        <w:pStyle w:val="DocBody"/>
      </w:pPr>
      <w:r>
        <w:rPr>
          <w:rFonts w:ascii="Times New Roman" w:hAnsi="Times New Roman" w:eastAsia="宋体"/>
          <w:sz w:val="24"/>
        </w:rPr>
        <w:t>Loading...</w:t>
      </w:r>
    </w:p>
    <w:p>
      <w:pPr>
        <w:pStyle w:val="DocBody"/>
        <w:ind w:left="765"/>
      </w:pPr>
      <w:r>
        <w:rPr>
          <w:rFonts w:ascii="Times New Roman" w:hAnsi="Times New Roman" w:eastAsia="宋体"/>
          <w:sz w:val="24"/>
        </w:rPr>
        <w:t>About Us</w:t>
      </w:r>
    </w:p>
    <w:p>
      <w:pPr>
        <w:pStyle w:val="DocBody"/>
        <w:ind w:left="765"/>
      </w:pPr>
      <w:r>
        <w:rPr>
          <w:rFonts w:ascii="Times New Roman" w:hAnsi="Times New Roman" w:eastAsia="宋体"/>
          <w:sz w:val="24"/>
        </w:rPr>
        <w:t>Videos</w:t>
      </w:r>
    </w:p>
    <w:p>
      <w:pPr>
        <w:pStyle w:val="DocBody"/>
        <w:ind w:left="765"/>
      </w:pPr>
      <w:r>
        <w:rPr>
          <w:rFonts w:ascii="Times New Roman" w:hAnsi="Times New Roman" w:eastAsia="宋体"/>
          <w:sz w:val="24"/>
        </w:rPr>
        <w:t>Series</w:t>
      </w:r>
    </w:p>
    <w:p>
      <w:pPr>
        <w:pStyle w:val="DocBody"/>
        <w:ind w:left="765"/>
      </w:pPr>
      <w:r>
        <w:rPr>
          <w:rFonts w:ascii="Times New Roman" w:hAnsi="Times New Roman" w:eastAsia="宋体"/>
          <w:sz w:val="24"/>
        </w:rPr>
        <w:t>Archive</w:t>
      </w:r>
    </w:p>
    <w:p>
      <w:pPr>
        <w:pStyle w:val="DocBody"/>
        <w:ind w:left="765"/>
      </w:pPr>
      <w:r>
        <w:rPr>
          <w:rFonts w:ascii="Times New Roman" w:hAnsi="Times New Roman" w:eastAsia="宋体"/>
          <w:sz w:val="24"/>
        </w:rPr>
        <w:t>Freedom to Prosper</w:t>
      </w:r>
    </w:p>
    <w:p>
      <w:pPr>
        <w:pStyle w:val="DocBody"/>
        <w:ind w:left="765"/>
      </w:pPr>
      <w:r>
        <w:rPr>
          <w:rFonts w:ascii="Times New Roman" w:hAnsi="Times New Roman" w:eastAsia="宋体"/>
          <w:sz w:val="24"/>
        </w:rPr>
        <w:t>Freedom Then and Now</w:t>
      </w:r>
    </w:p>
    <w:p>
      <w:pPr>
        <w:pStyle w:val="DocBody"/>
        <w:ind w:left="765"/>
      </w:pPr>
      <w:r>
        <w:rPr>
          <w:rFonts w:ascii="Times New Roman" w:hAnsi="Times New Roman" w:eastAsia="宋体"/>
          <w:sz w:val="24"/>
        </w:rPr>
        <w:t>Freedom's Frontline</w:t>
      </w:r>
    </w:p>
    <w:p>
      <w:pPr>
        <w:pStyle w:val="DocBody"/>
        <w:ind w:left="765"/>
      </w:pPr>
      <w:r>
        <w:rPr>
          <w:rFonts w:ascii="Times New Roman" w:hAnsi="Times New Roman" w:eastAsia="宋体"/>
          <w:sz w:val="24"/>
        </w:rPr>
        <w:t>Freedom at Home</w:t>
      </w:r>
    </w:p>
    <w:p>
      <w:pPr>
        <w:pStyle w:val="DocBody"/>
        <w:ind w:left="765"/>
      </w:pPr>
      <w:r>
        <w:rPr>
          <w:rFonts w:ascii="Times New Roman" w:hAnsi="Times New Roman" w:eastAsia="宋体"/>
          <w:sz w:val="24"/>
        </w:rPr>
        <w:t>Freedom in the World</w:t>
      </w:r>
    </w:p>
    <w:p>
      <w:pPr>
        <w:pStyle w:val="DocBody"/>
        <w:ind w:left="765"/>
      </w:pPr>
      <w:r>
        <w:rPr>
          <w:rFonts w:ascii="Times New Roman" w:hAnsi="Times New Roman" w:eastAsia="宋体"/>
          <w:sz w:val="24"/>
        </w:rPr>
        <w:t>Freedom to Innovate</w:t>
      </w:r>
    </w:p>
    <w:p>
      <w:pPr>
        <w:pStyle w:val="DocBody"/>
      </w:pPr>
      <w:r>
        <w:rPr>
          <w:rFonts w:ascii="Times New Roman" w:hAnsi="Times New Roman" w:eastAsia="宋体"/>
          <w:sz w:val="24"/>
        </w:rPr>
        <w:t>Loading...</w:t>
      </w:r>
    </w:p>
    <w:p>
      <w:pPr>
        <w:pStyle w:val="DocBody"/>
        <w:ind w:left="765"/>
      </w:pPr>
      <w:r>
        <w:rPr>
          <w:rFonts w:ascii="Times New Roman" w:hAnsi="Times New Roman" w:eastAsia="宋体"/>
          <w:sz w:val="24"/>
        </w:rPr>
        <w:t>The Commons Dispatch</w:t>
      </w:r>
    </w:p>
    <w:p>
      <w:pPr>
        <w:pStyle w:val="DocBody"/>
        <w:ind w:left="765"/>
      </w:pPr>
      <w:r>
        <w:rPr>
          <w:rFonts w:ascii="Times New Roman" w:hAnsi="Times New Roman" w:eastAsia="宋体"/>
          <w:sz w:val="24"/>
        </w:rPr>
        <w:t>Founders &amp; Fellows</w:t>
      </w:r>
    </w:p>
    <w:p>
      <w:pPr>
        <w:pStyle w:val="DocBody"/>
        <w:ind w:left="765"/>
      </w:pPr>
      <w:r>
        <w:rPr>
          <w:rFonts w:ascii="Times New Roman" w:hAnsi="Times New Roman" w:eastAsia="宋体"/>
          <w:sz w:val="24"/>
        </w:rPr>
        <w:t>Liberty Amplified</w:t>
      </w:r>
    </w:p>
    <w:p>
      <w:pPr>
        <w:pStyle w:val="DocBody"/>
        <w:ind w:left="765"/>
      </w:pPr>
      <w:r>
        <w:rPr>
          <w:rFonts w:ascii="Times New Roman" w:hAnsi="Times New Roman" w:eastAsia="宋体"/>
          <w:sz w:val="24"/>
        </w:rPr>
        <w:t>More</w:t>
      </w:r>
    </w:p>
    <w:p>
      <w:pPr>
        <w:pStyle w:val="DocBody"/>
      </w:pPr>
      <w:r>
        <w:rPr>
          <w:rFonts w:ascii="Times New Roman" w:hAnsi="Times New Roman" w:eastAsia="宋体"/>
          <w:sz w:val="24"/>
        </w:rPr>
        <w:t>Featured Series</w:t>
      </w:r>
    </w:p>
    <w:p>
      <w:pPr>
        <w:jc w:val="center"/>
      </w:pPr>
      <w:r>
        <w:rPr>
          <w:rFonts w:ascii="Times New Roman" w:hAnsi="Times New Roman" w:eastAsia="宋体"/>
          <w:i/>
          <w:color w:val="595959"/>
          <w:sz w:val="21"/>
        </w:rPr>
        <w:t>［原图未能获取：https://cms.hoover.org/_next/image?url=https%3A%2F%2Fsubstack-post-media.s3.amazonaws.com%2Fpublic%2］</w:t>
      </w:r>
    </w:p>
    <w:p>
      <w:pPr>
        <w:pStyle w:val="DocH1"/>
      </w:pPr>
      <w:r>
        <w:rPr>
          <w:rFonts w:ascii="Times New Roman" w:hAnsi="Times New Roman" w:eastAsia="宋体"/>
          <w:sz w:val="24"/>
        </w:rPr>
        <w:t>The Commons Dispatch</w:t>
      </w:r>
    </w:p>
    <w:p>
      <w:pPr>
        <w:pStyle w:val="DocH1"/>
      </w:pPr>
      <w:r>
        <w:rPr>
          <w:rFonts w:ascii="Times New Roman" w:hAnsi="Times New Roman" w:eastAsia="宋体"/>
          <w:sz w:val="24"/>
        </w:rPr>
        <w:t>American Power</w:t>
      </w:r>
    </w:p>
    <w:p>
      <w:pPr>
        <w:pStyle w:val="DocH1"/>
      </w:pPr>
      <w:r>
        <w:rPr>
          <w:rFonts w:ascii="Times New Roman" w:hAnsi="Times New Roman" w:eastAsia="宋体"/>
          <w:sz w:val="24"/>
        </w:rPr>
        <w:t>China</w:t>
      </w:r>
    </w:p>
    <w:p>
      <w:pPr>
        <w:pStyle w:val="DocH1"/>
      </w:pPr>
      <w:r>
        <w:rPr>
          <w:rFonts w:ascii="Times New Roman" w:hAnsi="Times New Roman" w:eastAsia="宋体"/>
          <w:sz w:val="24"/>
        </w:rPr>
        <w:t>Economics</w:t>
      </w:r>
    </w:p>
    <w:p>
      <w:pPr>
        <w:pStyle w:val="DocH1"/>
      </w:pPr>
      <w:r>
        <w:rPr>
          <w:rFonts w:ascii="Times New Roman" w:hAnsi="Times New Roman" w:eastAsia="宋体"/>
          <w:sz w:val="24"/>
        </w:rPr>
        <w:t>Trade</w:t>
      </w:r>
    </w:p>
    <w:p>
      <w:pPr>
        <w:pStyle w:val="DocH1"/>
      </w:pPr>
      <w:r>
        <w:rPr>
          <w:rFonts w:ascii="Times New Roman" w:hAnsi="Times New Roman" w:eastAsia="宋体"/>
          <w:sz w:val="24"/>
        </w:rPr>
        <w:t>A break in trade need not be catastrophic—as long as it's gradual, predictable, and mediated by prices.</w:t>
      </w:r>
    </w:p>
    <w:p>
      <w:pPr>
        <w:pStyle w:val="DocBody"/>
        <w:ind w:left="765"/>
      </w:pPr>
      <w:r>
        <w:rPr>
          <w:rFonts w:ascii="Times New Roman" w:hAnsi="Times New Roman" w:eastAsia="宋体"/>
          <w:sz w:val="24"/>
        </w:rPr>
        <w:t>David Baqaee</w:t>
      </w:r>
    </w:p>
    <w:p>
      <w:pPr>
        <w:pStyle w:val="DocBody"/>
        <w:ind w:left="765"/>
      </w:pPr>
      <w:r>
        <w:rPr>
          <w:rFonts w:ascii="Times New Roman" w:hAnsi="Times New Roman" w:eastAsia="宋体"/>
          <w:sz w:val="24"/>
        </w:rPr>
        <w:t>,</w:t>
      </w:r>
    </w:p>
    <w:p>
      <w:pPr>
        <w:pStyle w:val="DocBody"/>
        <w:ind w:left="765"/>
      </w:pPr>
      <w:r>
        <w:rPr>
          <w:rFonts w:ascii="Times New Roman" w:hAnsi="Times New Roman" w:eastAsia="宋体"/>
          <w:sz w:val="24"/>
        </w:rPr>
        <w:t>Hannes Malmberg</w:t>
      </w:r>
    </w:p>
    <w:p>
      <w:pPr>
        <w:pStyle w:val="DocBody"/>
        <w:ind w:left="765"/>
      </w:pPr>
      <w:r>
        <w:rPr>
          <w:rFonts w:ascii="Times New Roman" w:hAnsi="Times New Roman" w:eastAsia="宋体"/>
          <w:sz w:val="24"/>
        </w:rPr>
        <w:t>.</w:t>
      </w:r>
    </w:p>
    <w:p>
      <w:pPr>
        <w:pStyle w:val="DocBody"/>
      </w:pPr>
      <w:r>
        <w:rPr>
          <w:rFonts w:ascii="Times New Roman" w:hAnsi="Times New Roman" w:eastAsia="宋体"/>
          <w:sz w:val="24"/>
        </w:rPr>
        <w:t>Thursday, August 27, 2026</w:t>
      </w:r>
    </w:p>
    <w:p>
      <w:pPr>
        <w:jc w:val="center"/>
      </w:pPr>
      <w:r>
        <w:rPr>
          <w:rFonts w:ascii="Times New Roman" w:hAnsi="Times New Roman" w:eastAsia="宋体"/>
          <w:i/>
          <w:color w:val="595959"/>
          <w:sz w:val="21"/>
        </w:rPr>
        <w:t>［原图未能获取：https://cms.hoover.org/_next/image?url=https%3A%2F%2Fsubstack-post-media.s3.amazonaws.com%2Fpublic%2］</w:t>
      </w:r>
    </w:p>
    <w:p>
      <w:pPr>
        <w:pStyle w:val="DocBody"/>
      </w:pPr>
      <w:r>
        <w:rPr>
          <w:rFonts w:ascii="Times New Roman" w:hAnsi="Times New Roman" w:eastAsia="宋体"/>
          <w:sz w:val="24"/>
        </w:rPr>
        <w:t>A break in US-China economic relations would be costly for the United States, but the size of the cost depends crucially on how the break occurs. We estimate that a gradual, predictable decoupling, one that gives firms and households time to find substitutes, will reduce long-run US consumption by roughly 0.6 percent. A sudden and unexpected rupture is much more costly, especially if paired with price controls and rationing.</w:t>
      </w:r>
    </w:p>
    <w:p>
      <w:pPr>
        <w:pStyle w:val="DocBody"/>
      </w:pPr>
      <w:r>
        <w:rPr>
          <w:rFonts w:ascii="Times New Roman" w:hAnsi="Times New Roman" w:eastAsia="宋体"/>
          <w:sz w:val="24"/>
        </w:rPr>
        <w:t>JOIN THE COMMUNITY</w:t>
      </w:r>
    </w:p>
    <w:p>
      <w:pPr>
        <w:pStyle w:val="DocBody"/>
      </w:pPr>
      <w:r>
        <w:rPr>
          <w:rFonts w:ascii="Times New Roman" w:hAnsi="Times New Roman" w:eastAsia="宋体"/>
          <w:sz w:val="24"/>
        </w:rPr>
        <w:t>The cost of decoupling depends mainly on two things: how much the United States buys from China, and how easily American firms and consumers can replace those imports. The latter is measured by the trade elasticity. A high elasticity means substitution is easy; a low elasticity means substitution is hard. Since finding substitutes takes time, a gradual decoupling is far less costly than a sudden break. We find that a gradual decoupling lowers US consumption by around 0.3 percent in the short run and by 0.6 percent in the long run.</w:t>
      </w:r>
    </w:p>
    <w:p>
      <w:pPr>
        <w:pStyle w:val="DocBody"/>
      </w:pPr>
      <w:r>
        <w:rPr>
          <w:rFonts w:ascii="Times New Roman" w:hAnsi="Times New Roman" w:eastAsia="宋体"/>
          <w:sz w:val="24"/>
        </w:rPr>
        <w:t>The long-run effects can be larger because China supplies not only consumer goods but also machinery, equipment, parts, and other goods that help US firms invest. Losing access to those goods makes it more expensive to build and maintain productive capacity, and part of the cost shows up over time as lower wages.</w:t>
      </w:r>
    </w:p>
    <w:p>
      <w:pPr>
        <w:jc w:val="center"/>
      </w:pPr>
      <w:r>
        <w:drawing>
          <wp:inline xmlns:a="http://schemas.openxmlformats.org/drawingml/2006/main" xmlns:pic="http://schemas.openxmlformats.org/drawingml/2006/picture">
            <wp:extent cx="5400000" cy="4101923"/>
            <wp:docPr id="1" name="Picture 1"/>
            <wp:cNvGraphicFramePr>
              <a:graphicFrameLocks noChangeAspect="1"/>
            </wp:cNvGraphicFramePr>
            <a:graphic>
              <a:graphicData uri="http://schemas.openxmlformats.org/drawingml/2006/picture">
                <pic:pic>
                  <pic:nvPicPr>
                    <pic:cNvPr id="0" name="cf4325bdca4e784d.png"/>
                    <pic:cNvPicPr/>
                  </pic:nvPicPr>
                  <pic:blipFill>
                    <a:blip r:embed="rId12"/>
                    <a:stretch>
                      <a:fillRect/>
                    </a:stretch>
                  </pic:blipFill>
                  <pic:spPr>
                    <a:xfrm>
                      <a:off x="0" y="0"/>
                      <a:ext cx="5400000" cy="4101923"/>
                    </a:xfrm>
                    <a:prstGeom prst="rect"/>
                  </pic:spPr>
                </pic:pic>
              </a:graphicData>
            </a:graphic>
          </wp:inline>
        </w:drawing>
      </w:r>
    </w:p>
    <w:p>
      <w:pPr>
        <w:pStyle w:val="DocCaption"/>
      </w:pPr>
      <w:r>
        <w:t>图3  Image 5</w:t>
      </w:r>
    </w:p>
    <w:p>
      <w:pPr>
        <w:pStyle w:val="DocBody"/>
      </w:pPr>
      <w:r>
        <w:rPr>
          <w:rFonts w:ascii="Times New Roman" w:hAnsi="Times New Roman" w:eastAsia="宋体"/>
          <w:sz w:val="24"/>
        </w:rPr>
        <w:t>A heavy truck is displayed at the 2025 Changsha International Construction Equipment Exhibition. In additional to consumer goods, China supplies many capital goods whose absence may affect US productive capacity. [Huangdan2060—Creative Commons]</w:t>
      </w:r>
    </w:p>
    <w:p>
      <w:pPr>
        <w:pStyle w:val="DocBody"/>
      </w:pPr>
      <w:r>
        <w:rPr>
          <w:rFonts w:ascii="Times New Roman" w:hAnsi="Times New Roman" w:eastAsia="宋体"/>
          <w:sz w:val="24"/>
        </w:rPr>
        <w:t>An important driver for these modest effects is that, to some extent, decoupling has already been under way since 2018. China's share of total US imports peaked in 2018 at just over 20 percent and has been declining ever since. As of 2025, only around 7 percent of US imports come from China.</w:t>
      </w:r>
    </w:p>
    <w:p>
      <w:pPr>
        <w:pStyle w:val="DocBody"/>
      </w:pPr>
      <w:r>
        <w:rPr>
          <w:rFonts w:ascii="Times New Roman" w:hAnsi="Times New Roman" w:eastAsia="宋体"/>
          <w:sz w:val="24"/>
        </w:rPr>
        <w:t>Although aggregate losses are modest, the costs are not borne uniformly by all households. Therefore, managing the costs of decoupling must also reckon with the uneven distributional consequences. However, as with the aggregate effect, the uneven burden is also likely to be helped by having a slow and predictable path toward decoupling, to give households and businesses time to rearrange their affairs and reduce their exposure.</w:t>
      </w:r>
    </w:p>
    <w:p>
      <w:pPr>
        <w:pStyle w:val="DocH1"/>
      </w:pPr>
      <w:r>
        <w:rPr>
          <w:rFonts w:ascii="Times New Roman" w:hAnsi="Times New Roman" w:eastAsia="宋体"/>
          <w:sz w:val="24"/>
        </w:rPr>
        <w:t>What determines the cost?</w:t>
      </w:r>
    </w:p>
    <w:p>
      <w:pPr>
        <w:pStyle w:val="DocBody"/>
      </w:pPr>
      <w:r>
        <w:rPr>
          <w:rFonts w:ascii="Times New Roman" w:hAnsi="Times New Roman" w:eastAsia="宋体"/>
          <w:sz w:val="24"/>
        </w:rPr>
        <w:t xml:space="preserve">To estimate the aggregate cost of a break in US-China relations, we ask, "How much would US households be willing to pay to avoid losing access to Chinese goods and services?" The key object we need to answer this question is the demand curve of US imports for Chinese goods and services. Examples are illustrated below in </w:t>
      </w:r>
      <w:r>
        <w:rPr>
          <w:rFonts w:ascii="Times New Roman" w:hAnsi="Times New Roman" w:eastAsia="宋体"/>
          <w:b/>
          <w:sz w:val="24"/>
        </w:rPr>
        <w:t>Figure 1.</w:t>
      </w:r>
    </w:p>
    <w:p>
      <w:pPr>
        <w:pStyle w:val="DocBody"/>
      </w:pPr>
      <w:r>
        <w:rPr>
          <w:rFonts w:ascii="Times New Roman" w:hAnsi="Times New Roman" w:eastAsia="宋体"/>
          <w:sz w:val="24"/>
        </w:rPr>
        <w:t>As the price of Chinese imports rises, the quantity Americans purchase declines. The value of each unit purchased is given by its price, so the total value to consumers from access to Chinese imports is the area under the demand curve, shaded in blue. This adds up the value for all consumers across all units of each good imported into the United States from China.</w:t>
      </w:r>
    </w:p>
    <w:p>
      <w:pPr>
        <w:jc w:val="center"/>
      </w:pPr>
      <w:r>
        <w:drawing>
          <wp:inline xmlns:a="http://schemas.openxmlformats.org/drawingml/2006/main" xmlns:pic="http://schemas.openxmlformats.org/drawingml/2006/picture">
            <wp:extent cx="5400000" cy="2522765"/>
            <wp:docPr id="2" name="Picture 2"/>
            <wp:cNvGraphicFramePr>
              <a:graphicFrameLocks noChangeAspect="1"/>
            </wp:cNvGraphicFramePr>
            <a:graphic>
              <a:graphicData uri="http://schemas.openxmlformats.org/drawingml/2006/picture">
                <pic:pic>
                  <pic:nvPicPr>
                    <pic:cNvPr id="0" name="f6a7eea34928cbaf.png"/>
                    <pic:cNvPicPr/>
                  </pic:nvPicPr>
                  <pic:blipFill>
                    <a:blip r:embed="rId13"/>
                    <a:stretch>
                      <a:fillRect/>
                    </a:stretch>
                  </pic:blipFill>
                  <pic:spPr>
                    <a:xfrm>
                      <a:off x="0" y="0"/>
                      <a:ext cx="5400000" cy="2522765"/>
                    </a:xfrm>
                    <a:prstGeom prst="rect"/>
                  </pic:spPr>
                </pic:pic>
              </a:graphicData>
            </a:graphic>
          </wp:inline>
        </w:drawing>
      </w:r>
    </w:p>
    <w:p>
      <w:pPr>
        <w:pStyle w:val="DocCaption"/>
      </w:pPr>
      <w:r>
        <w:t>图4  Image 6</w:t>
      </w:r>
    </w:p>
    <w:p>
      <w:pPr>
        <w:jc w:val="center"/>
      </w:pPr>
      <w:r>
        <w:drawing>
          <wp:inline xmlns:a="http://schemas.openxmlformats.org/drawingml/2006/main" xmlns:pic="http://schemas.openxmlformats.org/drawingml/2006/picture">
            <wp:extent cx="5400000" cy="216000"/>
            <wp:docPr id="3" name="Picture 3"/>
            <wp:cNvGraphicFramePr>
              <a:graphicFrameLocks noChangeAspect="1"/>
            </wp:cNvGraphicFramePr>
            <a:graphic>
              <a:graphicData uri="http://schemas.openxmlformats.org/drawingml/2006/picture">
                <pic:pic>
                  <pic:nvPicPr>
                    <pic:cNvPr id="0" name="51c39a9b645bb114.png"/>
                    <pic:cNvPicPr/>
                  </pic:nvPicPr>
                  <pic:blipFill>
                    <a:blip r:embed="rId14"/>
                    <a:stretch>
                      <a:fillRect/>
                    </a:stretch>
                  </pic:blipFill>
                  <pic:spPr>
                    <a:xfrm>
                      <a:off x="0" y="0"/>
                      <a:ext cx="5400000" cy="216000"/>
                    </a:xfrm>
                    <a:prstGeom prst="rect"/>
                  </pic:spPr>
                </pic:pic>
              </a:graphicData>
            </a:graphic>
          </wp:inline>
        </w:drawing>
      </w:r>
    </w:p>
    <w:p>
      <w:pPr>
        <w:pStyle w:val="DocCaption"/>
      </w:pPr>
      <w:r>
        <w:t>图5  Image 7</w:t>
      </w:r>
    </w:p>
    <w:p>
      <w:pPr>
        <w:pStyle w:val="DocBody"/>
      </w:pPr>
      <w:r>
        <w:rPr>
          <w:rFonts w:ascii="Times New Roman" w:hAnsi="Times New Roman" w:eastAsia="宋体"/>
          <w:sz w:val="24"/>
        </w:rPr>
        <w:t>The area under the demand curve, and accordingly the aggregate losses from a Chinese decoupling, depend on the shape of this demand curve—principally on total expenditures and its slope. In economist jargon, these determine its elasticity. The more inelastic the demand curve, the greater are the losses from losing access to a good.</w:t>
      </w:r>
    </w:p>
    <w:p>
      <w:pPr>
        <w:pStyle w:val="DocBody"/>
      </w:pPr>
      <w:r>
        <w:rPr>
          <w:rFonts w:ascii="Times New Roman" w:hAnsi="Times New Roman" w:eastAsia="宋体"/>
          <w:sz w:val="24"/>
        </w:rPr>
        <w:t>The figure makes the basic point: when Chinese goods are easy to replace (demand is more elastic), the loss from losing them is small; when they are hard to replace (demand is less elastic), the loss is larger. The same logic also means that exposure matters. If the United States buys less from China to begin with, holding the slope of the line constant, the cost of decoupling is smaller.</w:t>
      </w:r>
    </w:p>
    <w:p>
      <w:pPr>
        <w:pStyle w:val="DocBody"/>
      </w:pPr>
      <w:r>
        <w:rPr>
          <w:rFonts w:ascii="Times New Roman" w:hAnsi="Times New Roman" w:eastAsia="宋体"/>
          <w:sz w:val="24"/>
        </w:rPr>
        <w:t>Economists have a useful rule of thumb for measuring the economic losses due to ending trade with a particular country, say China. That formula is:</w:t>
      </w:r>
    </w:p>
    <w:p>
      <w:pPr>
        <w:jc w:val="center"/>
      </w:pPr>
      <w:r>
        <w:drawing>
          <wp:inline xmlns:a="http://schemas.openxmlformats.org/drawingml/2006/main" xmlns:pic="http://schemas.openxmlformats.org/drawingml/2006/picture">
            <wp:extent cx="5400000" cy="608242"/>
            <wp:docPr id="4" name="Picture 4"/>
            <wp:cNvGraphicFramePr>
              <a:graphicFrameLocks noChangeAspect="1"/>
            </wp:cNvGraphicFramePr>
            <a:graphic>
              <a:graphicData uri="http://schemas.openxmlformats.org/drawingml/2006/picture">
                <pic:pic>
                  <pic:nvPicPr>
                    <pic:cNvPr id="0" name="34a71753808b4db4.png"/>
                    <pic:cNvPicPr/>
                  </pic:nvPicPr>
                  <pic:blipFill>
                    <a:blip r:embed="rId15"/>
                    <a:stretch>
                      <a:fillRect/>
                    </a:stretch>
                  </pic:blipFill>
                  <pic:spPr>
                    <a:xfrm>
                      <a:off x="0" y="0"/>
                      <a:ext cx="5400000" cy="608242"/>
                    </a:xfrm>
                    <a:prstGeom prst="rect"/>
                  </pic:spPr>
                </pic:pic>
              </a:graphicData>
            </a:graphic>
          </wp:inline>
        </w:drawing>
      </w:r>
    </w:p>
    <w:p>
      <w:pPr>
        <w:pStyle w:val="DocCaption"/>
      </w:pPr>
      <w:r>
        <w:t>图6  Image 8</w:t>
      </w:r>
    </w:p>
    <w:p>
      <w:pPr>
        <w:pStyle w:val="DocBody"/>
      </w:pPr>
      <w:r>
        <w:rPr>
          <w:rFonts w:ascii="Times New Roman" w:hAnsi="Times New Roman" w:eastAsia="宋体"/>
          <w:sz w:val="24"/>
        </w:rPr>
        <w:t>In plain English: losses are larger when the United States buys a lot from China and when those imports are hard to replace.</w:t>
      </w:r>
    </w:p>
    <w:p>
      <w:pPr>
        <w:pStyle w:val="DocBody"/>
      </w:pPr>
      <w:r>
        <w:rPr>
          <w:rFonts w:ascii="Times New Roman" w:hAnsi="Times New Roman" w:eastAsia="宋体"/>
          <w:sz w:val="24"/>
        </w:rPr>
        <w:t>The numerator is relatively easy to measure: it is the value of US purchases from China relative to US consumption. The denominator, the trade elasticity, is harder. It depends not just on how easily American consumers and firms can replace Chinese goods with goods made in the United States or in other countries, but also on how easily workers, equipment, land, and materials can move into new uses and across supply chains.</w:t>
      </w:r>
    </w:p>
    <w:p>
      <w:pPr>
        <w:pStyle w:val="DocBody"/>
      </w:pPr>
      <w:r>
        <w:rPr>
          <w:rFonts w:ascii="Times New Roman" w:hAnsi="Times New Roman" w:eastAsia="宋体"/>
          <w:sz w:val="24"/>
        </w:rPr>
        <w:t>When prices are allowed to adjust, they send signals about where goods are most scarce and where substitutes are most needed. Resources can then move toward those uses, making the economy more flexible and raising the relevant trade elasticity. If prices are controlled or goods are rationed, those signals are weakened, adjustment is slower and more wasteful, and the losses from decoupling can be much larger.</w:t>
      </w:r>
    </w:p>
    <w:p>
      <w:pPr>
        <w:pStyle w:val="DocH1"/>
      </w:pPr>
      <w:r>
        <w:rPr>
          <w:rFonts w:ascii="Times New Roman" w:hAnsi="Times New Roman" w:eastAsia="宋体"/>
          <w:sz w:val="24"/>
        </w:rPr>
        <w:t>Applying the simple formula</w:t>
      </w:r>
    </w:p>
    <w:p>
      <w:pPr>
        <w:pStyle w:val="DocBody"/>
      </w:pPr>
      <w:r>
        <w:rPr>
          <w:rFonts w:ascii="Times New Roman" w:hAnsi="Times New Roman" w:eastAsia="宋体"/>
          <w:sz w:val="24"/>
        </w:rPr>
        <w:t>As discussed above, to a rough approximation, the aggregate losses from ending trade with China depend primarily on (1) expenditures on Chinese imports and (2) the trade elasticity.</w:t>
      </w:r>
    </w:p>
    <w:p>
      <w:pPr>
        <w:pStyle w:val="DocBody"/>
      </w:pPr>
      <w:r>
        <w:rPr>
          <w:rFonts w:ascii="Times New Roman" w:hAnsi="Times New Roman" w:eastAsia="宋体"/>
          <w:b/>
          <w:sz w:val="24"/>
        </w:rPr>
        <w:t>Figure 2</w:t>
      </w:r>
      <w:r>
        <w:rPr>
          <w:rFonts w:ascii="Times New Roman" w:hAnsi="Times New Roman" w:eastAsia="宋体"/>
          <w:sz w:val="24"/>
        </w:rPr>
        <w:t xml:space="preserve"> plots expenditures on Chinese imports relative to US personal consumption expenditures. This number rose from 1.5 percent in 2000, before China joined the World Trade Organization, and peaked in 2014 at 4.1 percent. Starting in 2018, this number fell rapidly from 4.0 percent back to around 1.6 percent by 2025. Hence, according to our simple formula above, if we hold the trade elasticity fixed, then the losses from decoupling today are 40 percent of what they would have been compared to 2018.</w:t>
      </w:r>
    </w:p>
    <w:p>
      <w:pPr>
        <w:jc w:val="center"/>
      </w:pPr>
      <w:r>
        <w:drawing>
          <wp:inline xmlns:a="http://schemas.openxmlformats.org/drawingml/2006/main" xmlns:pic="http://schemas.openxmlformats.org/drawingml/2006/picture">
            <wp:extent cx="5400000" cy="2962800"/>
            <wp:docPr id="5" name="Picture 5"/>
            <wp:cNvGraphicFramePr>
              <a:graphicFrameLocks noChangeAspect="1"/>
            </wp:cNvGraphicFramePr>
            <a:graphic>
              <a:graphicData uri="http://schemas.openxmlformats.org/drawingml/2006/picture">
                <pic:pic>
                  <pic:nvPicPr>
                    <pic:cNvPr id="0" name="888b12787d582ab7.png"/>
                    <pic:cNvPicPr/>
                  </pic:nvPicPr>
                  <pic:blipFill>
                    <a:blip r:embed="rId16"/>
                    <a:stretch>
                      <a:fillRect/>
                    </a:stretch>
                  </pic:blipFill>
                  <pic:spPr>
                    <a:xfrm>
                      <a:off x="0" y="0"/>
                      <a:ext cx="5400000" cy="2962800"/>
                    </a:xfrm>
                    <a:prstGeom prst="rect"/>
                  </pic:spPr>
                </pic:pic>
              </a:graphicData>
            </a:graphic>
          </wp:inline>
        </w:drawing>
      </w:r>
    </w:p>
    <w:p>
      <w:pPr>
        <w:pStyle w:val="DocCaption"/>
      </w:pPr>
      <w:r>
        <w:t>图7  Image 9</w:t>
      </w:r>
    </w:p>
    <w:p>
      <w:pPr>
        <w:jc w:val="center"/>
      </w:pPr>
      <w:r>
        <w:drawing>
          <wp:inline xmlns:a="http://schemas.openxmlformats.org/drawingml/2006/main" xmlns:pic="http://schemas.openxmlformats.org/drawingml/2006/picture">
            <wp:extent cx="5400000" cy="212977"/>
            <wp:docPr id="6" name="Picture 6"/>
            <wp:cNvGraphicFramePr>
              <a:graphicFrameLocks noChangeAspect="1"/>
            </wp:cNvGraphicFramePr>
            <a:graphic>
              <a:graphicData uri="http://schemas.openxmlformats.org/drawingml/2006/picture">
                <pic:pic>
                  <pic:nvPicPr>
                    <pic:cNvPr id="0" name="8ddfe1b0cc155a0b.png"/>
                    <pic:cNvPicPr/>
                  </pic:nvPicPr>
                  <pic:blipFill>
                    <a:blip r:embed="rId17"/>
                    <a:stretch>
                      <a:fillRect/>
                    </a:stretch>
                  </pic:blipFill>
                  <pic:spPr>
                    <a:xfrm>
                      <a:off x="0" y="0"/>
                      <a:ext cx="5400000" cy="212977"/>
                    </a:xfrm>
                    <a:prstGeom prst="rect"/>
                  </pic:spPr>
                </pic:pic>
              </a:graphicData>
            </a:graphic>
          </wp:inline>
        </w:drawing>
      </w:r>
    </w:p>
    <w:p>
      <w:pPr>
        <w:pStyle w:val="DocCaption"/>
      </w:pPr>
      <w:r>
        <w:t>图8  Image 10</w:t>
      </w:r>
    </w:p>
    <w:p>
      <w:pPr>
        <w:pStyle w:val="DocBody"/>
      </w:pPr>
      <w:r>
        <w:rPr>
          <w:rFonts w:ascii="Times New Roman" w:hAnsi="Times New Roman" w:eastAsia="宋体"/>
          <w:sz w:val="24"/>
        </w:rPr>
        <w:t>What caused the reduction in imports from China during this time? An obvious culprit is the set of tariffs imposed by the US on imports from China, which came into effect in mid-2018. The average US tariff rate on Chinese goods rose from around 5 percent in 2017 to 25 percent in 2020 (see Trade War Tracker). So, an increase of the average tariff from 5 percent to 25 percent coincided with a reduction in Chinese imports, relative to consumption, from 4 percent to around 1.5 percent. The trade elasticity can be computed using this rate of change. A back-of-the-envelope calculation suggests that the trade elasticity over this horizon was around four. (This decline is broadly consistent with the long-run elasticities used by trade economists.)</w:t>
      </w:r>
    </w:p>
    <w:p>
      <w:pPr>
        <w:pStyle w:val="DocBody"/>
      </w:pPr>
      <w:r>
        <w:rPr>
          <w:rFonts w:ascii="Times New Roman" w:hAnsi="Times New Roman" w:eastAsia="宋体"/>
          <w:sz w:val="24"/>
        </w:rPr>
        <w:t>This back-of-the-envelope analysis is also consistent with more rigorous empirical evidence. For example, Fajgelbaum and Khandelwal use an event-study approach to study the effectiveness of tariffs in reducing Chinese imports. They find strong evidence that imports fell more for Chinese products facing higher tariffs.</w:t>
      </w:r>
    </w:p>
    <w:p>
      <w:pPr>
        <w:pStyle w:val="DocBody"/>
      </w:pPr>
      <w:r>
        <w:rPr>
          <w:rFonts w:ascii="Times New Roman" w:hAnsi="Times New Roman" w:eastAsia="宋体"/>
          <w:sz w:val="24"/>
        </w:rPr>
        <w:t>Estimates of the trade elasticity depend on time horizons. In the short run, trade elasticities tend to be much lower than in the long run. On the short end, at the monthly horizon, trade elasticities tend to be close to zero. Over the long run, they rise to be higher and closer to around four. (See Figure 1 from this technical report.)</w:t>
      </w:r>
    </w:p>
    <w:p>
      <w:pPr>
        <w:pStyle w:val="DocBody"/>
      </w:pPr>
      <w:r>
        <w:rPr>
          <w:rFonts w:ascii="Times New Roman" w:hAnsi="Times New Roman" w:eastAsia="宋体"/>
          <w:sz w:val="24"/>
        </w:rPr>
        <w:t>Hence, assuming a trade elasticity of four, our rule of thumb formula suggests that a gradual decoupling should reduce US consumption by around 1.5 percent divided by 4, or approximately 0.4 percent.</w:t>
      </w:r>
    </w:p>
    <w:p>
      <w:pPr>
        <w:pStyle w:val="DocH1"/>
      </w:pPr>
      <w:r>
        <w:rPr>
          <w:rFonts w:ascii="Times New Roman" w:hAnsi="Times New Roman" w:eastAsia="宋体"/>
          <w:sz w:val="24"/>
        </w:rPr>
        <w:t>A fuller estimate</w:t>
      </w:r>
    </w:p>
    <w:p>
      <w:pPr>
        <w:pStyle w:val="DocBody"/>
      </w:pPr>
      <w:r>
        <w:rPr>
          <w:rFonts w:ascii="Times New Roman" w:hAnsi="Times New Roman" w:eastAsia="宋体"/>
          <w:sz w:val="24"/>
        </w:rPr>
        <w:t>The simple formula gives a rough and basic intuition. To go further, we carry out a fuller and more precise analysis using a quantitative model of the world economy developed in a recent technical report. We consider both a gradual and a sudden decoupling scenario. In the gradual scenario, we use a microeconomic trade elasticity of four—which corresponds to an orderly and slow-moving decoupling, consistent with long-run estimates of the trade elasticity. We then consider a sudden decoupling scenario, where we use a trade elasticity value of 0.5—corresponding to a more disordered and rapid decoupling, operating at the scale of months rather than years.</w:t>
      </w:r>
    </w:p>
    <w:p>
      <w:pPr>
        <w:pStyle w:val="DocBody"/>
      </w:pPr>
      <w:r>
        <w:rPr>
          <w:rFonts w:ascii="Times New Roman" w:hAnsi="Times New Roman" w:eastAsia="宋体"/>
          <w:b/>
          <w:sz w:val="24"/>
        </w:rPr>
        <w:t>The gradual decoupling scenario</w:t>
      </w:r>
    </w:p>
    <w:p>
      <w:pPr>
        <w:pStyle w:val="DocBody"/>
      </w:pPr>
      <w:r>
        <w:rPr>
          <w:rFonts w:ascii="Times New Roman" w:hAnsi="Times New Roman" w:eastAsia="宋体"/>
          <w:sz w:val="24"/>
        </w:rPr>
        <w:t>We consider the following decoupling scenario: trade barriers are erected between the United States and China and these trade barriers are high enough that the volume of trade between the two countries falls to zero. Trade barriers with third parties are left unchanged.</w:t>
      </w:r>
    </w:p>
    <w:p>
      <w:pPr>
        <w:pStyle w:val="DocBody"/>
      </w:pPr>
      <w:r>
        <w:rPr>
          <w:rFonts w:ascii="Times New Roman" w:hAnsi="Times New Roman" w:eastAsia="宋体"/>
          <w:sz w:val="24"/>
        </w:rPr>
        <w:t>We show how consumption responds in the short run, where the capital stock is held constant, and in the long run, where the capital stock adjusts due to depreciation and changes in investment rates.</w:t>
      </w:r>
    </w:p>
    <w:p>
      <w:pPr>
        <w:jc w:val="center"/>
      </w:pPr>
      <w:r>
        <w:drawing>
          <wp:inline xmlns:a="http://schemas.openxmlformats.org/drawingml/2006/main" xmlns:pic="http://schemas.openxmlformats.org/drawingml/2006/picture">
            <wp:extent cx="5400000" cy="2054605"/>
            <wp:docPr id="7" name="Picture 7"/>
            <wp:cNvGraphicFramePr>
              <a:graphicFrameLocks noChangeAspect="1"/>
            </wp:cNvGraphicFramePr>
            <a:graphic>
              <a:graphicData uri="http://schemas.openxmlformats.org/drawingml/2006/picture">
                <pic:pic>
                  <pic:nvPicPr>
                    <pic:cNvPr id="0" name="310daf4a2321b629.png"/>
                    <pic:cNvPicPr/>
                  </pic:nvPicPr>
                  <pic:blipFill>
                    <a:blip r:embed="rId18"/>
                    <a:stretch>
                      <a:fillRect/>
                    </a:stretch>
                  </pic:blipFill>
                  <pic:spPr>
                    <a:xfrm>
                      <a:off x="0" y="0"/>
                      <a:ext cx="5400000" cy="2054605"/>
                    </a:xfrm>
                    <a:prstGeom prst="rect"/>
                  </pic:spPr>
                </pic:pic>
              </a:graphicData>
            </a:graphic>
          </wp:inline>
        </w:drawing>
      </w:r>
    </w:p>
    <w:p>
      <w:pPr>
        <w:pStyle w:val="DocCaption"/>
      </w:pPr>
      <w:r>
        <w:t>图9  Image 11</w:t>
      </w:r>
    </w:p>
    <w:p>
      <w:pPr>
        <w:pStyle w:val="DocBody"/>
      </w:pPr>
      <w:r>
        <w:rPr>
          <w:rFonts w:ascii="Times New Roman" w:hAnsi="Times New Roman" w:eastAsia="宋体"/>
          <w:b/>
          <w:sz w:val="24"/>
        </w:rPr>
        <w:t>Table 1</w:t>
      </w:r>
      <w:r>
        <w:rPr>
          <w:rFonts w:ascii="Times New Roman" w:hAnsi="Times New Roman" w:eastAsia="宋体"/>
          <w:sz w:val="24"/>
        </w:rPr>
        <w:t xml:space="preserve"> shows that orderly decoupling using 2024 trade patterns has modest aggregate effects. US consumption falls by 0.35 percent in the short run and 0.59 percent in the long run. The long-run loss is larger because higher investment costs gradually reduce US productive capacity. Most of that burden ultimately appears as lower real wages.</w:t>
      </w:r>
    </w:p>
    <w:p>
      <w:pPr>
        <w:pStyle w:val="DocBody"/>
      </w:pPr>
      <w:r>
        <w:rPr>
          <w:rFonts w:ascii="Times New Roman" w:hAnsi="Times New Roman" w:eastAsia="宋体"/>
          <w:b/>
          <w:sz w:val="24"/>
        </w:rPr>
        <w:t>The sudden decoupling scenario</w:t>
      </w:r>
    </w:p>
    <w:p>
      <w:pPr>
        <w:pStyle w:val="DocBody"/>
      </w:pPr>
      <w:r>
        <w:rPr>
          <w:rFonts w:ascii="Times New Roman" w:hAnsi="Times New Roman" w:eastAsia="宋体"/>
          <w:sz w:val="24"/>
        </w:rPr>
        <w:t>We now consider a more sudden and disorderly decoupling in which US-China trade is eliminated over months rather than years. We capture this by using a low trade elasticity of 0.5, corresponding to limited short-run substitutability away from Chinese goods. Since this is a short-run exercise, and capital stocks adjust slowly, we hold the capital stock fixed.</w:t>
      </w:r>
    </w:p>
    <w:p>
      <w:pPr>
        <w:jc w:val="center"/>
      </w:pPr>
      <w:r>
        <w:drawing>
          <wp:inline xmlns:a="http://schemas.openxmlformats.org/drawingml/2006/main" xmlns:pic="http://schemas.openxmlformats.org/drawingml/2006/picture">
            <wp:extent cx="5400000" cy="1733838"/>
            <wp:docPr id="8" name="Picture 8"/>
            <wp:cNvGraphicFramePr>
              <a:graphicFrameLocks noChangeAspect="1"/>
            </wp:cNvGraphicFramePr>
            <a:graphic>
              <a:graphicData uri="http://schemas.openxmlformats.org/drawingml/2006/picture">
                <pic:pic>
                  <pic:nvPicPr>
                    <pic:cNvPr id="0" name="5a4319ad19879d6e.png"/>
                    <pic:cNvPicPr/>
                  </pic:nvPicPr>
                  <pic:blipFill>
                    <a:blip r:embed="rId19"/>
                    <a:stretch>
                      <a:fillRect/>
                    </a:stretch>
                  </pic:blipFill>
                  <pic:spPr>
                    <a:xfrm>
                      <a:off x="0" y="0"/>
                      <a:ext cx="5400000" cy="1733838"/>
                    </a:xfrm>
                    <a:prstGeom prst="rect"/>
                  </pic:spPr>
                </pic:pic>
              </a:graphicData>
            </a:graphic>
          </wp:inline>
        </w:drawing>
      </w:r>
    </w:p>
    <w:p>
      <w:pPr>
        <w:pStyle w:val="DocCaption"/>
      </w:pPr>
      <w:r>
        <w:t>图10  Image 12</w:t>
      </w:r>
    </w:p>
    <w:p>
      <w:pPr>
        <w:pStyle w:val="DocBody"/>
      </w:pPr>
      <w:r>
        <w:rPr>
          <w:rFonts w:ascii="Times New Roman" w:hAnsi="Times New Roman" w:eastAsia="宋体"/>
          <w:sz w:val="24"/>
        </w:rPr>
        <w:t>Table 2 shows that the short-run costs of a sudden decoupling are several times larger, and consumption drops by around 2.4 percent. Although these losses are much larger, they are still far from catastrophic. To put the number into context, a loss of 2.4 percent is roughly comparable to losing one to two years of normal consumption growth. Moreover, these losses shrink over time as households and firms have time to adjust their plans and behavior.</w:t>
      </w:r>
    </w:p>
    <w:p>
      <w:pPr>
        <w:pStyle w:val="DocH1"/>
      </w:pPr>
      <w:r>
        <w:rPr>
          <w:rFonts w:ascii="Times New Roman" w:hAnsi="Times New Roman" w:eastAsia="宋体"/>
          <w:sz w:val="24"/>
        </w:rPr>
        <w:t>The difference a decade makes</w:t>
      </w:r>
    </w:p>
    <w:p>
      <w:pPr>
        <w:pStyle w:val="DocBody"/>
      </w:pPr>
      <w:r>
        <w:rPr>
          <w:rFonts w:ascii="Times New Roman" w:hAnsi="Times New Roman" w:eastAsia="宋体"/>
          <w:sz w:val="24"/>
        </w:rPr>
        <w:t xml:space="preserve">We validate the idea that lower trade volumes reduce the cost of decoupling using the model. In </w:t>
      </w:r>
      <w:r>
        <w:rPr>
          <w:rFonts w:ascii="Times New Roman" w:hAnsi="Times New Roman" w:eastAsia="宋体"/>
          <w:b/>
          <w:sz w:val="24"/>
        </w:rPr>
        <w:t>Table 3,</w:t>
      </w:r>
      <w:r>
        <w:rPr>
          <w:rFonts w:ascii="Times New Roman" w:hAnsi="Times New Roman" w:eastAsia="宋体"/>
          <w:sz w:val="24"/>
        </w:rPr>
        <w:t xml:space="preserve"> we calibrate the model to match trade flows in 2014 instead of 2024. Using 2014 trade patterns, the costs of an orderly decoupling are nearly double those in the corresponding 2024 scenario. This reflects the greater importance of Chinese imports before the recent decline in US-China trade exposure.</w:t>
      </w:r>
    </w:p>
    <w:p>
      <w:pPr>
        <w:jc w:val="center"/>
      </w:pPr>
      <w:r>
        <w:drawing>
          <wp:inline xmlns:a="http://schemas.openxmlformats.org/drawingml/2006/main" xmlns:pic="http://schemas.openxmlformats.org/drawingml/2006/picture">
            <wp:extent cx="5400000" cy="2071885"/>
            <wp:docPr id="9" name="Picture 9"/>
            <wp:cNvGraphicFramePr>
              <a:graphicFrameLocks noChangeAspect="1"/>
            </wp:cNvGraphicFramePr>
            <a:graphic>
              <a:graphicData uri="http://schemas.openxmlformats.org/drawingml/2006/picture">
                <pic:pic>
                  <pic:nvPicPr>
                    <pic:cNvPr id="0" name="bf5fad80a321a538.png"/>
                    <pic:cNvPicPr/>
                  </pic:nvPicPr>
                  <pic:blipFill>
                    <a:blip r:embed="rId20"/>
                    <a:stretch>
                      <a:fillRect/>
                    </a:stretch>
                  </pic:blipFill>
                  <pic:spPr>
                    <a:xfrm>
                      <a:off x="0" y="0"/>
                      <a:ext cx="5400000" cy="2071885"/>
                    </a:xfrm>
                    <a:prstGeom prst="rect"/>
                  </pic:spPr>
                </pic:pic>
              </a:graphicData>
            </a:graphic>
          </wp:inline>
        </w:drawing>
      </w:r>
    </w:p>
    <w:p>
      <w:pPr>
        <w:pStyle w:val="DocCaption"/>
      </w:pPr>
      <w:r>
        <w:t>图11  Image 13</w:t>
      </w:r>
    </w:p>
    <w:p>
      <w:pPr>
        <w:pStyle w:val="DocH1"/>
      </w:pPr>
      <w:r>
        <w:rPr>
          <w:rFonts w:ascii="Times New Roman" w:hAnsi="Times New Roman" w:eastAsia="宋体"/>
          <w:sz w:val="24"/>
        </w:rPr>
        <w:t>Third-country effects and rerouting</w:t>
      </w:r>
    </w:p>
    <w:p>
      <w:pPr>
        <w:pStyle w:val="DocBody"/>
      </w:pPr>
      <w:r>
        <w:rPr>
          <w:rFonts w:ascii="Times New Roman" w:hAnsi="Times New Roman" w:eastAsia="宋体"/>
          <w:sz w:val="24"/>
        </w:rPr>
        <w:t>Our baseline estimates consider direct US-China trade. A stricter version of decoupling would also block goods that reach the United States through third countries but contain Chinese inputs. This makes substitution harder, since Chinese goods cannot be rerouted through third countries. In our model, adding this stricter rule raises the long-run US consumption loss from 0.59 percent to 0.73 percent. The cost rises meaningfully, but the broad conclusion remains the same: a gradual decoupling, with prices allowed to adjust, is costly but not catastrophic.</w:t>
      </w:r>
    </w:p>
    <w:p>
      <w:pPr>
        <w:pStyle w:val="DocBody"/>
      </w:pPr>
      <w:r>
        <w:rPr>
          <w:rFonts w:ascii="Times New Roman" w:hAnsi="Times New Roman" w:eastAsia="宋体"/>
          <w:sz w:val="24"/>
        </w:rPr>
        <w:t>A related caveat is that we model decoupling as a bilateral US-China shock. If China were also cut off from other major markets, US firms might face less competition from Chinese exporters in third-country markets. This could partly offset the losses from reduced access to Chinese goods and inputs. Hence, a broader multilateral decoupling from China need not be uniformly more costly for the United States than a purely bilateral one, even though it would represent a much larger disruption to the world economy.</w:t>
      </w:r>
    </w:p>
    <w:p>
      <w:pPr>
        <w:pStyle w:val="DocH1"/>
      </w:pPr>
      <w:r>
        <w:rPr>
          <w:rFonts w:ascii="Times New Roman" w:hAnsi="Times New Roman" w:eastAsia="宋体"/>
          <w:sz w:val="24"/>
        </w:rPr>
        <w:t>Caveats and other dimensions</w:t>
      </w:r>
    </w:p>
    <w:p>
      <w:pPr>
        <w:pStyle w:val="DocBody"/>
      </w:pPr>
      <w:r>
        <w:rPr>
          <w:rFonts w:ascii="Times New Roman" w:hAnsi="Times New Roman" w:eastAsia="宋体"/>
          <w:sz w:val="24"/>
        </w:rPr>
        <w:t>We close with some caveats about the main analysis.</w:t>
      </w:r>
    </w:p>
    <w:p>
      <w:pPr>
        <w:pStyle w:val="DocBody"/>
      </w:pPr>
      <w:r>
        <w:rPr>
          <w:rFonts w:ascii="Times New Roman" w:hAnsi="Times New Roman" w:eastAsia="宋体"/>
          <w:b/>
          <w:sz w:val="24"/>
        </w:rPr>
        <w:t>Disorderly decoupling</w:t>
      </w:r>
    </w:p>
    <w:p>
      <w:pPr>
        <w:pStyle w:val="DocBody"/>
      </w:pPr>
      <w:r>
        <w:rPr>
          <w:rFonts w:ascii="Times New Roman" w:hAnsi="Times New Roman" w:eastAsia="宋体"/>
          <w:sz w:val="24"/>
        </w:rPr>
        <w:t>Throughout our analysis, including in the sudden decoupling case, we maintain the assumption that prices are allowed to adjust and that goods are allocated through markets. If prices are controlled and goods are rationed, losses can be much larger. In this case, firms and households lose the signals that tell them where goods are most scarce and the incentives to adjust their behavior. See, for example, this technical paper for a theoretical analysis of how fixed prices and rationing can, at least in theory, result in catastrophic magnification of supply shocks. In a similar vein, we do not model the consequences of a financial crisis and ensuing business-cycle type recession that may be triggered by decoupling. Once again, if decoupling is gradual and predictable, then the chance that it triggers a financial crisis is much lower.</w:t>
      </w:r>
    </w:p>
    <w:p>
      <w:pPr>
        <w:pStyle w:val="DocBody"/>
      </w:pPr>
      <w:r>
        <w:rPr>
          <w:rFonts w:ascii="Times New Roman" w:hAnsi="Times New Roman" w:eastAsia="宋体"/>
          <w:b/>
          <w:sz w:val="24"/>
        </w:rPr>
        <w:t>Uneven burden</w:t>
      </w:r>
    </w:p>
    <w:p>
      <w:pPr>
        <w:pStyle w:val="DocBody"/>
      </w:pPr>
      <w:r>
        <w:rPr>
          <w:rFonts w:ascii="Times New Roman" w:hAnsi="Times New Roman" w:eastAsia="宋体"/>
          <w:sz w:val="24"/>
        </w:rPr>
        <w:t>Although our analysis explicitly accounts for the uneven effects of decoupling on labor and capital, we do not dig into the effects at the industry or regional level. Similarly, our aggregate estimates do not take into account the fact that different households consume different baskets of goods. In particular, low-income households spend a greater share of their expenditures on imports from China than high-income households. Although these effects are real, and must be reckoned with, the fact that the aggregate effects of an orderly decoupling are fairly mild gives scope for public policy to respond to its uneven incidence across households through social insurance.</w:t>
      </w:r>
    </w:p>
    <w:p>
      <w:pPr>
        <w:pStyle w:val="DocBody"/>
      </w:pPr>
      <w:r>
        <w:rPr>
          <w:rFonts w:ascii="Times New Roman" w:hAnsi="Times New Roman" w:eastAsia="宋体"/>
          <w:b/>
          <w:sz w:val="24"/>
        </w:rPr>
        <w:t>Linkages through capital and labor markets</w:t>
      </w:r>
    </w:p>
    <w:p>
      <w:pPr>
        <w:pStyle w:val="DocBody"/>
      </w:pPr>
      <w:r>
        <w:rPr>
          <w:rFonts w:ascii="Times New Roman" w:hAnsi="Times New Roman" w:eastAsia="宋体"/>
          <w:sz w:val="24"/>
        </w:rPr>
        <w:t>Our analysis focuses on China-US goods and services trade, neglecting the flow of financial assets and labor across the two countries. These channels matter, but their inclusion is unlikely to overturn the main estimates. Chinese direct investment in the United States is less than 1 percent of total foreign-owned direct investment, and China's Treasury holdings amount to only about 2 percent of the Treasury market (see here and here). This suggests that US exposure to Chinese asset demand is modest.</w:t>
      </w:r>
    </w:p>
    <w:p>
      <w:pPr>
        <w:pStyle w:val="DocBody"/>
      </w:pPr>
      <w:r>
        <w:rPr>
          <w:rFonts w:ascii="Times New Roman" w:hAnsi="Times New Roman" w:eastAsia="宋体"/>
          <w:sz w:val="24"/>
        </w:rPr>
        <w:t>Similarly, decoupling could also reduce migration from China. In 2024, according to the American Community Survey, people born in China accounted for about 5 percent of foreign-born new arrivals to the United States. Losing these migrants would be costly, especially because many are highly skilled and contribute to innovation and research. But those costs would mostly be felt over a longer horizon, through slower growth in knowledge and innovation, and are unlikely to change our assessment of the short- and medium-term costs of decoupling.</w:t>
      </w:r>
    </w:p>
    <w:p>
      <w:pPr>
        <w:pStyle w:val="DocBody"/>
      </w:pPr>
      <w:r>
        <w:rPr>
          <w:rFonts w:ascii="Times New Roman" w:hAnsi="Times New Roman" w:eastAsia="宋体"/>
          <w:b/>
          <w:sz w:val="24"/>
        </w:rPr>
        <w:t>Tariff revenues</w:t>
      </w:r>
    </w:p>
    <w:p>
      <w:pPr>
        <w:pStyle w:val="DocBody"/>
      </w:pPr>
      <w:r>
        <w:rPr>
          <w:rFonts w:ascii="Times New Roman" w:hAnsi="Times New Roman" w:eastAsia="宋体"/>
          <w:sz w:val="24"/>
        </w:rPr>
        <w:t>Our analysis also does not take into account the costs associated with lost tariff revenues in the event of decoupling. In 2024, the year we calibrate our model to, this was roughly 0.2 percent of US consumption expenditures. After the latest increase in tariffs, these revenues rose substantially. Our experiment can be thought of as an exercise where these tariffs are increased until trade between the two countries is eliminated. In this limit, the tariffs generate no revenues since there is no trade taking place.</w:t>
      </w:r>
    </w:p>
    <w:p>
      <w:pPr>
        <w:pStyle w:val="DocBody"/>
      </w:pPr>
      <w:r>
        <w:rPr>
          <w:rFonts w:ascii="Times New Roman" w:hAnsi="Times New Roman" w:eastAsia="宋体"/>
          <w:b/>
          <w:sz w:val="24"/>
        </w:rPr>
        <w:t>Essential imports</w:t>
      </w:r>
    </w:p>
    <w:p>
      <w:pPr>
        <w:pStyle w:val="DocBody"/>
      </w:pPr>
      <w:r>
        <w:rPr>
          <w:rFonts w:ascii="Times New Roman" w:hAnsi="Times New Roman" w:eastAsia="宋体"/>
          <w:sz w:val="24"/>
        </w:rPr>
        <w:t>By using a trade elasticity of four for orderly decoupling, our analysis does not allow for industries where non-Chinese alternatives are much less productive even in the long run. Rare earths are a much-discussed risk: they are essential for electric motors and defense systems, and China dominates downstream processing. The United States has substantial rare earth ores, but the ultimate cost disadvantage of building a productive downstream sector outside China is unknown.</w:t>
      </w:r>
    </w:p>
    <w:p>
      <w:pPr>
        <w:pStyle w:val="DocH1"/>
      </w:pPr>
      <w:r>
        <w:rPr>
          <w:rFonts w:ascii="Times New Roman" w:hAnsi="Times New Roman" w:eastAsia="宋体"/>
          <w:sz w:val="24"/>
        </w:rPr>
        <w:t>Conclusion</w:t>
      </w:r>
    </w:p>
    <w:p>
      <w:pPr>
        <w:pStyle w:val="DocBody"/>
      </w:pPr>
      <w:r>
        <w:rPr>
          <w:rFonts w:ascii="Times New Roman" w:hAnsi="Times New Roman" w:eastAsia="宋体"/>
          <w:sz w:val="24"/>
        </w:rPr>
        <w:t>Decoupling from China would impose real costs on the United States, but our estimates suggest that those costs need not be catastrophic. The key condition is that the process be gradual, predictable, and mediated by prices rather than rationing or emergency controls. Direct US reliance on Chinese imports has already fallen substantially from its earlier peak, which reduces the estimated cost of further decoupling. Gradual de-risking, coupled with flexible prices, has another benefit: it gives policymakers an opportunity to learn about which industries or goods are unusually important. Rapid price increases after a policy change are a warning sign: they reveal goods or industries where substitution is difficult and where policymakers should proceed carefully.</w:t>
      </w:r>
    </w:p>
    <w:p>
      <w:pPr>
        <w:jc w:val="center"/>
      </w:pPr>
      <w:r>
        <w:drawing>
          <wp:inline xmlns:a="http://schemas.openxmlformats.org/drawingml/2006/main" xmlns:pic="http://schemas.openxmlformats.org/drawingml/2006/picture">
            <wp:extent cx="5400000" cy="3166250"/>
            <wp:docPr id="10" name="Picture 10"/>
            <wp:cNvGraphicFramePr>
              <a:graphicFrameLocks noChangeAspect="1"/>
            </wp:cNvGraphicFramePr>
            <a:graphic>
              <a:graphicData uri="http://schemas.openxmlformats.org/drawingml/2006/picture">
                <pic:pic>
                  <pic:nvPicPr>
                    <pic:cNvPr id="0" name="74e718dda3210300.jpeg"/>
                    <pic:cNvPicPr/>
                  </pic:nvPicPr>
                  <pic:blipFill>
                    <a:blip r:embed="rId21"/>
                    <a:stretch>
                      <a:fillRect/>
                    </a:stretch>
                  </pic:blipFill>
                  <pic:spPr>
                    <a:xfrm>
                      <a:off x="0" y="0"/>
                      <a:ext cx="5400000" cy="3166250"/>
                    </a:xfrm>
                    <a:prstGeom prst="rect"/>
                  </pic:spPr>
                </pic:pic>
              </a:graphicData>
            </a:graphic>
          </wp:inline>
        </w:drawing>
      </w:r>
    </w:p>
    <w:p>
      <w:pPr>
        <w:pStyle w:val="DocCaption"/>
      </w:pPr>
      <w:r>
        <w:t>图12  Image 14</w:t>
      </w:r>
    </w:p>
    <w:p>
      <w:pPr>
        <w:pStyle w:val="DocBody"/>
      </w:pPr>
      <w:r>
        <w:rPr>
          <w:rFonts w:ascii="Times New Roman" w:hAnsi="Times New Roman" w:eastAsia="宋体"/>
          <w:sz w:val="24"/>
        </w:rPr>
        <w:t xml:space="preserve">The </w:t>
      </w:r>
      <w:r>
        <w:rPr>
          <w:rFonts w:ascii="Times New Roman" w:hAnsi="Times New Roman" w:eastAsia="宋体"/>
          <w:i/>
          <w:sz w:val="24"/>
        </w:rPr>
        <w:t>Hanjin China,</w:t>
      </w:r>
      <w:r>
        <w:rPr>
          <w:rFonts w:ascii="Times New Roman" w:hAnsi="Times New Roman" w:eastAsia="宋体"/>
          <w:sz w:val="24"/>
        </w:rPr>
        <w:t xml:space="preserve"> a Chinese cargo ship. [Buonasera—Creative Commons]</w:t>
      </w:r>
    </w:p>
    <w:p>
      <w:pPr>
        <w:pStyle w:val="DocBody"/>
      </w:pPr>
      <w:r>
        <w:rPr>
          <w:rFonts w:ascii="Times New Roman" w:hAnsi="Times New Roman" w:eastAsia="宋体"/>
          <w:sz w:val="24"/>
        </w:rPr>
        <w:t>The burden of decoupling would also fall unevenly among workers, capital owners, industries, and households. A sensible de-risking strategy gives time for consumers and firms to rearrange their plans and behavior, allows prices to adjust and guide the reallocation of resources, and provides support for households and industries that bear the largest losses.</w:t>
      </w:r>
    </w:p>
    <w:p>
      <w:pPr>
        <w:pStyle w:val="DocBody"/>
      </w:pPr>
      <w:r>
        <w:rPr>
          <w:rFonts w:ascii="Times New Roman" w:hAnsi="Times New Roman" w:eastAsia="宋体"/>
          <w:sz w:val="24"/>
        </w:rPr>
        <w:t>JOIN THE COMMUNITY</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b/>
          <w:sz w:val="24"/>
        </w:rPr>
        <w:t>David Baqaee</w:t>
      </w:r>
      <w:r>
        <w:rPr>
          <w:rFonts w:ascii="Times New Roman" w:hAnsi="Times New Roman" w:eastAsia="宋体"/>
          <w:sz w:val="24"/>
        </w:rPr>
        <w:t xml:space="preserve"> is a professor of economics at UCLA and a research fellow of the Centre for Economic Policy Research (CEPR) and a research affiliate of the National Bureau of Economic Research.</w:t>
      </w:r>
    </w:p>
    <w:p>
      <w:pPr>
        <w:pStyle w:val="DocBody"/>
      </w:pPr>
      <w:r>
        <w:rPr>
          <w:rFonts w:ascii="Times New Roman" w:hAnsi="Times New Roman" w:eastAsia="宋体"/>
          <w:b/>
          <w:sz w:val="24"/>
        </w:rPr>
        <w:t>Hannes Malmberg</w:t>
      </w:r>
      <w:r>
        <w:rPr>
          <w:rFonts w:ascii="Times New Roman" w:hAnsi="Times New Roman" w:eastAsia="宋体"/>
          <w:sz w:val="24"/>
        </w:rPr>
        <w:t xml:space="preserve"> is an assistant professor in the Department of Economics at the University of Minnesota</w:t>
      </w:r>
    </w:p>
    <w:p>
      <w:pPr>
        <w:pStyle w:val="DocH1"/>
      </w:pPr>
      <w:r>
        <w:rPr>
          <w:rFonts w:ascii="Times New Roman" w:hAnsi="Times New Roman" w:eastAsia="宋体"/>
          <w:sz w:val="24"/>
        </w:rPr>
        <w:t>Commonsense</w:t>
      </w:r>
    </w:p>
    <w:p>
      <w:pPr>
        <w:pStyle w:val="DocBody"/>
        <w:ind w:left="765"/>
      </w:pPr>
      <w:r>
        <w:rPr>
          <w:rFonts w:ascii="Times New Roman" w:hAnsi="Times New Roman" w:eastAsia="宋体"/>
          <w:sz w:val="24"/>
        </w:rPr>
        <w:t>The cost depends mainly on two things: how much the United States buys from China, and how easily American firms and consumers can replace those imports.</w:t>
      </w:r>
    </w:p>
    <w:p>
      <w:pPr>
        <w:pStyle w:val="DocBody"/>
        <w:ind w:left="765"/>
      </w:pPr>
      <w:r>
        <w:rPr>
          <w:rFonts w:ascii="Times New Roman" w:hAnsi="Times New Roman" w:eastAsia="宋体"/>
          <w:sz w:val="24"/>
        </w:rPr>
        <w:t>Finding substitutes takes time, so a gradual decoupling is far less costly than a sudden break. A gradual decoupling would lower US consumption by around 0.3% in the short run and 0.6% in the long run.</w:t>
      </w:r>
    </w:p>
    <w:p>
      <w:pPr>
        <w:pStyle w:val="DocBody"/>
        <w:ind w:left="765"/>
      </w:pPr>
      <w:r>
        <w:rPr>
          <w:rFonts w:ascii="Times New Roman" w:hAnsi="Times New Roman" w:eastAsia="宋体"/>
          <w:sz w:val="24"/>
        </w:rPr>
        <w:t>The long-run effects can be larger: China supplies not only consumer goods but also machinery, equipment, parts, and other goods that help US firms invest. Part of the cost also shows up over time as lower wages.</w:t>
      </w:r>
    </w:p>
    <w:p>
      <w:pPr>
        <w:pStyle w:val="DocBody"/>
        <w:ind w:left="765"/>
      </w:pPr>
      <w:r>
        <w:rPr>
          <w:rFonts w:ascii="Times New Roman" w:hAnsi="Times New Roman" w:eastAsia="宋体"/>
          <w:sz w:val="24"/>
        </w:rPr>
        <w:t>To some extent, decoupling has already been under way since 2018. China's share of total US imports peaked then at just over 20% and has declined ever since (as of 2025, only around 7%).</w:t>
      </w:r>
    </w:p>
    <w:p>
      <w:pPr>
        <w:pStyle w:val="DocBody"/>
        <w:ind w:left="765"/>
      </w:pPr>
      <w:r>
        <w:rPr>
          <w:rFonts w:ascii="Times New Roman" w:hAnsi="Times New Roman" w:eastAsia="宋体"/>
          <w:sz w:val="24"/>
        </w:rPr>
        <w:t>Aggregate losses are modest, but the costs are not borne uniformly. Managing them must also reckon with these uneven consequences. A slow, predictable decoupling path will give households and businesses time to adjust.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ms.hoover.org/research/cost-decoupling-china"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Cost Of Decoupling With China</dc:title>
  <dc:subject/>
  <dc:creator>briefing-article-kb</dc:creator>
  <cp:keywords/>
  <dc:description>https://cms.hoover.org/research/cost-decoupling-china</dc:description>
  <cp:lastModifiedBy/>
  <cp:revision>1</cp:revision>
  <dcterms:created xsi:type="dcterms:W3CDTF">2013-12-23T23:15:00Z</dcterms:created>
  <dcterms:modified xsi:type="dcterms:W3CDTF">2013-12-23T23:15:00Z</dcterms:modified>
  <cp:category/>
</cp:coreProperties>
</file>