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B003-015</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TechPolicyPress（Tech Policy Press）</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2026-08-28</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The EU and US Can’t Agree on Tech — or Trust</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https://techpolicy.press/the-eu-and-us-cant-agree-on-tech-or-trust</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B003（2026-08-29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B003-015-Tech policy press -the-eu-and-us-cant-agree-on-tech-or-trust-202608.md</w:t>
            </w:r>
          </w:p>
        </w:tc>
      </w:tr>
    </w:tbl>
    <w:p/>
    <w:p>
      <w:pPr>
        <w:pStyle w:val="DocTitle"/>
      </w:pPr>
      <w:r>
        <w:t>The EU and US Can’t Agree on Tech — or Trust</w:t>
      </w:r>
    </w:p>
    <w:p>
      <w:pPr>
        <w:pStyle w:val="DocH1"/>
      </w:pPr>
      <w:r>
        <w:rPr>
          <w:rFonts w:ascii="Times New Roman" w:hAnsi="Times New Roman" w:eastAsia="宋体"/>
          <w:sz w:val="24"/>
        </w:rPr>
        <w:t>The EU and US Can't Agree on Tech — or Trust</w:t>
      </w:r>
    </w:p>
    <w:p>
      <w:pPr>
        <w:pStyle w:val="DocBody"/>
      </w:pPr>
      <w:r>
        <w:rPr>
          <w:rFonts w:ascii="Times New Roman" w:hAnsi="Times New Roman" w:eastAsia="宋体"/>
          <w:sz w:val="24"/>
        </w:rPr>
        <w:t>Brussels and Washington no longer see eye-to-eye on once fundamental transatlantic principles like free trade, NATO and free speech, writes Mark Scott.</w:t>
      </w:r>
    </w:p>
    <w:p>
      <w:pPr>
        <w:pStyle w:val="DocBody"/>
      </w:pPr>
      <w:r>
        <w:rPr>
          <w:rFonts w:ascii="Times New Roman" w:hAnsi="Times New Roman" w:eastAsia="宋体"/>
          <w:sz w:val="24"/>
        </w:rPr>
        <w:t>For decades, the transatlantic relationship was anchored by a set of shared assumptions: open markets, multilateral institutions, and a common belief that democracies should write the rules for the global economy. On technology, that consensus produced an unlikely but durable partnership. Europe provided regulation — the General Data Protection Regulation, the Digital Services Act, the AI Act — and the United States provided the innovation. The two sides bickered constantly about privacy, antitrust and digital taxes, but they disagreed within a shared framework: rules-based, court-adjudicated, and aimed at making the digital economy work for democracies.</w:t>
      </w:r>
    </w:p>
    <w:p>
      <w:pPr>
        <w:pStyle w:val="DocBody"/>
      </w:pPr>
      <w:r>
        <w:rPr>
          <w:rFonts w:ascii="Times New Roman" w:hAnsi="Times New Roman" w:eastAsia="宋体"/>
          <w:sz w:val="24"/>
        </w:rPr>
        <w:t>That framework is now broken. And what has replaced it is not a new agreement, but an accelerating divergence that threatens to split the global technology ecosystem into two incompatible halves.</w:t>
      </w:r>
    </w:p>
    <w:p>
      <w:pPr>
        <w:pStyle w:val="DocBody"/>
      </w:pPr>
      <w:r>
        <w:rPr>
          <w:rFonts w:ascii="Times New Roman" w:hAnsi="Times New Roman" w:eastAsia="宋体"/>
          <w:sz w:val="24"/>
        </w:rPr>
        <w:t>The proximate causes are well documented. The US administration has launched investigations into European digital rules, imposing tariffs on countries that regulate American technology companies, and pressuring Brussels to water down the Digital Services Act, which requires large platforms to assess and mitigate systemic risks like disinformation. Vice President JD Vance used his appearance at the Munich Security Conference to deliver a blistering attack on European speech regulation, framing the continent's content moderation rules as censorship of American companies and conservative voices. European officials, for their part, have grown increasingly vocal about what they see as American coercion — not just on tech, but on trade, defense procurement and Ukraine policy.</w:t>
      </w:r>
    </w:p>
    <w:p>
      <w:pPr>
        <w:pStyle w:val="DocBody"/>
      </w:pPr>
      <w:r>
        <w:rPr>
          <w:rFonts w:ascii="Times New Roman" w:hAnsi="Times New Roman" w:eastAsia="宋体"/>
          <w:sz w:val="24"/>
        </w:rPr>
        <w:t>But the divergence goes deeper than any single dispute. It reflects two fundamentally different answers to the question of what technology is for.</w:t>
      </w:r>
    </w:p>
    <w:p>
      <w:pPr>
        <w:pStyle w:val="DocBody"/>
      </w:pPr>
      <w:r>
        <w:rPr>
          <w:rFonts w:ascii="Times New Roman" w:hAnsi="Times New Roman" w:eastAsia="宋体"/>
          <w:sz w:val="24"/>
        </w:rPr>
        <w:t>The European view treats digital platforms as infrastructure that must serve the public interest: subject to risk assessments, audits, and liability for harms. The American view, as articulated by this administration, treats those same rules as an illegitimate constraint on commercial and political freedom — and, increasingly, as a matter of national power. The emergence of AI as a geopolitical prize has intensified this shift. Washington now views AI leadership through a competition lens, particularly against China, and sees European precaution — with its risk-based assessments and its emphasis on fundamental rights — as an obstacle to be dismantled rather than a standard to be shared.</w:t>
      </w:r>
    </w:p>
    <w:p>
      <w:pPr>
        <w:pStyle w:val="DocBody"/>
      </w:pPr>
      <w:r>
        <w:rPr>
          <w:rFonts w:ascii="Times New Roman" w:hAnsi="Times New Roman" w:eastAsia="宋体"/>
          <w:sz w:val="24"/>
        </w:rPr>
        <w:t>The consequences are already visible. Negotiations over a transatlantic data transfer framework have grown fraught as European courts and regulators question whether US surveillance guarantees are reliable, given the administration's willingness to use executive power against political opponents and foreign institutions. The EU's enforcement actions against American platforms — cases against X, TikTok, and Meta under the DSA — are now routinely framed in Washington as economic warfare rather than law enforcement. And on AI, the EU's implementation of its flagship AI Act is proceeding amid open American lobbying against strict general-purpose model rules, with some European governments sympathetic to the US position and others committed to the original text.</w:t>
      </w:r>
    </w:p>
    <w:p>
      <w:pPr>
        <w:pStyle w:val="DocBody"/>
      </w:pPr>
      <w:r>
        <w:rPr>
          <w:rFonts w:ascii="Times New Roman" w:hAnsi="Times New Roman" w:eastAsia="宋体"/>
          <w:sz w:val="24"/>
        </w:rPr>
        <w:t>Each side is also building alternative coalitions. Europe is deepening digital partnerships with Japan, South Korea, Singapore and others, hoping to establish its regulatory model as a global default — the so-called "Brussels effect." The United States is promoting a deregulated, export-friendly approach across the Gulf states and Southeast Asia, where demand for AI infrastructure and cloud services gives Washington considerable leverage. The result is a growing risk of regulatory fragmentation: different compliance regimes, different standards for AI safety, different rules for data flows, and ultimately different internets depending on where you live.</w:t>
      </w:r>
    </w:p>
    <w:p>
      <w:pPr>
        <w:pStyle w:val="DocBody"/>
      </w:pPr>
      <w:r>
        <w:rPr>
          <w:rFonts w:ascii="Times New Roman" w:hAnsi="Times New Roman" w:eastAsia="宋体"/>
          <w:sz w:val="24"/>
        </w:rPr>
        <w:t>The costs of this fragmentation will fall hardest on companies and citizens. For firms, the compliance burden of navigating divergent regimes is already substantial, and it will grow as AI rules diverge. For researchers and civil society, the loss of a common evidentiary and legal framework makes cross-border cooperation harder. For citizens, it means their digital rights increasingly depend on geography — a principle both blocs once claimed to oppose.</w:t>
      </w:r>
    </w:p>
    <w:p>
      <w:pPr>
        <w:pStyle w:val="DocBody"/>
      </w:pPr>
      <w:r>
        <w:rPr>
          <w:rFonts w:ascii="Times New Roman" w:hAnsi="Times New Roman" w:eastAsia="宋体"/>
          <w:sz w:val="24"/>
        </w:rPr>
        <w:t>Can the drift be reversed? Some transatlantic structures survive: the Trade and Technology Council still meets, and cooperation on export controls, semiconductor supply chains and sanctions enforcement against Russia and China continues in bilateral channels. Shared threat perceptions have not disappeared. But these are issue-by-issue workarounds, not a restored consensus. What is gone is the underlying trust — the assumption that disagreements are about means, not ends.</w:t>
      </w:r>
    </w:p>
    <w:p>
      <w:pPr>
        <w:pStyle w:val="DocBody"/>
      </w:pPr>
      <w:r>
        <w:rPr>
          <w:rFonts w:ascii="Times New Roman" w:hAnsi="Times New Roman" w:eastAsia="宋体"/>
          <w:sz w:val="24"/>
        </w:rPr>
        <w:t>Rebuilding it would require the United States to accept that allies are entitled to regulate within their borders, and Europe to accept that American security concerns about Chinese technology are not protectionism. Neither seems likely in the current political moment. Instead, both sides appear to be preparing for a world of technological blocs — and writing off the possibility that the democratic world might still write its digital rules together.</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B003-015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techpolicy.press/the-eu-and-us-cant-agree-on-tech-or-tru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EU and US Can’t Agree on Tech — or Trust</dc:title>
  <dc:subject/>
  <dc:creator>briefing-article-kb</dc:creator>
  <cp:keywords/>
  <dc:description>https://techpolicy.press/the-eu-and-us-cant-agree-on-tech-or-trust</dc:description>
  <cp:lastModifiedBy/>
  <cp:revision>1</cp:revision>
  <dcterms:created xsi:type="dcterms:W3CDTF">2013-12-23T23:15:00Z</dcterms:created>
  <dcterms:modified xsi:type="dcterms:W3CDTF">2013-12-23T23:15:00Z</dcterms:modified>
  <cp:category/>
</cp:coreProperties>
</file>