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ESA（ESA - European Space Agency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Watch live: BepiColombo begins its arrival at Mercury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https://www.esa.int/Enabling_Support/Operations/Watch_live_BepiColombo_begins_its_arrival_at_Mercury</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B003-023-Esa - european space agency news -watch-live-bepicolombo-begins-its-arrival-at-mer-202608.md</w:t>
            </w:r>
          </w:p>
        </w:tc>
      </w:tr>
    </w:tbl>
    <w:p/>
    <w:p>
      <w:pPr>
        <w:pStyle w:val="DocTitle"/>
      </w:pPr>
      <w:r>
        <w:t>Watch live: BepiColombo begins its arrival at Mercury</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https://www.sdo.esoc.esa.int/environment_report/Space_Environment_Report_latest.pdf</w:t>
      </w:r>
    </w:p>
    <w:p>
      <w:pPr>
        <w:pStyle w:val="DocBody"/>
        <w:ind w:left="510"/>
      </w:pPr>
      <w:r>
        <w:rPr>
          <w:rFonts w:ascii="Times New Roman" w:hAnsi="Times New Roman" w:eastAsia="宋体"/>
          <w:sz w:val="24"/>
        </w:rPr>
        <w:t>抓取自介绍页: https://www.esa.int/Enabling_Support/Operations/Watch_live_BepiColombo_begins_its_arrival_at_Mercury</w:t>
      </w:r>
    </w:p>
    <w:p>
      <w:pPr>
        <w:pStyle w:val="DocBody"/>
      </w:pPr>
      <w:r>
        <w:rPr>
          <w:rFonts w:ascii="Times New Roman" w:hAnsi="Times New Roman" w:eastAsia="宋体"/>
          <w:sz w:val="24"/>
        </w:rPr>
        <w:t>ESA UNCLASSIFIED - Releasable to the Public ESA ESOC Robert-Bosch-Strasse 5 D-64293 Darmstadt Germany ESA’S ANNUAL SPACE ENVIRONMENT REPORT Prepared by ESA Space Debris Office Document Type LOG Reference GEN-DB-LOG-00288-OPS-SD Issue/Revision 10.0 Date of Issue 1 May 2026 Status Final</w:t>
      </w:r>
    </w:p>
    <w:p>
      <w:pPr>
        <w:pStyle w:val="DocBody"/>
      </w:pPr>
      <w:r>
        <w:rPr>
          <w:rFonts w:ascii="Times New Roman" w:hAnsi="Times New Roman" w:eastAsia="宋体"/>
          <w:sz w:val="24"/>
        </w:rPr>
        <w:t>ESA UNCLASSIFIED - Releasable to the Public Table of contents Executive summary...............................................................................................................................3</w:t>
      </w:r>
    </w:p>
    <w:p>
      <w:pPr>
        <w:pStyle w:val="DocBody"/>
        <w:ind w:left="765"/>
      </w:pPr>
      <w:r>
        <w:rPr>
          <w:rFonts w:ascii="Times New Roman" w:hAnsi="Times New Roman" w:eastAsia="宋体"/>
          <w:sz w:val="24"/>
        </w:rPr>
        <w:t>Introduction ....................................................................................................................................12 1.1. Definitions....................................................................................................................................13 1.2. Data sources ...............................................................................................................................15 1.3. Methodology................................................................................................................................16 1.4. Notable changes..........................................................................................................................17 1.5. Acknowledgements .....................................................................................................................21 1.6. Disclaimer....................................................................................................................................21</w:t>
      </w:r>
    </w:p>
    <w:p>
      <w:pPr>
        <w:pStyle w:val="DocBody"/>
        <w:ind w:left="765"/>
      </w:pPr>
      <w:r>
        <w:rPr>
          <w:rFonts w:ascii="Times New Roman" w:hAnsi="Times New Roman" w:eastAsia="宋体"/>
          <w:sz w:val="24"/>
        </w:rPr>
        <w:t>Space Environmental History in Numbers ......................................................................................22 2.1. Overall Space Environment .........................................................................................................23 2.2. Evolution of Environment in LEO .................................................................................................27 2.3. Evolution of Environment in GEO ................................................................................................29 2.4. Non-catalogued and modelled objects.........................................................................................31 2.5. Usage of the Protected Regions ..................................................................................................33 2.6. Constellations in the LEO protected region..................................................................................47 2.7. Active payloads in the LEO protected region ...............................................................................48 2.8. New Catalogued Objects in the Space Environment....................................................................51 2.9. Objects Removed from the Space Environment ..........................................................................53 2.10.On-ground Casualty Risk.............................................................................................................58 2.11.Nuclear Power Sources ...............................................................................................................60 2.12.Registration of Objects Launched in Outer Space .......................................................................61</w:t>
      </w:r>
    </w:p>
    <w:p>
      <w:pPr>
        <w:pStyle w:val="DocBody"/>
        <w:ind w:left="765"/>
      </w:pPr>
      <w:r>
        <w:rPr>
          <w:rFonts w:ascii="Times New Roman" w:hAnsi="Times New Roman" w:eastAsia="宋体"/>
          <w:sz w:val="24"/>
        </w:rPr>
        <w:t>Environmental Status 2025 ............................................................................................................63 3.1. Status of the Environment in LEO................................................................................................66 3.2. Status of the Environment in GEO...............................................................................................72 3.3. Fragmentations in 2025 ...............................................................................................................74 3.4. Changes to the Environment in 2025...........................................................................................75 3.5. Conjunction statistics in LEO in 2025...........................................................................................79</w:t>
      </w:r>
    </w:p>
    <w:p>
      <w:pPr>
        <w:pStyle w:val="DocBody"/>
        <w:ind w:left="765"/>
      </w:pPr>
      <w:r>
        <w:rPr>
          <w:rFonts w:ascii="Times New Roman" w:hAnsi="Times New Roman" w:eastAsia="宋体"/>
          <w:sz w:val="24"/>
        </w:rPr>
        <w:t>Intentional object release ...............................................................................................................84 4.1. Mission Related Objects ..............................................................................................................84 4.2. Solid Rocket Motor Firings...........................................................................................................88</w:t>
      </w:r>
    </w:p>
    <w:p>
      <w:pPr>
        <w:pStyle w:val="DocBody"/>
        <w:ind w:left="765"/>
      </w:pPr>
      <w:r>
        <w:rPr>
          <w:rFonts w:ascii="Times New Roman" w:hAnsi="Times New Roman" w:eastAsia="宋体"/>
          <w:sz w:val="24"/>
        </w:rPr>
        <w:t>Fragmentation History....................................................................................................................89 5.1. All fragmentation events ..............................................................................................................91 5.2. Non-system related fragmentation events ...................................................................................98</w:t>
      </w:r>
    </w:p>
    <w:p>
      <w:pPr>
        <w:pStyle w:val="DocBody"/>
        <w:ind w:left="765"/>
      </w:pPr>
      <w:r>
        <w:rPr>
          <w:rFonts w:ascii="Times New Roman" w:hAnsi="Times New Roman" w:eastAsia="宋体"/>
          <w:sz w:val="24"/>
        </w:rPr>
        <w:t>End-Of-Life Operations History ....................................................................................................100 6.1. End-Of-Life Operations in Low Earth Orbit ................................................................................100 6.2. End-Of-Life Operations in Geostationary Orbit ..........................................................................135 6.3. End-Of-Life Operations in MEO .................................................................................................140</w:t>
      </w:r>
    </w:p>
    <w:p>
      <w:pPr>
        <w:pStyle w:val="DocBody"/>
        <w:ind w:left="765"/>
      </w:pPr>
      <w:r>
        <w:rPr>
          <w:rFonts w:ascii="Times New Roman" w:hAnsi="Times New Roman" w:eastAsia="宋体"/>
          <w:sz w:val="24"/>
        </w:rPr>
        <w:t>Environment metrics ....................................................................................................................142 7.1. Environmental Index in 2025 .....................................................................................................142 7.2. Environment evolution ...............................................................................................................144 References .......................................................................................................................................151 Page 2/151</w:t>
      </w:r>
    </w:p>
    <w:p>
      <w:pPr>
        <w:pStyle w:val="DocBody"/>
      </w:pPr>
      <w:r>
        <w:rPr>
          <w:rFonts w:ascii="Times New Roman" w:hAnsi="Times New Roman" w:eastAsia="宋体"/>
          <w:sz w:val="24"/>
        </w:rPr>
        <w:t>ESA UNCLASSIFIED - Releasable to the Public EXECUTIVE SUMMARY Ever since the start of the space age there has been more space debris in orbit than operational satellites. As space debris poses a problem for the near Earth environment on a global scale, only a globally supported solution can be the answer. This creates the need for a set of internationally accepted space debris mitigation measures. A major step in this direction was taken in 2002, when the Inter-Agency Debris Committee (IADC) published its first Space Debris Mitigation Guidelines. This document, and subsequent updates, has since served as a baseline for non- binding policy documents, national legislation, and as a starting point for the derivation of technical standards. The standardisation of mitigation measures is important in order to achieve a common understanding of the required tasks leading to transparent and comparable processes. Even if having a consistent set of measures is paramount to tackle the global problem of space debris, it is still up to the individual nations, operators, and manufacturers to implement them.</w:t>
      </w:r>
    </w:p>
    <w:p>
      <w:pPr>
        <w:pStyle w:val="DocBody"/>
      </w:pPr>
      <w:r>
        <w:rPr>
          <w:rFonts w:ascii="Times New Roman" w:hAnsi="Times New Roman" w:eastAsia="宋体"/>
          <w:sz w:val="24"/>
        </w:rPr>
        <w:t>In order to have an overview of the ongoing global debris mitigation efforts and to raise awareness of space activities in general, the European Space Agency, ESA, has been publishing a Space Environment Report since 2017. The document is updated yearly, it is publicly available, and it supports the awareness raising guideline laid out in United Nations Committee on the Peaceful Uses of Outer Space’s (UNCOPUOS) Guidelines for the Long-Term Sustainability of Outer Space Activities published in 2019. The purpose of this report is to:</w:t>
      </w:r>
    </w:p>
    <w:p>
      <w:pPr>
        <w:pStyle w:val="DocBody"/>
      </w:pPr>
      <w:r>
        <w:rPr>
          <w:rFonts w:ascii="Times New Roman" w:hAnsi="Times New Roman" w:eastAsia="宋体"/>
          <w:sz w:val="24"/>
        </w:rPr>
        <w:t>• Provide a transparent overview of global space activities;</w:t>
      </w:r>
    </w:p>
    <w:p>
      <w:pPr>
        <w:pStyle w:val="DocBody"/>
      </w:pPr>
      <w:r>
        <w:rPr>
          <w:rFonts w:ascii="Times New Roman" w:hAnsi="Times New Roman" w:eastAsia="宋体"/>
          <w:sz w:val="24"/>
        </w:rPr>
        <w:t>• Estimate the impact of these activities on the space environment;</w:t>
      </w:r>
    </w:p>
    <w:p>
      <w:pPr>
        <w:pStyle w:val="DocBody"/>
      </w:pPr>
      <w:r>
        <w:rPr>
          <w:rFonts w:ascii="Times New Roman" w:hAnsi="Times New Roman" w:eastAsia="宋体"/>
          <w:sz w:val="24"/>
        </w:rPr>
        <w:t>• Quantify the effect of internationally endorsed mitigation measures aimed at improving the sustainability of space flight.</w:t>
      </w:r>
    </w:p>
    <w:p>
      <w:pPr>
        <w:pStyle w:val="DocBody"/>
      </w:pPr>
      <w:r>
        <w:rPr>
          <w:rFonts w:ascii="Times New Roman" w:hAnsi="Times New Roman" w:eastAsia="宋体"/>
          <w:sz w:val="24"/>
        </w:rPr>
        <w:t>In this report, the status of the space environment is presented in various facets, focusing on the time evolution of catalogued and asserted objects in terms of number, mass, and area, as well as addressing the global adherence to space debris mitigation measures.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w:t>
      </w:r>
    </w:p>
    <w:p>
      <w:pPr>
        <w:pStyle w:val="DocBody"/>
      </w:pPr>
      <w:r>
        <w:rPr>
          <w:rFonts w:ascii="Times New Roman" w:hAnsi="Times New Roman" w:eastAsia="宋体"/>
          <w:sz w:val="24"/>
        </w:rPr>
        <w:t>• The minimisation of the potential for on-orbit break-ups;</w:t>
      </w:r>
    </w:p>
    <w:p>
      <w:pPr>
        <w:pStyle w:val="DocBody"/>
      </w:pPr>
      <w:r>
        <w:rPr>
          <w:rFonts w:ascii="Times New Roman" w:hAnsi="Times New Roman" w:eastAsia="宋体"/>
          <w:sz w:val="24"/>
        </w:rPr>
        <w:t>• Post mission disposal;</w:t>
      </w:r>
    </w:p>
    <w:p>
      <w:pPr>
        <w:pStyle w:val="DocBody"/>
      </w:pPr>
      <w:r>
        <w:rPr>
          <w:rFonts w:ascii="Times New Roman" w:hAnsi="Times New Roman" w:eastAsia="宋体"/>
          <w:sz w:val="24"/>
        </w:rPr>
        <w:t>• Prevention of on-orbit collisions.</w:t>
      </w:r>
    </w:p>
    <w:p>
      <w:pPr>
        <w:pStyle w:val="DocBody"/>
      </w:pPr>
      <w:r>
        <w:rPr>
          <w:rFonts w:ascii="Times New Roman" w:hAnsi="Times New Roman" w:eastAsia="宋体"/>
          <w:sz w:val="24"/>
        </w:rPr>
        <w:t>These objectives are translated in design and operation guidelines that can be measured and the consequences can be assessed. Aspirationally, these objectives lead to future in which space debris is not an issue.</w:t>
      </w:r>
    </w:p>
    <w:p>
      <w:pPr>
        <w:pStyle w:val="DocBody"/>
      </w:pPr>
      <w:r>
        <w:rPr>
          <w:rFonts w:ascii="Times New Roman" w:hAnsi="Times New Roman" w:eastAsia="宋体"/>
          <w:sz w:val="24"/>
        </w:rPr>
        <w:t>Whereas the presentation of numerical values associated to launch and re-entry activities are essentially abso- lute, it is important to point out that metrics dealing with the adherence to space debris mitigation measures are estimates. These estimates depend on complex physical problems such as estimating orbital lifetime and require under-determined interpretations of observational quantities. As such, the conclusions on the state of the space environment presented hereafter need to be taken with appropriate care and can vary between yearly releases of the report. Notwithstanding such caveats, all care is taken in the design of the methodologies to minimise such variability and some summarising statements can be derived from the presented data.</w:t>
      </w:r>
    </w:p>
    <w:p>
      <w:pPr>
        <w:pStyle w:val="DocBody"/>
      </w:pPr>
      <w:r>
        <w:rPr>
          <w:rFonts w:ascii="Times New Roman" w:hAnsi="Times New Roman" w:eastAsia="宋体"/>
          <w:sz w:val="24"/>
        </w:rPr>
        <w:t>Page 3/151</w:t>
      </w:r>
    </w:p>
    <w:p>
      <w:pPr>
        <w:pStyle w:val="DocBody"/>
      </w:pPr>
      <w:r>
        <w:rPr>
          <w:rFonts w:ascii="Times New Roman" w:hAnsi="Times New Roman" w:eastAsia="宋体"/>
          <w:sz w:val="24"/>
        </w:rPr>
        <w:t>ESA UNCLASSIFIED - Releasable to the Public The amount of objects, their combined mass, and their combined area has been steadily rising since the beginning of the space age, leading to the appearance of involuntary collisions between operational payloads and space debris. Ever increasing improvements in space surveillance sensor capabilities during the last decades have brought down the size limits where debris can be reliably tracked and catalogued. This, in turn, implies that we know about significant amounts of space debris, but not all their originating events. The space traffic itself is also undergoing notable changes since 2015, particularly in Low Earth Orbits, fuelled by the miniaturisation of space systems and deployment of large constellations, with a shift towards commercial operators. The exponential growth in the number of new payloads continued in 2025, facilitated by both an increasing launch frequency, and a rise in the use of rideshare launches carrying multiple payloads, once again achieving the highest launch traffic rates seen thus far. These three elements (i.e. volume of traffic, type of spacecraft, type of operators) are all of relevance when one considers the adequacy of space debris mitigation guidelines and possible ways for sustainable space operations, especially when looking at the Earth’s orbital environment as a finite resource, in line with the UN Long-Term Sustainability Guidelines [1].</w:t>
      </w:r>
    </w:p>
    <w:p>
      <w:pPr>
        <w:pStyle w:val="DocBody"/>
      </w:pPr>
      <w:r>
        <w:rPr>
          <w:rFonts w:ascii="Times New Roman" w:hAnsi="Times New Roman" w:eastAsia="宋体"/>
          <w:sz w:val="24"/>
        </w:rPr>
        <w:t>1 Jan 1960 1 Jan 1970 1 Jan 1980 1 Jan 1990 1 Jan 2000 1 Jan 2010 1 Jan 2020 Reference Epoch 10000 20000 30000 40000 Object Count [-] Evolution in All Orbits UI RM RD RF RB PM PD PF PL Figure 1: Evolution of number of objects in geocentric orbit by object class. Please consult Section 1.1 for the definitions.</w:t>
      </w:r>
    </w:p>
    <w:p>
      <w:pPr>
        <w:pStyle w:val="DocBody"/>
      </w:pPr>
      <w:r>
        <w:rPr>
          <w:rFonts w:ascii="Times New Roman" w:hAnsi="Times New Roman" w:eastAsia="宋体"/>
          <w:sz w:val="24"/>
        </w:rPr>
        <w:t>Launch Year Number of Objects [-] Payload Launch Traffic into 200 hp 1750km Communication Imaging Spaceship Technology Science Navigation Sigint Calibration Weather Other 1960 1965 1970 1975 1980 1985 1990 1995 2000 2005 2010 2015 2020 2025 Launch year Number of launches Payloads carried per launch (0, 1] (1, 5] (5, 10] (10, 25] (25, 50] (50, 100] (100, 150] Figure 2: Evolution of the launch traffic in number of payloads objects (left) and number of launches (right).</w:t>
      </w:r>
    </w:p>
    <w:p>
      <w:pPr>
        <w:pStyle w:val="DocBody"/>
      </w:pPr>
      <w:r>
        <w:rPr>
          <w:rFonts w:ascii="Times New Roman" w:hAnsi="Times New Roman" w:eastAsia="宋体"/>
          <w:sz w:val="24"/>
        </w:rPr>
        <w:t>Page 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Figure 3: Historical trend of numbers of fragments produced by fragmentation events.</w:t>
      </w:r>
    </w:p>
    <w:p>
      <w:pPr>
        <w:pStyle w:val="DocBody"/>
      </w:pPr>
      <w:r>
        <w:rPr>
          <w:rFonts w:ascii="Times New Roman" w:hAnsi="Times New Roman" w:eastAsia="宋体"/>
          <w:sz w:val="24"/>
        </w:rPr>
        <w:t>On average over the last two decades, 9.8 non-deliberate fragmentations continue to occur in the space environ- ment every year. This number remains stable, however the impact of each event is variable. This number drops significantly to 1.5 per year when the lifetime of the generated fragments is considered a factor of importance, and even 0.4 per year when systematic and unexplained events are excluded from the analysis. This suggests that non-collisional events with a large environmental impact are still taking place, partly due to the presence of designs with known issues. Further details are presented in Table 5.1 and Table 5.2. Fragmentations other than collisions are currently the dominant source of space debris as can be seen from Fig. 3. The year 2025 saw a comparatively low number of fragments added to the space environment from new events, in contrast to 2024, which saw a substantial increase of over 3000 catalogued fragments mostly attributed to propulsion-related breakups.</w:t>
      </w:r>
    </w:p>
    <w:p>
      <w:pPr>
        <w:pStyle w:val="DocBody"/>
      </w:pPr>
      <w:r>
        <w:rPr>
          <w:rFonts w:ascii="Times New Roman" w:hAnsi="Times New Roman" w:eastAsia="宋体"/>
          <w:sz w:val="24"/>
        </w:rPr>
        <w:t>Perigee altitude [km] Number of objects Manoeuvrable payloads Active non-manoeuvrable payloads Inactive payloads Other objects Figure 4: Distribution of manoeuvrable, active and inactive payloads, and other (debris) objects with altitude.</w:t>
      </w:r>
    </w:p>
    <w:p>
      <w:pPr>
        <w:pStyle w:val="DocBody"/>
      </w:pPr>
      <w:r>
        <w:rPr>
          <w:rFonts w:ascii="Times New Roman" w:hAnsi="Times New Roman" w:eastAsia="宋体"/>
          <w:sz w:val="24"/>
        </w:rPr>
        <w:t>Preferential altitude ranges for communication constellations continue to show clear, but increasingly mobile peaks in payload concentration (Fig. 4). Combined with increasing launch traffic and the permanence of space debris events in Low Earth orbit, this results in a significant conjunction risk in the most used Earth orbits. This highlights the need for effective space traffic coordination in altitude ranges with high concentrations of active and manoeuvrable satellites (400 km - 600 km), as well as the need for effective space debris mitigation in high altitude Page 5/151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5: Conjunction events (i.e. events that could trigger an operator response but not necessarily an avoidance manoeuvre nor a collision) and corresponding chaser classification for a set of representative missions over 2025 orbits where debris objects linger with long orbital lifetimes. Detailed information is given in Section 3.5.</w:t>
      </w:r>
    </w:p>
    <w:p>
      <w:pPr>
        <w:pStyle w:val="DocBody"/>
      </w:pPr>
      <w:r>
        <w:rPr>
          <w:rFonts w:ascii="Times New Roman" w:hAnsi="Times New Roman" w:eastAsia="宋体"/>
          <w:sz w:val="24"/>
        </w:rPr>
        <w:t>A core space debris mitigation principle to reduce the risk of fragmentation is post-mission disposal. One facet of this is to restrict the time spent on orbit after end-of-life, with residual orbital lifetime limited to be as short as practicable and no more than a maximum of 25 years set out by the IADC for the LEO protected region [2]. Of the payloads injected into LEOIADC that have reached the end of their mission since 2020, between 86% and 99% of those with masses below 1000 kg operate in orbits that naturally adhere to this “25-year rule”, as shown in Section 6.1.2.2. For the payloads with masses between 100 kg and 1000 kg in mass, this is dominated by the behaviour of constellations. For larger payloads, the level of adherence is much lower, with only 57% set to remove themselves from orbit within 25 years.</w:t>
      </w:r>
    </w:p>
    <w:p>
      <w:pPr>
        <w:pStyle w:val="DocBody"/>
      </w:pPr>
      <w:r>
        <w:rPr>
          <w:rFonts w:ascii="Times New Roman" w:hAnsi="Times New Roman" w:eastAsia="宋体"/>
          <w:sz w:val="24"/>
        </w:rPr>
        <w:t>Between 40 and 90% of all payload mass, excluding human spaceflight, estimated as reaching end-of-life during the last decade in the LEO protected region does so in orbits that are estimated to adhere to the 25-year lifetime limit, as shown in Fig. 6.7. The noted increase in small payloads reaching end-of-life in compliant orbit implies a rising share, as does an increasing share of objects with manoeuvre capabilities such as constellations. Between 60 and 90% of all rocket body mass reaching end-of-life during the last decade does so in orbits that are estimated to adhere to the 25-year lifetime limit, as shown in Fig. 6.9. A significant amount of this is due to controlled re- entries after launch, a practice which increased from 10% to over 65% over the last decade. The positive trend of controlled re-entries of rocket bodies outnumbering uncontrolled re-entries continues in 2025, as can be seen in Fig. 6.</w:t>
      </w:r>
    </w:p>
    <w:p>
      <w:pPr>
        <w:pStyle w:val="DocBody"/>
      </w:pPr>
      <w:r>
        <w:rPr>
          <w:rFonts w:ascii="Times New Roman" w:hAnsi="Times New Roman" w:eastAsia="宋体"/>
          <w:sz w:val="24"/>
        </w:rPr>
        <w:t>Page 6/151</w:t>
      </w:r>
    </w:p>
    <w:p>
      <w:pPr>
        <w:pStyle w:val="DocBody"/>
      </w:pPr>
      <w:r>
        <w:rPr>
          <w:rFonts w:ascii="Times New Roman" w:hAnsi="Times New Roman" w:eastAsia="宋体"/>
          <w:sz w:val="24"/>
        </w:rPr>
        <w:t>ESA UNCLASSIFIED - Releasable to the Public 1990 1995 2000 2005 2010 2015 2020 2025 Re-entry year Number of objects (a) Rocket Bodies: Count 1990 1995 2000 2005 2010 2015 2020 2025 Re-entry year Total mass [t] Controlled Uncontrolled (b) Rocket Bodies: Mass Figure 6: Controlled and uncontrolled re-entries for Rocket Bodies.</w:t>
      </w:r>
    </w:p>
    <w:p>
      <w:pPr>
        <w:pStyle w:val="DocBody"/>
      </w:pPr>
      <w:r>
        <w:rPr>
          <w:rFonts w:ascii="Times New Roman" w:hAnsi="Times New Roman" w:eastAsia="宋体"/>
          <w:sz w:val="24"/>
        </w:rPr>
        <w:t>Despite this, current levels of compliance to space debris mitigation guidelines at large are insufficient for achiev- ing a sustainable space environment long-term, and there is a growing consensus that stricter mitigation prac- tices need to be implemented globally. In line with this, the early twenty-twenties saw some significant policy shifts come into force across major launching states across the globe, including ESA’s own Zero Debris Approach and updated Space Debris Mitigation Standard and associated policy [3, 4]. Among the measures introduced by this Standard in 2023, was the reduction of the post-mission lifetime limit from 25 down to 5 years. Specifically, the Standard requires that the orbit clearance of a spacecraft or launch vehicle orbital element from the LEO pro- 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While a common target for successful post-mission disposal is 90%, this practice will not by itself reduce the amount of debris in orbit, and will need to increase to near 100% in the near future.</w:t>
      </w:r>
    </w:p>
    <w:p>
      <w:pPr>
        <w:pStyle w:val="DocBody"/>
      </w:pPr>
      <w:r>
        <w:rPr>
          <w:rFonts w:ascii="Times New Roman" w:hAnsi="Times New Roman" w:eastAsia="宋体"/>
          <w:sz w:val="24"/>
        </w:rPr>
        <w:t>Between 20 and 85% of payloads, excluding human spaceflight, reaching end-of-life during the last decade in the LEO protected region in a non-compliant orbit attempt to comply with the 25-year lifetime limit. The difference in behaviour between constellation and non-constellation objects can be significant as shown in Fig. 6.6. Between 5 and 85% do so successfully and a rising trend is evident. Similar trends can be seen when applying the 5- year threshold, with between 5 and 65% successfully complying over the last decade (Fig. 6.28). Between 50 and 95% of rocket bodies reaching end-of-life during the current decade in the LEO protected region in a non- compliant orbit attempt to comply with the 25-year lifetime limit. Between 45 and 90% do so successfully, with the compliance trend linearly increasing, but stabilising. Similar trends can be seen when applying the 5-year threshold, with between 30 and 80% successfully complying over the last decade. Between 85% and 100% of all payloads reaching end-of-life during the last decade in the GEO protected region attempt to comply with space debris mitigation measures. Between 70% and 90% do so successfully, with the compliance trend asymptotically increasing, but with notable exceptions in 2015 and 2022.</w:t>
      </w:r>
    </w:p>
    <w:p>
      <w:pPr>
        <w:pStyle w:val="DocBody"/>
      </w:pPr>
      <w:r>
        <w:rPr>
          <w:rFonts w:ascii="Times New Roman" w:hAnsi="Times New Roman" w:eastAsia="宋体"/>
          <w:sz w:val="24"/>
        </w:rPr>
        <w:t>Page 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 for a lifetime limit of 25 years.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 for a lifetime limit of 25 years.</w:t>
      </w:r>
    </w:p>
    <w:p>
      <w:pPr>
        <w:pStyle w:val="DocBody"/>
      </w:pPr>
      <w:r>
        <w:rPr>
          <w:rFonts w:ascii="Times New Roman" w:hAnsi="Times New Roman" w:eastAsia="宋体"/>
          <w:sz w:val="24"/>
        </w:rPr>
        <w:t>End-of-Life Year Count [%] Payload Clearance near GEOIADC Successful Attempt Insufficient Attempt No Attempt (c) Relative clearance near GEOIADC by payloads.</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(d) Relative clearance near LEOIADC by payloads and rocket bodies for 25 and 5-year lifetime limits.</w:t>
      </w:r>
    </w:p>
    <w:p>
      <w:pPr>
        <w:pStyle w:val="DocBody"/>
      </w:pPr>
      <w:r>
        <w:rPr>
          <w:rFonts w:ascii="Times New Roman" w:hAnsi="Times New Roman" w:eastAsia="宋体"/>
          <w:sz w:val="24"/>
        </w:rPr>
        <w:t>Figure 7: Trend of adherence to clearance of the protected region over time in terms of numbers, excluding naturally compliant objects where no action was needed or taken.</w:t>
      </w:r>
    </w:p>
    <w:p>
      <w:pPr>
        <w:pStyle w:val="DocBody"/>
      </w:pPr>
      <w:r>
        <w:rPr>
          <w:rFonts w:ascii="Times New Roman" w:hAnsi="Times New Roman" w:eastAsia="宋体"/>
          <w:sz w:val="24"/>
        </w:rPr>
        <w:t>Launch year Share of objects [%] Constellation Payloads Lifetime [y] (0,2] (2,5] (5,15] (15,25] (25,100] (100,500] (500, )</w:t>
      </w:r>
    </w:p>
    <w:p>
      <w:pPr>
        <w:pStyle w:val="DocBody"/>
      </w:pPr>
      <w:r>
        <w:rPr>
          <w:rFonts w:ascii="Times New Roman" w:hAnsi="Times New Roman" w:eastAsia="宋体"/>
          <w:sz w:val="24"/>
        </w:rPr>
        <w:t>Launch year Share of objects [%] Non-constellation Payloads Lifetime [y] (0,2] (2,5] (5,15] (15,25] (25,100] (100,500] (500, )</w:t>
      </w:r>
    </w:p>
    <w:p>
      <w:pPr>
        <w:pStyle w:val="DocBody"/>
      </w:pPr>
      <w:r>
        <w:rPr>
          <w:rFonts w:ascii="Times New Roman" w:hAnsi="Times New Roman" w:eastAsia="宋体"/>
          <w:sz w:val="24"/>
        </w:rPr>
        <w:t>Figure 8: Estimated lifetime for the Payload destination orbits by launch year: share of objects.</w:t>
      </w:r>
    </w:p>
    <w:p>
      <w:pPr>
        <w:pStyle w:val="DocBody"/>
      </w:pPr>
      <w:r>
        <w:rPr>
          <w:rFonts w:ascii="Times New Roman" w:hAnsi="Times New Roman" w:eastAsia="宋体"/>
          <w:sz w:val="24"/>
        </w:rPr>
        <w:t>Page 8/151</w:t>
      </w:r>
    </w:p>
    <w:p>
      <w:pPr>
        <w:pStyle w:val="DocBody"/>
      </w:pPr>
      <w:r>
        <w:rPr>
          <w:rFonts w:ascii="Times New Roman" w:hAnsi="Times New Roman" w:eastAsia="宋体"/>
          <w:sz w:val="24"/>
        </w:rPr>
        <w:t>ESA UNCLASSIFIED - Releasable to the Public Whereas adoption of, and compliance to, space debris mitigation practices at a global level is noted as slowly increasing, it is of importance to note that the successful implementation of either lifetime threshold is still at a too low level to ensure a sustainable environment in the long-run. Notably, some of the increase in uptake of mitigation measures as analysed by the metrics above, such as controlled re-entries of rocket bodies or post mission disposal success rates for payloads in LEO, are linked with the deployment and retirement of large constellations. In particular, the usage of operational mission orbits with low orbital lifetimes by constellations, as shown in Fig. 8, results in a natural compliance level of almost 90% with the 25-year lifetime limit.</w:t>
      </w:r>
    </w:p>
    <w:p>
      <w:pPr>
        <w:pStyle w:val="DocBody"/>
      </w:pPr>
      <w:r>
        <w:rPr>
          <w:rFonts w:ascii="Times New Roman" w:hAnsi="Times New Roman" w:eastAsia="宋体"/>
          <w:sz w:val="24"/>
        </w:rPr>
        <w:t>Given these factors, combined with increasing launch traffic and high levels of solar activity, the number and size of re-entering objects is also increasing, with 1200 intact objects re-entering in 2025. While significant portions of the objects that re-enter in an uncontrolled fashion break-up and demise during re-entry, fragments may survive re-entry and impact on ground. The aggregate human casualty risk as a result of these impacting fragments, defined as causing severe injury or death, is shown in Fig. 10. While the estimated risk experienced by an individual remains extremely low, the aggregate number of casualties is expected to grow in the long-term with the number of re-entries, if safer design measures are not adopted. Further details are provided in Section 2.10.</w:t>
      </w:r>
    </w:p>
    <w:p>
      <w:pPr>
        <w:pStyle w:val="DocBody"/>
      </w:pPr>
      <w:r>
        <w:rPr>
          <w:rFonts w:ascii="Times New Roman" w:hAnsi="Times New Roman" w:eastAsia="宋体"/>
          <w:sz w:val="24"/>
        </w:rPr>
        <w:t>Year Object Count [-] Re-entering Objects RM RD RF RB PM PD PF PL Figure 9: Evolution of re-entering objects in each year by object type without human spaceflight.</w:t>
      </w:r>
    </w:p>
    <w:p>
      <w:pPr>
        <w:pStyle w:val="DocBody"/>
      </w:pPr>
      <w:r>
        <w:rPr>
          <w:rFonts w:ascii="Times New Roman" w:hAnsi="Times New Roman" w:eastAsia="宋体"/>
          <w:sz w:val="24"/>
        </w:rPr>
        <w:t>Re-entry year 0.00 0.02 0.04 0.06 0.08 0.10 Yearly expected casualties Estimated casualty risk on-ground from uncontrolled re-entries Re-entry simulation-informed estimate Recovered fragments-based empirical estimate Figure 10: Evolution of the estimated on-ground casualty risk from uncontrolled re-entries.</w:t>
      </w:r>
    </w:p>
    <w:p>
      <w:pPr>
        <w:pStyle w:val="DocBody"/>
      </w:pPr>
      <w:r>
        <w:rPr>
          <w:rFonts w:ascii="Times New Roman" w:hAnsi="Times New Roman" w:eastAsia="宋体"/>
          <w:sz w:val="24"/>
        </w:rPr>
        <w:t>Page 9/151</w:t>
      </w:r>
    </w:p>
    <w:p>
      <w:pPr>
        <w:pStyle w:val="DocBody"/>
      </w:pPr>
      <w:r>
        <w:rPr>
          <w:rFonts w:ascii="Times New Roman" w:hAnsi="Times New Roman" w:eastAsia="宋体"/>
          <w:sz w:val="24"/>
        </w:rPr>
        <w:t>ESA UNCLASSIFIED - Releasable to the Public Despite the improvement in orbital clearance efforts, the extrapolation of the current changing use of orbits and launch traffic, combined with continued fragmentations and limited post mission disposal success rate could lead to a cascade of collision events over the next centuries. Even in case of no further launches into orbit, it is expected that collisions among the space debris objects already present will lead to a further growth in space debris population in Low Earth Orbit.</w:t>
      </w:r>
    </w:p>
    <w:p>
      <w:pPr>
        <w:pStyle w:val="DocBody"/>
      </w:pPr>
      <w:r>
        <w:rPr>
          <w:rFonts w:ascii="Times New Roman" w:hAnsi="Times New Roman" w:eastAsia="宋体"/>
          <w:sz w:val="24"/>
        </w:rPr>
        <w:t>Year Cumulative number of catastrophic collisions 2025,No further launches 2025,Extrapolation Figure 11: Number of cumulative collisions in LEOIADC in the simulated scenarios of long-term evolution of the environment.</w:t>
      </w:r>
    </w:p>
    <w:p>
      <w:pPr>
        <w:pStyle w:val="DocBody"/>
      </w:pPr>
      <w:r>
        <w:rPr>
          <w:rFonts w:ascii="Times New Roman" w:hAnsi="Times New Roman" w:eastAsia="宋体"/>
          <w:sz w:val="24"/>
        </w:rPr>
        <w:t>Page 10/151</w:t>
      </w:r>
    </w:p>
    <w:p>
      <w:pPr>
        <w:pStyle w:val="DocBody"/>
      </w:pPr>
      <w:r>
        <w:rPr>
          <w:rFonts w:ascii="Times New Roman" w:hAnsi="Times New Roman" w:eastAsia="宋体"/>
          <w:sz w:val="24"/>
        </w:rPr>
        <w:t>ESA UNCLASSIFIED - Releasable to the Public To track the long-term sustainability of the space environment as a whole, in line with the UNCOPUOS Long- term Sustainability of Outer Space Activities, two elements are required: a metric and a baseline that characterises a sustainable environment. For space, this metric can be captured by a single risk index [5], which quantifies the contribution, or criticality, of each space object to long-term sustainability through their potential to generate debris and trigger subsequent collisions. This index can then be evaluated against a target environment, based on pre- constellation launch traffic and a high-level implementation of the IADC guidelines, representing the level of risk that was considered acceptable for long-term sustainability before the fundamental change in launch traffic associated with the New Space era. The evolution of the risk index for the space population in Low Earth Orbit, projected 200 years into the future, is shown in Fig. 12. Here, the status of the space environment can be compared to an orbital reference threshold, representing the index value of the first target towards a sustainable environment.</w:t>
      </w:r>
    </w:p>
    <w:p>
      <w:pPr>
        <w:pStyle w:val="DocBody"/>
      </w:pPr>
      <w:r>
        <w:rPr>
          <w:rFonts w:ascii="Times New Roman" w:hAnsi="Times New Roman" w:eastAsia="宋体"/>
          <w:sz w:val="24"/>
        </w:rPr>
        <w:t>In the business as usual extrapolation scenario, the level of risk associated with the environment is predicted to be 4 times higher than this acceptable first target threshold towards long-term sustainability.</w:t>
      </w:r>
    </w:p>
    <w:p>
      <w:pPr>
        <w:pStyle w:val="DocBody"/>
      </w:pPr>
      <w:r>
        <w:rPr>
          <w:rFonts w:ascii="Times New Roman" w:hAnsi="Times New Roman" w:eastAsia="宋体"/>
          <w:sz w:val="24"/>
        </w:rPr>
        <w:t>Starting year Final index/ reference index Extrapolation No further launches Orbital sustainability threshold Figure 12: Index value in different scenarios, normalised against the first target towards a sustainable environment based on observed launch traffic at 2014.</w:t>
      </w:r>
    </w:p>
    <w:p>
      <w:pPr>
        <w:pStyle w:val="DocBody"/>
      </w:pPr>
      <w:r>
        <w:rPr>
          <w:rFonts w:ascii="Times New Roman" w:hAnsi="Times New Roman" w:eastAsia="宋体"/>
          <w:sz w:val="24"/>
        </w:rPr>
        <w:t>Page 11/151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INTRODUCTION Ever since the start of the space age on the 4th of October 1957 there has been more space debris in orbit than operational satellites. Space debris poses a problem for the near Earth environment on a global scale, to which all spacefaring nations have contributed and for which only a globally supported solution can be the answer. The first awareness of the problem came about in the early 1960s, based on initial research activities undertaken in the United States of America, but it took some time to reach the international community. It eventually did by the mid 1970s via conferences organised by the International Astronautical Federation. The effect whereby the generation of space debris via collisions and explosions in orbit could lead to an exponential increase in the amount of artificial objects in space, in a chain reaction which would render spaceflight too hazardous to conduct, was first postulated by Donald Kessler in 1978 [6]. The first dedicated conference on space debris was held in 1982, organised by the National Aeronautics and Space Administration (NASA), followed by the first workshop on the re-entry of space debris in 1983, organised by the European Space Agency (ESA), in response to the re-entries of Skylab and Cosmos-1402.</w:t>
      </w:r>
    </w:p>
    <w:p>
      <w:pPr>
        <w:pStyle w:val="DocBody"/>
      </w:pPr>
      <w:r>
        <w:rPr>
          <w:rFonts w:ascii="Times New Roman" w:hAnsi="Times New Roman" w:eastAsia="宋体"/>
          <w:sz w:val="24"/>
        </w:rPr>
        <w:t>The technical expertise on space debris, from re-entries to on-orbit break-up and hypervelocity impact testing, was gathered on agency and national level for much of the 1970s and 1980s. However, the global dimension of the issue called for bilateral knowledge transfer, which started on the initiative of NASA. These exchanges between experts resulted in multi-lateral meetings and lead to the creation of the Inter-Agency Space Debris Coordination Committee (IADC) in 1993, founded by ESA (Europe), NASA (USA), NASDA (now JAXA, Japan), and RSA (now Roscosmos, Russian Federation). Nine more agencies have joined the IADC since: ASI (Italy), CNES (France), CNSA (China), CSA (Canada), DLR (Germany), KARI (South Korea), ISRO (India), NSAU (Ukraine), and UKSA (United Kingdom). The IADC was founded as a forum for technical exchange and coordination on space debris matters, and can today be regarded as the leading international technical body in the field of space debris. Space debris has also been a recurring agenda item for the Scientific &amp; Technical Subcommittee of the United Nations’</w:t>
      </w:r>
    </w:p>
    <w:p>
      <w:pPr>
        <w:pStyle w:val="DocBody"/>
      </w:pPr>
      <w:r>
        <w:rPr>
          <w:rFonts w:ascii="Times New Roman" w:hAnsi="Times New Roman" w:eastAsia="宋体"/>
          <w:sz w:val="24"/>
        </w:rPr>
        <w:t>Committee on the Peaceful Uses of Outer Space (UNCOPUOS) since 1994.</w:t>
      </w:r>
    </w:p>
    <w:p>
      <w:pPr>
        <w:pStyle w:val="DocBody"/>
      </w:pPr>
      <w:r>
        <w:rPr>
          <w:rFonts w:ascii="Times New Roman" w:hAnsi="Times New Roman" w:eastAsia="宋体"/>
          <w:sz w:val="24"/>
        </w:rPr>
        <w:t>The threat of space debris to the future of spaceflight combined with the nearly universal adoption of the Liability Convention [7] created the need for a set of internationally accepted space debris mitigation measures. A major step was taken in 2002, when the IADC published the IADC Space Debris Mitigation Guidelines [8] and presented them to the UNCOPUOS Scientific &amp; Technical Subcommittee. This document has since served as baseline for non-binding policy documents, national legislation, and as starting point for the derivation of technical standards.</w:t>
      </w:r>
    </w:p>
    <w:p>
      <w:pPr>
        <w:pStyle w:val="DocBody"/>
      </w:pPr>
      <w:r>
        <w:rPr>
          <w:rFonts w:ascii="Times New Roman" w:hAnsi="Times New Roman" w:eastAsia="宋体"/>
          <w:sz w:val="24"/>
        </w:rPr>
        <w:t>A consistent set of measures is paramount to tackle the global problem of space debris, but it is up to the individual nations, operators, and manufacturers to implement them, which can lead to variations on a case by case basis. As such, nations around the world have developed safety standards and specific guidelines building on the work of the IADC. However, standardisation of mitigation measures is important in order to achieve a common understanding of the required tasks leading to transparent and comparable processes. This is the task of normative international standardisation bodies such as the International Standards Organisation (ISO) [9].</w:t>
      </w:r>
    </w:p>
    <w:p>
      <w:pPr>
        <w:pStyle w:val="DocBody"/>
      </w:pPr>
      <w:r>
        <w:rPr>
          <w:rFonts w:ascii="Times New Roman" w:hAnsi="Times New Roman" w:eastAsia="宋体"/>
          <w:sz w:val="24"/>
        </w:rPr>
        <w:t>In order to address the issues posed by space debris on spaceflight activities UNCOPUOS has taken the initiative to create a set of internationally agreed guidelines for the long-term sustainability of outer space activities [1].</w:t>
      </w:r>
    </w:p>
    <w:p>
      <w:pPr>
        <w:pStyle w:val="DocBody"/>
      </w:pPr>
      <w:r>
        <w:rPr>
          <w:rFonts w:ascii="Times New Roman" w:hAnsi="Times New Roman" w:eastAsia="宋体"/>
          <w:sz w:val="24"/>
        </w:rPr>
        <w:t>These guidelines contain recommendations on the policy and regulatory frameworks for space activities, the safety of space operations, rules of engagement for international cooperation, capacity-building and awareness, and scientific and technical research and development.</w:t>
      </w:r>
    </w:p>
    <w:p>
      <w:pPr>
        <w:pStyle w:val="DocBody"/>
      </w:pPr>
      <w:r>
        <w:rPr>
          <w:rFonts w:ascii="Times New Roman" w:hAnsi="Times New Roman" w:eastAsia="宋体"/>
          <w:sz w:val="24"/>
        </w:rPr>
        <w:t>Page 12/151</w:t>
      </w:r>
    </w:p>
    <w:p>
      <w:pPr>
        <w:pStyle w:val="DocBody"/>
      </w:pPr>
      <w:r>
        <w:rPr>
          <w:rFonts w:ascii="Times New Roman" w:hAnsi="Times New Roman" w:eastAsia="宋体"/>
          <w:sz w:val="24"/>
        </w:rPr>
        <w:t>ESA UNCLASSIFIED - Releasable to the Public The content of this document is written in response to those guidelines by raising awareness of space activities, and aims to:</w:t>
      </w:r>
    </w:p>
    <w:p>
      <w:pPr>
        <w:pStyle w:val="DocBody"/>
      </w:pPr>
      <w:r>
        <w:rPr>
          <w:rFonts w:ascii="Times New Roman" w:hAnsi="Times New Roman" w:eastAsia="宋体"/>
          <w:sz w:val="24"/>
        </w:rPr>
        <w:t>• Provide a transparent overview of global space activities, • Estimate the impact of these activities on the space environment, • And quantify the effect of internationally endorsed mitigation measures aimed at sustainability of the envi- ronment.</w:t>
      </w:r>
    </w:p>
    <w:p>
      <w:pPr>
        <w:pStyle w:val="DocBody"/>
      </w:pPr>
      <w:r>
        <w:rPr>
          <w:rFonts w:ascii="Times New Roman" w:hAnsi="Times New Roman" w:eastAsia="宋体"/>
          <w:sz w:val="24"/>
        </w:rPr>
        <w:t>The document is structured as follows: Section 1 contains the definitions, data sources, and methodologies used to compile this document. Section 2 contains the history of the space environment since the beginning of the space age. Section 3 contains a snapshot of the space environment for a specific year analysed. The content of Sections 2 and 3 are further analysed in depth in Sections 4, 5, and 6 where respectively the intentional release of objects, fragmentation events, and end-of-life operations of space missions are covered. Section 7 summarises the space activities in Low Earth Orbit up until the year of analysis into an environment index. Furthermore, an executive summary containing the main space environment trends identified is added to the beginning of this report.</w:t>
      </w:r>
    </w:p>
    <w:p>
      <w:pPr>
        <w:pStyle w:val="DocBody"/>
      </w:pPr>
      <w:r>
        <w:rPr>
          <w:rFonts w:ascii="Times New Roman" w:hAnsi="Times New Roman" w:eastAsia="宋体"/>
          <w:sz w:val="24"/>
        </w:rPr>
        <w:t>1.1. Definitions This document aims to describe the space environment. This environment is understood to contain all artificial objects, including fragments and elements thereof, which currently, or previously did, reside in an Earth bound orbit.</w:t>
      </w:r>
    </w:p>
    <w:p>
      <w:pPr>
        <w:pStyle w:val="DocBody"/>
      </w:pPr>
      <w:r>
        <w:rPr>
          <w:rFonts w:ascii="Times New Roman" w:hAnsi="Times New Roman" w:eastAsia="宋体"/>
          <w:sz w:val="24"/>
        </w:rPr>
        <w:t>The space environment will be described since the beginning of the space age, understood to start with the launch of Sputnik 1 on the 4th of October 1957, unless explicitly stated otherwise.</w:t>
      </w:r>
    </w:p>
    <w:p>
      <w:pPr>
        <w:pStyle w:val="DocBody"/>
      </w:pPr>
      <w:r>
        <w:rPr>
          <w:rFonts w:ascii="Times New Roman" w:hAnsi="Times New Roman" w:eastAsia="宋体"/>
          <w:sz w:val="24"/>
        </w:rPr>
        <w:t>Space debris is defined as all artificial objects including fragments and elements thereof, in Earth orbit or re-entering the atmosphere, that are non-functional [8].</w:t>
      </w:r>
    </w:p>
    <w:p>
      <w:pPr>
        <w:pStyle w:val="DocBody"/>
      </w:pPr>
      <w:r>
        <w:rPr>
          <w:rFonts w:ascii="Times New Roman" w:hAnsi="Times New Roman" w:eastAsia="宋体"/>
          <w:sz w:val="24"/>
        </w:rPr>
        <w:t>Objects in the space environment can be categorised in two broad categories: The ones which can be traced back to a launch event and for which the nature can be identified, and the ones for which this is impossible. The later ones will be identified as Unidentified, whereas the former can be further categorised in:</w:t>
      </w:r>
    </w:p>
    <w:p>
      <w:pPr>
        <w:pStyle w:val="DocBody"/>
      </w:pPr>
      <w:r>
        <w:rPr>
          <w:rFonts w:ascii="Times New Roman" w:hAnsi="Times New Roman" w:eastAsia="宋体"/>
          <w:sz w:val="24"/>
        </w:rPr>
        <w:t>• Payloads, space object designed to perform a specific function in space excluding launch functionality. This includes operational satellites as well as calibration objects.</w:t>
      </w:r>
    </w:p>
    <w:p>
      <w:pPr>
        <w:pStyle w:val="DocBody"/>
      </w:pPr>
      <w:r>
        <w:rPr>
          <w:rFonts w:ascii="Times New Roman" w:hAnsi="Times New Roman" w:eastAsia="宋体"/>
          <w:sz w:val="24"/>
        </w:rPr>
        <w:t>• Payload mission related objects, space objects released as space debris which served a purpose for the functioning of a payload. Common examples include covers for optical instruments or astronaut tools.</w:t>
      </w:r>
    </w:p>
    <w:p>
      <w:pPr>
        <w:pStyle w:val="DocBody"/>
      </w:pPr>
      <w:r>
        <w:rPr>
          <w:rFonts w:ascii="Times New Roman" w:hAnsi="Times New Roman" w:eastAsia="宋体"/>
          <w:sz w:val="24"/>
        </w:rPr>
        <w:t>• Payload fragmentation debris, space objects fragmented or unintentionally released from a payload as space debris for which their genesis can be traced back to a unique event. This class includes objects created when a payload explodes or when it collides with another object.</w:t>
      </w:r>
    </w:p>
    <w:p>
      <w:pPr>
        <w:pStyle w:val="DocBody"/>
      </w:pPr>
      <w:r>
        <w:rPr>
          <w:rFonts w:ascii="Times New Roman" w:hAnsi="Times New Roman" w:eastAsia="宋体"/>
          <w:sz w:val="24"/>
        </w:rPr>
        <w:t>• Payload debris, space objects fragmented or unintentionally released from a payload as space debris for which the genesis is unclear but orbital or physical properties enable a correlation with a source.</w:t>
      </w:r>
    </w:p>
    <w:p>
      <w:pPr>
        <w:pStyle w:val="DocBody"/>
      </w:pPr>
      <w:r>
        <w:rPr>
          <w:rFonts w:ascii="Times New Roman" w:hAnsi="Times New Roman" w:eastAsia="宋体"/>
          <w:sz w:val="24"/>
        </w:rPr>
        <w:t>• Rocket body, space object designed to perform launch related functionality; This includes the various orbital stages of launch vehicles, but not payloads which release smaller payloads themselves.</w:t>
      </w:r>
    </w:p>
    <w:p>
      <w:pPr>
        <w:pStyle w:val="DocBody"/>
      </w:pPr>
      <w:r>
        <w:rPr>
          <w:rFonts w:ascii="Times New Roman" w:hAnsi="Times New Roman" w:eastAsia="宋体"/>
          <w:sz w:val="24"/>
        </w:rPr>
        <w:t>• Rocket mission related objects, space objects intentionally released as space debris which served a purpose for the function of a rocket body. Common examples include shrouds and engines.</w:t>
      </w:r>
    </w:p>
    <w:p>
      <w:pPr>
        <w:pStyle w:val="DocBody"/>
      </w:pPr>
      <w:r>
        <w:rPr>
          <w:rFonts w:ascii="Times New Roman" w:hAnsi="Times New Roman" w:eastAsia="宋体"/>
          <w:sz w:val="24"/>
        </w:rPr>
        <w:t>• Rocket fragmentation debris, space objects fragmented or unintentionally released from a rocket body as Page 13/151</w:t>
      </w:r>
    </w:p>
    <w:p>
      <w:pPr>
        <w:pStyle w:val="DocBody"/>
      </w:pPr>
      <w:r>
        <w:rPr>
          <w:rFonts w:ascii="Times New Roman" w:hAnsi="Times New Roman" w:eastAsia="宋体"/>
          <w:sz w:val="24"/>
        </w:rPr>
        <w:t>ESA UNCLASSIFIED - Releasable to the Public space debris for which their genesis can be traced back to a unique event. This class includes objects created when a launch vehicle explodes.</w:t>
      </w:r>
    </w:p>
    <w:p>
      <w:pPr>
        <w:pStyle w:val="DocBody"/>
      </w:pPr>
      <w:r>
        <w:rPr>
          <w:rFonts w:ascii="Times New Roman" w:hAnsi="Times New Roman" w:eastAsia="宋体"/>
          <w:sz w:val="24"/>
        </w:rPr>
        <w:t>• Rocket debris, space objects fragmented or unintentionally released from a rocket body as space debris for which the genesis is unclear but orbital or physical properties enable a correlation with a source.</w:t>
      </w:r>
    </w:p>
    <w:p>
      <w:pPr>
        <w:pStyle w:val="DocBody"/>
      </w:pPr>
      <w:r>
        <w:rPr>
          <w:rFonts w:ascii="Times New Roman" w:hAnsi="Times New Roman" w:eastAsia="宋体"/>
          <w:sz w:val="24"/>
        </w:rPr>
        <w:t>A fragmentation is thus loosely defined as an event on-orbit that creates space debris without purpose, including but not limited to collisions, explosive break-ups, and tear and wear. With this definition of a fragmentation event in mind, the distinction between mission related objects and fragmentations debris is clear. Objects that are classified as general payloads or rocket debris can be reclassified when more information becomes available. An overview of this object type classification and the abbreviations used in the rest of the document is given in Table 1.1.</w:t>
      </w:r>
    </w:p>
    <w:p>
      <w:pPr>
        <w:pStyle w:val="DocBody"/>
      </w:pPr>
      <w:r>
        <w:rPr>
          <w:rFonts w:ascii="Times New Roman" w:hAnsi="Times New Roman" w:eastAsia="宋体"/>
          <w:sz w:val="24"/>
        </w:rPr>
        <w:t>The taxonomy of objects in the space environment can be done based on type as defined previously, but also via the orbital regime in which they reside. A catalogued object will refer to an object whose orbital elements are maintained for prolonged periods of time in a catalogue created by a space surveillance system. An asserted object will refer to an object which has not been reported by a space surveillance system but is known to exist in the space environment by design. Asserted objects include, for example, rocket bodies that perform a re-entry burn after inserting a payload into orbit prior to repeated detections by a space surveillance system. As such, catalogued and asserted objects are not mutually exclusive and neither one is strictly contained within the other.</w:t>
      </w:r>
    </w:p>
    <w:p>
      <w:pPr>
        <w:pStyle w:val="DocBody"/>
      </w:pPr>
      <w:r>
        <w:rPr>
          <w:rFonts w:ascii="Times New Roman" w:hAnsi="Times New Roman" w:eastAsia="宋体"/>
          <w:sz w:val="24"/>
        </w:rPr>
        <w:t>Further objects exists in the space environment that are not catalogued for prolonged periods of time, for example as unpredictable orbit motion prohibits the correlation of observations, and can neither be asserted from a design point of view. These objects are beyond the scope of this report.</w:t>
      </w:r>
    </w:p>
    <w:p>
      <w:pPr>
        <w:pStyle w:val="DocBody"/>
      </w:pPr>
      <w:r>
        <w:rPr>
          <w:rFonts w:ascii="Times New Roman" w:hAnsi="Times New Roman" w:eastAsia="宋体"/>
          <w:sz w:val="24"/>
        </w:rPr>
        <w:t>Catalogued and asserted objects can be categorised in terms of their orbital elements for a given epoch. Orbital regimes in this report will be identified based on semi-major axis, eccentricity, inclination, perigee height and apogee height. The orbital regimes that shall be used are defined in Table 1.2. Two regions are often identified as so-called protected regions by international standards, guidelines, and national legislation; they are specifically defined in Table 1.3 and will be referred to as such. It is important to note that all these definitions are inherent to this document and can change between issues. In addition to the orbital regions defined in Table 1.2, the report also refers to Sun-Synchronous orbits, i.e. orbits for which the secular variation of the right ascension of the ascending node, due the Earth’s oblateness, matches the Earth’s rotation rate around the Sun. As a result, the orbital plane remains approximately fixed with respect to the Sun and a satellite in those orbits passes over a point on the Earth with the same local solar time and this makes Sun-Synchronous orbits particularly used for Earth Observation missions. This report will also make use of Destination Orbits for Payloads and Rocket Bodies. This single orbit per object is defined by an analyst to be representative for orbits used during its normal operations.</w:t>
      </w:r>
    </w:p>
    <w:p>
      <w:pPr>
        <w:pStyle w:val="DocBody"/>
      </w:pPr>
      <w:r>
        <w:rPr>
          <w:rFonts w:ascii="Times New Roman" w:hAnsi="Times New Roman" w:eastAsia="宋体"/>
          <w:sz w:val="24"/>
        </w:rPr>
        <w:t>Table 1.1: Object Classifications.</w:t>
      </w:r>
    </w:p>
    <w:p>
      <w:pPr>
        <w:pStyle w:val="DocBody"/>
      </w:pPr>
      <w:r>
        <w:rPr>
          <w:rFonts w:ascii="Times New Roman" w:hAnsi="Times New Roman" w:eastAsia="宋体"/>
          <w:sz w:val="24"/>
        </w:rPr>
        <w:t>Type Description PL Payload PF Payload Fragmentation Debris PD Payload Debris PM Payload Mission Related Object RB Rocket Body RF Rocket Fragmentation Debris RD Rocket Debris RM Rocket Mission Related Object UI Unidentified Page 14/151</w:t>
      </w:r>
    </w:p>
    <w:p>
      <w:pPr>
        <w:pStyle w:val="DocBody"/>
      </w:pPr>
      <w:r>
        <w:rPr>
          <w:rFonts w:ascii="Times New Roman" w:hAnsi="Times New Roman" w:eastAsia="宋体"/>
          <w:sz w:val="24"/>
        </w:rPr>
        <w:t>ESA UNCLASSIFIED - Releasable to the Public Table 1.2: Ranges defining each orbital class, with semi-major axis a, eccentricity e, inclination i, perigee height hp and apogee height ha. The units are km and degrees.</w:t>
      </w:r>
    </w:p>
    <w:p>
      <w:pPr>
        <w:pStyle w:val="DocBody"/>
      </w:pPr>
      <w:r>
        <w:rPr>
          <w:rFonts w:ascii="Times New Roman" w:hAnsi="Times New Roman" w:eastAsia="宋体"/>
          <w:sz w:val="24"/>
        </w:rPr>
        <w:t>Orbit Description Definition GEO Geostationary Orbit i ∈[0, 25] hp ∈[35586, 35986] ha ∈[35586, 35986] IGO Inclined Geosynchronous Orbit a ∈[37948, 46380] e ∈[0.00, 0.25] i ∈[25, 180] EGO Extended Geostationary Orbit a ∈[37948, 46380] e ∈[0.00, 0.25] i ∈[0, 25] NSO Navigation Satellites Orbit i ∈[50, 70] hp ∈[18100, 24300] ha ∈[18100, 24300] GTO GEO Transfer Orbit i ∈[0, 90] hp ∈[0, 2000] ha ∈[31570, 40002] MEO Medium Earth Orbit hp ∈[2000, 31570] ha ∈[2000, 31570] GHO GEO-superGEO Crossing Orbits hp ∈[31570, 40002] ha &gt; 40002 LEO Low Earth Orbit hp ∈[0, 2000] ha ∈[0, 2000] HAO High Altitude Earth Orbit hp &gt; 40002 ha &gt; 40002 MGO MEO-GEO Crossing Orbits hp ∈[2000, 31570] ha ∈[31570, 40002] HEO Highly Eccentric Earth Orbit hp ∈[0, 31570] ha &gt; 40002 LMO LEO-MEO Crossing Orbits hp ∈[0, 2000] ha ∈[2000, 31570] UFO Undefined Orbit ESO Escape Orbits Table 1.3: Ranges defining each protected region, with altitude h and declination δ. The units are km and degrees.</w:t>
      </w:r>
    </w:p>
    <w:p>
      <w:pPr>
        <w:pStyle w:val="DocBody"/>
      </w:pPr>
      <w:r>
        <w:rPr>
          <w:rFonts w:ascii="Times New Roman" w:hAnsi="Times New Roman" w:eastAsia="宋体"/>
          <w:sz w:val="24"/>
        </w:rPr>
        <w:t>Orbit Description Definition LEOIADC IADC LEO Protected Region h ∈[0, 2000] GEOIADC IADC GEO Protected Region h ∈[35586, 35986] δ ∈[−15, 15] At various moments during the space age, payloads based on a limited amount of platforms have been deployed on-orbit with the intent to create a single larger system by operating in a coordinated manner. Well known examples include space segments of satellite navigation systems or systems dedicated to global data information coverage.</w:t>
      </w:r>
    </w:p>
    <w:p>
      <w:pPr>
        <w:pStyle w:val="DocBody"/>
      </w:pPr>
      <w:r>
        <w:rPr>
          <w:rFonts w:ascii="Times New Roman" w:hAnsi="Times New Roman" w:eastAsia="宋体"/>
          <w:sz w:val="24"/>
        </w:rPr>
        <w:t>Colloquially, such systems of payloads are known as constellations. For the purpose of this report, a constellation is understood as a set of at least 20 individual Payloads objects, released into orbits over more than 2 events and covering more than 1 year in time from first to last event, sharing the same objective as a combined system, and with the orbits in which they are deployed directly related to the systems’ objective. A constellation is considered active, i.e. functional, as long as at least one of its constituting Payloads is functional. For the current analysis, constellations are identified only in LEOIADC and MEO, resulting in a total of 26 constellations.</w:t>
      </w:r>
    </w:p>
    <w:p>
      <w:pPr>
        <w:pStyle w:val="DocBody"/>
      </w:pPr>
      <w:r>
        <w:rPr>
          <w:rFonts w:ascii="Times New Roman" w:hAnsi="Times New Roman" w:eastAsia="宋体"/>
          <w:sz w:val="24"/>
        </w:rPr>
        <w:t>1.2. Data sources Orbital information for catalogued objects is obtained from the USSTRATCOM Two-Line Elements data set, the Vimpel data set maintained by the JSC Vimpel Interstate Corporation and Keldysh Institute of Applied Mathematics (KIAM), and the Royal Aircraft Establishment (RAE) Tables of artificial satellites. Orbital information on asserted objects, as well as the justification for their assertion, is taken from the DISCOS Database (Database and Infor- mation System Characterising Objects in Space) [10]. Orbital information on catalogued and asserted objects are correlated among the various sources to avoid duplication. While DISCOS additionally includes suborbital objects, this report is limited to orbital objects.</w:t>
      </w:r>
    </w:p>
    <w:p>
      <w:pPr>
        <w:pStyle w:val="DocBody"/>
      </w:pPr>
      <w:r>
        <w:rPr>
          <w:rFonts w:ascii="Times New Roman" w:hAnsi="Times New Roman" w:eastAsia="宋体"/>
          <w:sz w:val="24"/>
        </w:rPr>
        <w:t>Physical properties for the objects, and the mission classification for Payloads, used in this report are taken from Page 15/151</w:t>
      </w:r>
    </w:p>
    <w:p>
      <w:pPr>
        <w:pStyle w:val="DocBody"/>
      </w:pPr>
      <w:r>
        <w:rPr>
          <w:rFonts w:ascii="Times New Roman" w:hAnsi="Times New Roman" w:eastAsia="宋体"/>
          <w:sz w:val="24"/>
        </w:rPr>
        <w:t>ESA UNCLASSIFIED - Releasable to the Public DISCOS. Shape properties such as area are derived from design values and not estimated from space surveillance systems, which implies that the debris and unidentified object types have no mass nor area indicated as part of this report. From the area and mass values so defined, the object area-to-mass ratio (A/m) is computed and it is used in the characterisation of Payloads (Section 2.7) and, more in general, for the propagation of the object trajectories for compliance analysis (Section 6) and in the simulation of the long-term evolution of the environment (Section 7.2). For orbital lifetime assessments, data derived from space surveillance systems can be used for these objects for the determination of the Ballistic Coefficient (BC), as explained in Section 6. Further information on the individual objects which is not directly physical in nature, e.g. ownership, is deliberately not reported on in this document.</w:t>
      </w:r>
    </w:p>
    <w:p>
      <w:pPr>
        <w:pStyle w:val="DocBody"/>
      </w:pPr>
      <w:r>
        <w:rPr>
          <w:rFonts w:ascii="Times New Roman" w:hAnsi="Times New Roman" w:eastAsia="宋体"/>
          <w:sz w:val="24"/>
        </w:rPr>
        <w:t>The classification of whether a Payload is considered active is based on the data available at [11], which is used for data from 2019 onwards, and from the Union of Concerned Scientists (UCS) database [12], for earlier data since 2005. This classification by activity level is not used for the end-of-life analyses, where the activity of an object is instead estimated from space surveillance data.</w:t>
      </w:r>
    </w:p>
    <w:p>
      <w:pPr>
        <w:pStyle w:val="DocBody"/>
      </w:pPr>
      <w:r>
        <w:rPr>
          <w:rFonts w:ascii="Times New Roman" w:hAnsi="Times New Roman" w:eastAsia="宋体"/>
          <w:sz w:val="24"/>
        </w:rPr>
        <w:t>1.3. Methodology The first aim of this report is to describe the space environment based on observable facts. This takes the form of analysing trends in the various physical characteristics of the objects within the space environment, both covering the history since the beginning of the space age as well as a single year of analysis. The report focusses on the amount of mass, area, and object count passing through the different orbital regimes, with specific emphasis on the protected regions. Furthermore, the usage of the protected regions by payloads is documented.</w:t>
      </w:r>
    </w:p>
    <w:p>
      <w:pPr>
        <w:pStyle w:val="DocBody"/>
      </w:pPr>
      <w:r>
        <w:rPr>
          <w:rFonts w:ascii="Times New Roman" w:hAnsi="Times New Roman" w:eastAsia="宋体"/>
          <w:sz w:val="24"/>
        </w:rPr>
        <w:t>Secondly, metrics are identified that serve as proxies for the global adherence to space debris mitigation guidelines, which have been put in place to protect the space environment from adverse effects such as the Kessler syndrome.</w:t>
      </w:r>
    </w:p>
    <w:p>
      <w:pPr>
        <w:pStyle w:val="DocBody"/>
      </w:pPr>
      <w:r>
        <w:rPr>
          <w:rFonts w:ascii="Times New Roman" w:hAnsi="Times New Roman" w:eastAsia="宋体"/>
          <w:sz w:val="24"/>
        </w:rPr>
        <w:t>The evolution of these metrics is described. Most internationally accepted space debris mitigation measures can be traced back to the following objectives:</w:t>
      </w:r>
    </w:p>
    <w:p>
      <w:pPr>
        <w:pStyle w:val="DocBody"/>
      </w:pPr>
      <w:r>
        <w:rPr>
          <w:rFonts w:ascii="Times New Roman" w:hAnsi="Times New Roman" w:eastAsia="宋体"/>
          <w:sz w:val="24"/>
        </w:rPr>
        <w:t>• The limitation of space debris released during normal operations; i.e. in all operational orbit regimes, pay- loads and rocket bodies should be designed not to release space debris during normal operations. Where this is not feasible, any release of debris should be minimised in number, area and orbital lifetime.</w:t>
      </w:r>
    </w:p>
    <w:p>
      <w:pPr>
        <w:pStyle w:val="DocBody"/>
      </w:pPr>
      <w:r>
        <w:rPr>
          <w:rFonts w:ascii="Times New Roman" w:hAnsi="Times New Roman" w:eastAsia="宋体"/>
          <w:sz w:val="24"/>
        </w:rPr>
        <w:t>• The minimisation of the potential for on-orbit break-ups; i.e. in all operational regimes one should minimise the potential for break-ups during operational phases, e.g. by thorough analysis of the failure trees, increase (sub)system reliability, etc., minimise the potential for post-mission break-ups resulting from stored energy, e.g. stored in tanks, batteries, flywheels, etc., and the avoidance of intentional destruction and other harmful activities, e.g. intentional break-ups should avoided at all cost but if need be they should be conducted at sufficiently low altitudes so that orbital fragments are short-lived.</w:t>
      </w:r>
    </w:p>
    <w:p>
      <w:pPr>
        <w:pStyle w:val="DocBody"/>
      </w:pPr>
      <w:r>
        <w:rPr>
          <w:rFonts w:ascii="Times New Roman" w:hAnsi="Times New Roman" w:eastAsia="宋体"/>
          <w:sz w:val="24"/>
        </w:rPr>
        <w:t>• Post mission disposal; i.e.</w:t>
      </w:r>
    </w:p>
    <w:p>
      <w:pPr>
        <w:pStyle w:val="DocBody"/>
      </w:pPr>
      <w:r>
        <w:rPr>
          <w:rFonts w:ascii="Times New Roman" w:hAnsi="Times New Roman" w:eastAsia="宋体"/>
          <w:sz w:val="24"/>
        </w:rPr>
        <w:t>two protected regimes, Low Earth Orbit (LEOIADC) and Geostationary Orbit (GEOIADC), have been identified and should be cleared from permanent or (quasi-) periodic presence of non-functional artificial objects. Payloads or rocket bodies that are terminating their operational phases in other orbital regions should be manoeuvred to reduce their orbital lifetime, commensurate with LEO lifetime limitations, or relocated if they cause interference with highly utilised orbit regions.</w:t>
      </w:r>
    </w:p>
    <w:p>
      <w:pPr>
        <w:pStyle w:val="DocBody"/>
      </w:pPr>
      <w:r>
        <w:rPr>
          <w:rFonts w:ascii="Times New Roman" w:hAnsi="Times New Roman" w:eastAsia="宋体"/>
          <w:sz w:val="24"/>
        </w:rPr>
        <w:t>• Prevention of on-orbit collisions; i.e. in developing the design and mission profile of a space object, a project should estimate and limit the probability of accidental collision with known objects during the payload or rocket body’s orbital lifetime. If reliable orbital data is available, avoidance manoeuvres and co-ordination of launch windows may be considered if the collision risk is not considered negligible.</w:t>
      </w:r>
    </w:p>
    <w:p>
      <w:pPr>
        <w:pStyle w:val="DocBody"/>
      </w:pPr>
      <w:r>
        <w:rPr>
          <w:rFonts w:ascii="Times New Roman" w:hAnsi="Times New Roman" w:eastAsia="宋体"/>
          <w:sz w:val="24"/>
        </w:rPr>
        <w:t>Even though the goals of the mitigation measures as identified above are intuitively clear, their technical imple- Page 16/151</w:t>
      </w:r>
    </w:p>
    <w:p>
      <w:pPr>
        <w:pStyle w:val="DocBody"/>
      </w:pPr>
      <w:r>
        <w:rPr>
          <w:rFonts w:ascii="Times New Roman" w:hAnsi="Times New Roman" w:eastAsia="宋体"/>
          <w:sz w:val="24"/>
        </w:rPr>
        <w:t>ESA UNCLASSIFIED - Releasable to the Public mentation is less straightforward. The proposed metrics to observe adherence to these objectives are described in the corresponding sections and follow as close as possible [9]. In case of orbital lifetime predictions, the corre- sponding international standard is followed [13]. Details on the data gathered or methods used corresponding to results presented in the individual sections of in this report are covered in those sections.</w:t>
      </w:r>
    </w:p>
    <w:p>
      <w:pPr>
        <w:pStyle w:val="DocBody"/>
      </w:pPr>
      <w:r>
        <w:rPr>
          <w:rFonts w:ascii="Times New Roman" w:hAnsi="Times New Roman" w:eastAsia="宋体"/>
          <w:sz w:val="24"/>
        </w:rPr>
        <w:t>Not all aspects of space debris mitigation can, currently, be reliably derived from observational data. For example a collision avoidance manoeuvre can look similar to an orbit control manoeuvre to maintain a specific ground-track.</w:t>
      </w:r>
    </w:p>
    <w:p>
      <w:pPr>
        <w:pStyle w:val="DocBody"/>
      </w:pPr>
      <w:r>
        <w:rPr>
          <w:rFonts w:ascii="Times New Roman" w:hAnsi="Times New Roman" w:eastAsia="宋体"/>
          <w:sz w:val="24"/>
        </w:rPr>
        <w:t>In the same way, the observed behaviour due to passivation of fluids at the end of life of a mission does not need to be different from the effects of an orbit control manoeuvre. The philosophy behind this document is to accept these limitations and not to risk over-interpreting the available data.</w:t>
      </w:r>
    </w:p>
    <w:p>
      <w:pPr>
        <w:pStyle w:val="DocBody"/>
      </w:pPr>
      <w:r>
        <w:rPr>
          <w:rFonts w:ascii="Times New Roman" w:hAnsi="Times New Roman" w:eastAsia="宋体"/>
          <w:sz w:val="24"/>
        </w:rPr>
        <w:t>Thirdly, metrics are identified to estimate the impact of global space activities on the space environment. His- torically, such metrics have often been formulated in terms of the outcomes of long-term, i.e. centuries, space environment evolution models that serve to extrapolate a set of space traffic condition into the future and derive the expected amount of space debris and collision events. As of recent, also the establishment of dedicated risk metrics for the purpose of impact assessments has become more commonplace. Both metrics are included in this report.</w:t>
      </w:r>
    </w:p>
    <w:p>
      <w:pPr>
        <w:pStyle w:val="DocBody"/>
      </w:pPr>
      <w:r>
        <w:rPr>
          <w:rFonts w:ascii="Times New Roman" w:hAnsi="Times New Roman" w:eastAsia="宋体"/>
          <w:sz w:val="24"/>
        </w:rPr>
        <w:t>1.4. Notable changes 1.4.1. Edition 4 Significant changes have taken place when it comes to the usage of the space environment since the first issue of this report in 2016. As can be observed in Section 2, there has been a significant increase in the ability of space surveillance networks to reliably catalogue objects in orbits near the Geostationary Orbit, and launch traffic to Low Earth Orbit increased to previously unseen levels. With the improvements in capabilities of observation systems and the rapid miniaturisation and innovation for space system designs, it is likely that those developments will continue in the future.</w:t>
      </w:r>
    </w:p>
    <w:p>
      <w:pPr>
        <w:pStyle w:val="DocBody"/>
      </w:pPr>
      <w:r>
        <w:rPr>
          <w:rFonts w:ascii="Times New Roman" w:hAnsi="Times New Roman" w:eastAsia="宋体"/>
          <w:sz w:val="24"/>
        </w:rPr>
        <w:t>As a consequence, also international documents dealing with space debris mitigation have been updated in 2019, with most notably the ISO space debris mitigation requirements [9] and the IADC space debris mitigation guidelines [14]. This is also reflected in the content of this report by means of some noticeable changes. Prior to edition 4, attempts to relocate Payloads above Low Earth Orbit were seen as a positive space debris mitigation effort, even though this was not endorsed by the IADC space debris mitigation guidelines. This is no longer the case. Further- more, given the uncertainties associated with orbital lifetime predictions, the thresholds used to categorise Payload or Rocket Body as (non-)compliant w.r.t. space debris mitigation guidelines are now addressed stochastically for those cases near the threshold.</w:t>
      </w:r>
    </w:p>
    <w:p>
      <w:pPr>
        <w:pStyle w:val="DocBody"/>
      </w:pPr>
      <w:r>
        <w:rPr>
          <w:rFonts w:ascii="Times New Roman" w:hAnsi="Times New Roman" w:eastAsia="宋体"/>
          <w:sz w:val="24"/>
        </w:rPr>
        <w:t>A major event visible in this edition of the report is the de-orbiting of a telecommunication constellation in Low Earth Orbit which started in 2018. Just as the insertion of this constellation is visible in the launch traffic increase, it now stands out as an increase in successful post mission de-orbiting when it comes to compliance to the guidelines.</w:t>
      </w:r>
    </w:p>
    <w:p>
      <w:pPr>
        <w:pStyle w:val="DocBody"/>
      </w:pPr>
      <w:r>
        <w:rPr>
          <w:rFonts w:ascii="Times New Roman" w:hAnsi="Times New Roman" w:eastAsia="宋体"/>
          <w:sz w:val="24"/>
        </w:rPr>
        <w:t>Furthermore, with the coming into operations of a newer generation of launchers, the release of mission related objects as part of their operations is going down. However, releasing large mission related objects altogether is unfortunately not a relic of the past (yet).</w:t>
      </w:r>
    </w:p>
    <w:p>
      <w:pPr>
        <w:pStyle w:val="DocBody"/>
      </w:pPr>
      <w:r>
        <w:rPr>
          <w:rFonts w:ascii="Times New Roman" w:hAnsi="Times New Roman" w:eastAsia="宋体"/>
          <w:sz w:val="24"/>
        </w:rPr>
        <w:t>1.4.2. Edition 5 Starting with edition 5 of this report, an increased emphasis is put on the consequence of the global level of adher- ence to space debris mitigation guidelines. To capture these consequences in relation to the dynamic evolution of the actors in orbit and measures to achieve space debris mitigation, it became necessary to estimate automatically Page 17/151</w:t>
      </w:r>
    </w:p>
    <w:p>
      <w:pPr>
        <w:pStyle w:val="DocBody"/>
      </w:pPr>
      <w:r>
        <w:rPr>
          <w:rFonts w:ascii="Times New Roman" w:hAnsi="Times New Roman" w:eastAsia="宋体"/>
          <w:sz w:val="24"/>
        </w:rPr>
        <w:t>ESA UNCLASSIFIED - Releasable to the Public the average properties of objects and the orbital usage alike. Based on these properties, short-term consequences such as the risk of collision faced by operators in the LEO protected region as well as the long term risk of triggering the Kessler syndrome in the LEO protected region can be estimated.</w:t>
      </w:r>
    </w:p>
    <w:p>
      <w:pPr>
        <w:pStyle w:val="DocBody"/>
      </w:pPr>
      <w:r>
        <w:rPr>
          <w:rFonts w:ascii="Times New Roman" w:hAnsi="Times New Roman" w:eastAsia="宋体"/>
          <w:sz w:val="24"/>
        </w:rPr>
        <w:t>Notable events visible in this edition of the report are the completion of the de-orbiting of a telecommunication constellation from Low Earth orbit in 2019 and the start of on-orbit deployment of two new ones during 2020. To a certain extent, 2020 marks the beginning of a new era in spaceflight with the maturation of large and medium-sized constellations being deployed on orbit and the availability on ground of the derived service, the increased use of so-called ride-share missions, and the continuation of miniaturisation of space system. This is in contrast with the period between the mid 1990’ies and ending mid 2010’s, which saw the slow but steady roll-out and demonstration of the new technologies that are becoming commonplace today.</w:t>
      </w:r>
    </w:p>
    <w:p>
      <w:pPr>
        <w:pStyle w:val="DocBody"/>
      </w:pPr>
      <w:r>
        <w:rPr>
          <w:rFonts w:ascii="Times New Roman" w:hAnsi="Times New Roman" w:eastAsia="宋体"/>
          <w:sz w:val="24"/>
        </w:rPr>
        <w:t>The start of solar cycle 25 marks a change for the regularly updated orbital lifetimes used in this report. The change in cycle behaviour has an impact on the estimated compliance rates as show in Fig. 6.34. In the uncertainty analysis, the values for the last year are affected by the low number of cases for Rocket Bodies due to the increased usage for controlled re-entry as disposal strategy. This is not an issue, as Payload data is accounted for with one year delay, and the uncertainties have generally a limited impact in this case.</w:t>
      </w:r>
    </w:p>
    <w:p>
      <w:pPr>
        <w:pStyle w:val="DocBody"/>
      </w:pPr>
      <w:r>
        <w:rPr>
          <w:rFonts w:ascii="Times New Roman" w:hAnsi="Times New Roman" w:eastAsia="宋体"/>
          <w:sz w:val="24"/>
        </w:rPr>
        <w:t>1.4.3. Edition 6 The space environment continued to change rapidly in 2021 with the accelerated deployment of large constellations in LEOIADC, increasing demand for the deployment of small Payloads, but reduction of launch traffic to GEOIADC.</w:t>
      </w:r>
    </w:p>
    <w:p>
      <w:pPr>
        <w:pStyle w:val="DocBody"/>
      </w:pPr>
      <w:r>
        <w:rPr>
          <w:rFonts w:ascii="Times New Roman" w:hAnsi="Times New Roman" w:eastAsia="宋体"/>
          <w:sz w:val="24"/>
        </w:rPr>
        <w:t>For the first time, launching more than one payload per launch has become the most common way of getting into orbit. To put this into perspective, the analyses introduced in Edition 5 of this report were extended to cover different epochs from the recent space age, i.e. addressing how collision avoidance risk has evolved (Fig. 3.12) and what would be the outcome of extrapolating various long-term evolution scenarios (Fig. 7.5-7.6). The combination of changing launch traffic patterns in general, and the dichotomy between constellation-related objects and other intact objects specifically, has a noticeable impact on both short and long-term risk indicators.</w:t>
      </w:r>
    </w:p>
    <w:p>
      <w:pPr>
        <w:pStyle w:val="DocBody"/>
      </w:pPr>
      <w:r>
        <w:rPr>
          <w:rFonts w:ascii="Times New Roman" w:hAnsi="Times New Roman" w:eastAsia="宋体"/>
          <w:sz w:val="24"/>
        </w:rPr>
        <w:t>With the increased awareness of space sustainability in the community at large, a new emphasis is placed on space debris mitigation aspects that were previously less noticeable or are gaining in prominence. As such, new analyses have been added to this version of the report to highlight the risks posed by Rocket Bodies crossing the GEOIADC Protected Region (Fig. 6.38), show the variability in disposal orbit strategies in the MEO region (Fig. 6.39), and focus on the space surveillance issues associated with the release of large amounts of Payloads by various services (Fig. 2.21). In addition, a review of the United Nation Register of Objects Launched into Outer Space is added to show the diversification of space actors (Section 2.12).</w:t>
      </w:r>
    </w:p>
    <w:p>
      <w:pPr>
        <w:pStyle w:val="DocBody"/>
      </w:pPr>
      <w:r>
        <w:rPr>
          <w:rFonts w:ascii="Times New Roman" w:hAnsi="Times New Roman" w:eastAsia="宋体"/>
          <w:sz w:val="24"/>
        </w:rPr>
        <w:t>1.4.4. Edition 7 The accelerated use of space over the last years continued unabated in 2022, leading to launch and re-entry traffic rates to see new records and challenges in keeping accurate track of the state of the environment. The metrics presented in this report were further refined to give an overview of the impacts on space debris mitigation aspects, and to prepare for the trend in calling for stricter guidelines. Notably, forecasting methodologies have been updated and a greater emphasis on understanding the space debris environment at smaller length scales has been introduced. Furthermore, it is worth mentioning that the observed spike in 2022 concerning re-entering space debris is due to the Kosmos 1408 anti-satellite missile test.</w:t>
      </w:r>
    </w:p>
    <w:p>
      <w:pPr>
        <w:pStyle w:val="DocBody"/>
      </w:pPr>
      <w:r>
        <w:rPr>
          <w:rFonts w:ascii="Times New Roman" w:hAnsi="Times New Roman" w:eastAsia="宋体"/>
          <w:sz w:val="24"/>
        </w:rPr>
        <w:t>Page 18/151</w:t>
      </w:r>
    </w:p>
    <w:p>
      <w:pPr>
        <w:pStyle w:val="DocBody"/>
      </w:pPr>
      <w:r>
        <w:rPr>
          <w:rFonts w:ascii="Times New Roman" w:hAnsi="Times New Roman" w:eastAsia="宋体"/>
          <w:sz w:val="24"/>
        </w:rPr>
        <w:t>ESA UNCLASSIFIED - Releasable to the Public 1.4.5. Edition 8 In 2023, the space environment continued to experience substantial growth, with launch traffic once again reaching record levels. In LEOIADC, large constellations, which have outpaced other payloads not only in number but also mass and area, now drive many of the global statistics. While this is leading to increased congestion and challenges for space traffic coordination in certain orbits, it is also accompanied by an increased usage of controlled re-entry as a disposal strategy for rocket bodies and new levels of compliance with space debris mitigation guidelines.</w:t>
      </w:r>
    </w:p>
    <w:p>
      <w:pPr>
        <w:pStyle w:val="DocBody"/>
      </w:pPr>
      <w:r>
        <w:rPr>
          <w:rFonts w:ascii="Times New Roman" w:hAnsi="Times New Roman" w:eastAsia="宋体"/>
          <w:sz w:val="24"/>
        </w:rPr>
        <w:t>In this edition of the report, methodologies for modelling the future evolution of the space environment have been further refined, specifically for forecasting the growing contribution from constellations, leading to new and updated results for the analysed years 2022 and 2023. It should be noted that current levels of compliance still result in an unsustainable environment in the long-term. Consequently, there is a growing trend advocating for stricter guidelines, with new measures introduced in 2023 as a part of ESA’s Zero Debris Policy and updated Space Debris Mitigation Standard [3]. These developments imply that notable changes may be anticipated in the next edition of this report in terms of methodologies and assessed thresholds, reflecting ongoing efforts to address the challenges of space sustainability.</w:t>
      </w:r>
    </w:p>
    <w:p>
      <w:pPr>
        <w:pStyle w:val="DocBody"/>
      </w:pPr>
      <w:r>
        <w:rPr>
          <w:rFonts w:ascii="Times New Roman" w:hAnsi="Times New Roman" w:eastAsia="宋体"/>
          <w:sz w:val="24"/>
        </w:rPr>
        <w:t>1.4.6. Edition 9 While the exponential growth in the number of new payloads slowed in 2024, the number of launches continued to rise, setting new records for both the mass and size of objects sent into Low Earth Orbit. With new launches targeting lower altitudes, high levels of solar activity, and an increasing (but insufficient) rate of willingness to limit orbital lifetime, this trend is reflected in re-entries, with new records also in the mass and size of re-entering objects.</w:t>
      </w:r>
    </w:p>
    <w:p>
      <w:pPr>
        <w:pStyle w:val="DocBody"/>
      </w:pPr>
      <w:r>
        <w:rPr>
          <w:rFonts w:ascii="Times New Roman" w:hAnsi="Times New Roman" w:eastAsia="宋体"/>
          <w:sz w:val="24"/>
        </w:rPr>
        <w:t>However, fragmentation events remain a persistent issue, continuing to pollute the space environment. Related to this, 2024 saw an increase in the number of space objects with unidentified object class (Figures 2.1, 2.32).</w:t>
      </w:r>
    </w:p>
    <w:p>
      <w:pPr>
        <w:pStyle w:val="DocBody"/>
      </w:pPr>
      <w:r>
        <w:rPr>
          <w:rFonts w:ascii="Times New Roman" w:hAnsi="Times New Roman" w:eastAsia="宋体"/>
          <w:sz w:val="24"/>
        </w:rPr>
        <w:t>It can be seen from Figures 2.6 and 2.33 that these mostly affect the GEO regime, and are likely associated to fragmentation events that occurred in the vicinity of this region (Table 3.7). Further work to correlate unidentified objects to these events may see a reduction in this object class in future editions as they are assigned to known object classes (such as Payload or Rocket Fragmentation Debris).</w:t>
      </w:r>
    </w:p>
    <w:p>
      <w:pPr>
        <w:pStyle w:val="DocBody"/>
      </w:pPr>
      <w:r>
        <w:rPr>
          <w:rFonts w:ascii="Times New Roman" w:hAnsi="Times New Roman" w:eastAsia="宋体"/>
          <w:sz w:val="24"/>
        </w:rPr>
        <w:t>This edition of the report contains three main updates. The first, is the release of the MASTER (Meteoroid and Space Debris Terrestrial Environment Reference) 2024 population, which reveals that the density of active pay- loads is approaching that of space debris in heavily populated altitude bands for the first time. Secondly, 2024 marks the first full year for which the ESA Space Debris Mitigation Standard [3] became applicable to ESA projects.</w:t>
      </w:r>
    </w:p>
    <w:p>
      <w:pPr>
        <w:pStyle w:val="DocBody"/>
      </w:pPr>
      <w:r>
        <w:rPr>
          <w:rFonts w:ascii="Times New Roman" w:hAnsi="Times New Roman" w:eastAsia="宋体"/>
          <w:sz w:val="24"/>
        </w:rPr>
        <w:t>As such, new analyses have been added to this version of the report to highlight global compliance to the 5-year post-mission lifetime limit, in addition to the 25-year limit used in previous editions. This change required the methodology for calculating the orbital lifetimes to be updated to account for solar activity variation, with the life- time now calculated probabilistically over a full 11-year solar cycle to ensure robust compliance assessment. The difference in compliance between these two thresholds can be seen to be on the order of 10%, indicating that global adherence to stricter guidelines is attainable for ensuring the long-term sustainability of space activities. Fi- nally, a target environment, or orbital sustainability threshold, was introduced to facilitate a transparent evaluation of global steps towards space sustainability. Extrapolating current trends, the level of risk of fragmentation and collision associated with the space environment (encapsulated in a single environment index) is predicted to be 4 times higher than this acceptable threshold for long-term sustainability.</w:t>
      </w:r>
    </w:p>
    <w:p>
      <w:pPr>
        <w:pStyle w:val="DocBody"/>
      </w:pPr>
      <w:r>
        <w:rPr>
          <w:rFonts w:ascii="Times New Roman" w:hAnsi="Times New Roman" w:eastAsia="宋体"/>
          <w:sz w:val="24"/>
        </w:rPr>
        <w:t>1.4.7. Edition 10 2025 saw more than 300 launches and 4000 new payloads added to the space environment, marking the start of systematic deployment of several new large LEO constellations. As the number of new objects increases and Page 19/151</w:t>
      </w:r>
    </w:p>
    <w:p>
      <w:pPr>
        <w:pStyle w:val="DocBody"/>
      </w:pPr>
      <w:r>
        <w:rPr>
          <w:rFonts w:ascii="Times New Roman" w:hAnsi="Times New Roman" w:eastAsia="宋体"/>
          <w:sz w:val="24"/>
        </w:rPr>
        <w:t>ESA UNCLASSIFIED - Releasable to the Public compliance with space debris mitigation orbital clearance guidelines continues to improve, the number of re-entries of larger intact objects is also increasing. Additional analyses focusing on the on-ground casualty risk resulting from uncontrolled re-entries have therefore been added to this report. While fragments from new fragmentation events contributed less to the rise in the number of catalogued objects in 2025, the number of space objects with unidentified object class continues to increase (Figures 2.1, 2.32). This mismatch between detected and cata- logued fragments is a future point of attention. Furthermore, it can be noted that the majority of the fragments associated with new events this year (Table 3.7) are asserted rather than catalogued by the U.S. Space Surveil- lance Network, and were identified through various alternative space surveillance networks and service providers.</w:t>
      </w:r>
    </w:p>
    <w:p>
      <w:pPr>
        <w:pStyle w:val="DocBody"/>
      </w:pPr>
      <w:r>
        <w:rPr>
          <w:rFonts w:ascii="Times New Roman" w:hAnsi="Times New Roman" w:eastAsia="宋体"/>
          <w:sz w:val="24"/>
        </w:rPr>
        <w:t>Finally, we note that some sections of this report will be updated in a delta release later in 2026 to reflect ongoing analyses and improvements (in particular, relating to future environment modelling, Section 7.2).</w:t>
      </w:r>
    </w:p>
    <w:p>
      <w:pPr>
        <w:pStyle w:val="DocBody"/>
      </w:pPr>
      <w:r>
        <w:rPr>
          <w:rFonts w:ascii="Times New Roman" w:hAnsi="Times New Roman" w:eastAsia="宋体"/>
          <w:sz w:val="24"/>
        </w:rPr>
        <w:t>Page 20/151</w:t>
      </w:r>
    </w:p>
    <w:p>
      <w:pPr>
        <w:pStyle w:val="DocBody"/>
      </w:pPr>
      <w:r>
        <w:rPr>
          <w:rFonts w:ascii="Times New Roman" w:hAnsi="Times New Roman" w:eastAsia="宋体"/>
          <w:sz w:val="24"/>
        </w:rPr>
        <w:t>ESA UNCLASSIFIED - Releasable to the Public 1.5. Acknowledgements The authors take the opportunity to thank the team at the European Space Agency’s Space Debris Office for pro- viding technical support and all data quality work, in particular Álvaro Arroyo Parejo. Furthermore, we thank the in- ternational space debris community at large for the received comments and suggestions for improvements.</w:t>
      </w:r>
    </w:p>
    <w:p>
      <w:pPr>
        <w:pStyle w:val="DocBody"/>
      </w:pPr>
      <w:r>
        <w:rPr>
          <w:rFonts w:ascii="Times New Roman" w:hAnsi="Times New Roman" w:eastAsia="宋体"/>
          <w:sz w:val="24"/>
        </w:rPr>
        <w:t>1.6. Disclaimer The contents of this document are intended for the personal and non-commercial use of their users. Permission is granted to users to reprint or copy information for personal non-commercial use when providing appropriate credit by citing the source plus date of issue. For commercial use, authorisation need to be sought. Users may not modify, publish, transmit, participate in the transfer or sale of, reproduce, translate into other languages, create derivative works from, distribute, perform, display or in any way exploit any of the content, material or images, in whole or in part, without obtaining prior written authorisation.</w:t>
      </w:r>
    </w:p>
    <w:p>
      <w:pPr>
        <w:pStyle w:val="DocBody"/>
      </w:pPr>
      <w:r>
        <w:rPr>
          <w:rFonts w:ascii="Times New Roman" w:hAnsi="Times New Roman" w:eastAsia="宋体"/>
          <w:sz w:val="24"/>
        </w:rPr>
        <w:t>The analysis presented in this document is derived from a continuously evolving database. Mistakes can unavoid- ably happen during the preparation process and we are thus ready to take feedback. If you detect any error or if you have any comment or question please contact:</w:t>
      </w:r>
    </w:p>
    <w:p>
      <w:pPr>
        <w:pStyle w:val="DocBody"/>
      </w:pPr>
      <w:r>
        <w:rPr>
          <w:rFonts w:ascii="Times New Roman" w:hAnsi="Times New Roman" w:eastAsia="宋体"/>
          <w:sz w:val="24"/>
        </w:rPr>
        <w:t>Emma Stevenson Francesca Letizia European Space Agency European Space Agency Space Debris Office (OPS-SD)</w:t>
      </w:r>
    </w:p>
    <w:p>
      <w:pPr>
        <w:pStyle w:val="DocBody"/>
      </w:pPr>
      <w:r>
        <w:rPr>
          <w:rFonts w:ascii="Times New Roman" w:hAnsi="Times New Roman" w:eastAsia="宋体"/>
          <w:sz w:val="24"/>
        </w:rPr>
        <w:t>Independent Safety Office (TEC-QI)</w:t>
      </w:r>
    </w:p>
    <w:p>
      <w:pPr>
        <w:pStyle w:val="DocBody"/>
      </w:pPr>
      <w:r>
        <w:rPr>
          <w:rFonts w:ascii="Times New Roman" w:hAnsi="Times New Roman" w:eastAsia="宋体"/>
          <w:sz w:val="24"/>
        </w:rPr>
        <w:t>Keplerlaan 1 Keplerlaan 1 2201 AZ Noordwijk, Netherlands 2201 AZ Noordwijk, Netherlands emma.stevenson@ext.esa.int francesca.letizia@esa.int Stijn Lemmens European Space Agency Space Debris Office (OPS-SD)</w:t>
      </w:r>
    </w:p>
    <w:p>
      <w:pPr>
        <w:pStyle w:val="DocBody"/>
      </w:pPr>
      <w:r>
        <w:rPr>
          <w:rFonts w:ascii="Times New Roman" w:hAnsi="Times New Roman" w:eastAsia="宋体"/>
          <w:sz w:val="24"/>
        </w:rPr>
        <w:t>Keplerlaan 1 2201 AZ Noordwijk, Netherlands stijn.lemmens@esa.int Page 21/151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SPACE ENVIRONMENTAL HISTORY IN NUMBERS This section reports on the evolution of the space environment since the beginning of the space age. The evolution of catalogued objects in orbit is graphically represented for count, mass, and area. This data is further subdivided based on object and orbit classification. Acatalogued object is only taken into account for a given year if it appeared in a space surveillance system during that year. This implies that reported evolutions do scale with the quality of the space surveillance systems at a given epoch. In case of the evolution of payloads and rocket bodies the reported numbers are close to values one would obtain when only considering asserted objects. In all other object classifications the amount of catalogued objects are almost certainly an underestimation and hence lower limit for the true space environment.</w:t>
      </w:r>
    </w:p>
    <w:p>
      <w:pPr>
        <w:pStyle w:val="DocBody"/>
      </w:pPr>
      <w:r>
        <w:rPr>
          <w:rFonts w:ascii="Times New Roman" w:hAnsi="Times New Roman" w:eastAsia="宋体"/>
          <w:sz w:val="24"/>
        </w:rPr>
        <w:t>Concerning the LEO and GEO protected regions, the absolute and equivalent number of objects, mass, and area interfering with these regions are graphically represented. To obtain the equivalent object penetrating the protected regions, the physical property of the absolute object, i.e. count, mass, and area, is multiplied with an equivalence factor. This factor is computed as the ratio of the time spent in the protected region per orbit to the orbital period for each orbit. This indicates per orbital class how many objects are interfering with the protected regions without being permanently present. Even though the LEO and GEO regions are defined as protected regions as a whole, most of the traffic takes place in narrow bands.</w:t>
      </w:r>
    </w:p>
    <w:p>
      <w:pPr>
        <w:pStyle w:val="DocBody"/>
      </w:pPr>
      <w:r>
        <w:rPr>
          <w:rFonts w:ascii="Times New Roman" w:hAnsi="Times New Roman" w:eastAsia="宋体"/>
          <w:sz w:val="24"/>
        </w:rPr>
        <w:t>The evolution of the catalogued and asserted objects appearing in or re-entering the Earth atmosphere from the space environment is graphically represented for count, mass, and area. This data is further subdivided based on object and orbit classification. In case of incomplete orbital data, the orbit classification may be affected. This is the case, for example, of a group of objects for which the last available orbital data is such to classify them as MEO, but the re-entry epochs are several months later. Objects that are both asserted and catalogued are only counted once for a given year. In case of minor inconsistencies between the asserted and catalogued object information for the same object, the ’N/A’ tag is applied. Objects associated with human spaceflight include crew vehicles or parts thereof as well as payloads dedicated to cargo transfer, but not the rocket bodies associated to these missions. For the vast majority of cases, there is no reliable mass or area estimate for objects in the Debris or Unidentified categories and hence they are equated to 0.</w:t>
      </w:r>
    </w:p>
    <w:p>
      <w:pPr>
        <w:pStyle w:val="DocBody"/>
      </w:pPr>
      <w:r>
        <w:rPr>
          <w:rFonts w:ascii="Times New Roman" w:hAnsi="Times New Roman" w:eastAsia="宋体"/>
          <w:sz w:val="24"/>
        </w:rPr>
        <w:t>In all figures within Sections 2.1, 2.2, and 2.3, the environment parameters are presented as they are at the 1st of January of the indicated year. In all figures within Sections 2.5, 2.8, and 2.9, the environment parameters are presented as aggregated data within the indicated year. All data used to generate the analysis in this section is available online [10].</w:t>
      </w:r>
    </w:p>
    <w:p>
      <w:pPr>
        <w:pStyle w:val="DocBody"/>
      </w:pPr>
      <w:r>
        <w:rPr>
          <w:rFonts w:ascii="Times New Roman" w:hAnsi="Times New Roman" w:eastAsia="宋体"/>
          <w:sz w:val="24"/>
        </w:rPr>
        <w:t>Page 22/151</w:t>
      </w:r>
    </w:p>
    <w:p>
      <w:pPr>
        <w:pStyle w:val="DocBody"/>
      </w:pPr>
      <w:r>
        <w:rPr>
          <w:rFonts w:ascii="Times New Roman" w:hAnsi="Times New Roman" w:eastAsia="宋体"/>
          <w:sz w:val="24"/>
        </w:rPr>
        <w:t>ESA UNCLASSIFIED - Releasable to the Public 2.1. Overall Space Environment Fig. 2.1 captures the evolution of the space environment in terms of number of objects, mass, and area in geocentric orbit by object class. This data is limited to catalogued and asserted objects, and hence at any given epoch limited to the capability of the space surveillance system in use at the time. A secondary effect hereof is that when new objects are detected due to increased sensor performance, they can generally not be traced back to an event or source and become classified as Unidentified. In Figures 2.2 the same data is presented by orbit class instead of object class. In Figures 2.3 the same data is presented in relation to the cumulative values for those properties in case they would not have been removed from orbit.</w:t>
      </w:r>
    </w:p>
    <w:p>
      <w:pPr>
        <w:pStyle w:val="DocBody"/>
      </w:pPr>
      <w:r>
        <w:rPr>
          <w:rFonts w:ascii="Times New Roman" w:hAnsi="Times New Roman" w:eastAsia="宋体"/>
          <w:sz w:val="24"/>
        </w:rPr>
        <w:t>Page 23/151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UI RM RD RF RB PM PD PF PL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RM RD RF RB PM PF PL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RM RD RF RB PM PD PF PL (c) Evolution of area.</w:t>
      </w:r>
    </w:p>
    <w:p>
      <w:pPr>
        <w:pStyle w:val="DocBody"/>
      </w:pPr>
      <w:r>
        <w:rPr>
          <w:rFonts w:ascii="Times New Roman" w:hAnsi="Times New Roman" w:eastAsia="宋体"/>
          <w:sz w:val="24"/>
        </w:rPr>
        <w:t>Figure 2.1: Evolution of number of objects, mass, and area in geocentric orbit by object class.</w:t>
      </w:r>
    </w:p>
    <w:p>
      <w:pPr>
        <w:pStyle w:val="DocBody"/>
      </w:pPr>
      <w:r>
        <w:rPr>
          <w:rFonts w:ascii="Times New Roman" w:hAnsi="Times New Roman" w:eastAsia="宋体"/>
          <w:sz w:val="24"/>
        </w:rPr>
        <w:t>Page 24/151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Object Count [-] Evolution in All Orbits Other HEO MGO LMO MEO NSO GTO EGO GEO LEO (a) Evolution of number of objects.</w:t>
      </w:r>
    </w:p>
    <w:p>
      <w:pPr>
        <w:pStyle w:val="DocBody"/>
      </w:pPr>
      <w:r>
        <w:rPr>
          <w:rFonts w:ascii="Times New Roman" w:hAnsi="Times New Roman" w:eastAsia="宋体"/>
          <w:sz w:val="24"/>
        </w:rPr>
        <w:t>1 Jan 1960 1 Jan 1970 1 Jan 1980 1 Jan 1990 1 Jan 2000 1 Jan 2010 1 Jan 2020 Reference Epoch 10000 12000 14000 16000 Object Mass [tonnes] Evolution in All Orbits Other HEO MGO LMO MEO NSO GTO EGO GEO LEO (b) Evolution of mass.</w:t>
      </w:r>
    </w:p>
    <w:p>
      <w:pPr>
        <w:pStyle w:val="DocBody"/>
      </w:pPr>
      <w:r>
        <w:rPr>
          <w:rFonts w:ascii="Times New Roman" w:hAnsi="Times New Roman" w:eastAsia="宋体"/>
          <w:sz w:val="24"/>
        </w:rPr>
        <w:t>1 Jan 1960 1 Jan 1970 1 Jan 1980 1 Jan 1990 1 Jan 2000 1 Jan 2010 1 Jan 2020 Reference Epoch 50000 100000 150000 200000 250000 300000 350000 Object Area [m2] Evolution in All Orbits Other HEO MGO LMO MEO NSO GTO EGO GEO LEO (c) Evolution of area.</w:t>
      </w:r>
    </w:p>
    <w:p>
      <w:pPr>
        <w:pStyle w:val="DocBody"/>
      </w:pPr>
      <w:r>
        <w:rPr>
          <w:rFonts w:ascii="Times New Roman" w:hAnsi="Times New Roman" w:eastAsia="宋体"/>
          <w:sz w:val="24"/>
        </w:rPr>
        <w:t>Figure 2.2: Evolution of number of objects, mass, and area in geocentric orbit by orbit class.</w:t>
      </w:r>
    </w:p>
    <w:p>
      <w:pPr>
        <w:pStyle w:val="DocBody"/>
      </w:pPr>
      <w:r>
        <w:rPr>
          <w:rFonts w:ascii="Times New Roman" w:hAnsi="Times New Roman" w:eastAsia="宋体"/>
          <w:sz w:val="24"/>
        </w:rPr>
        <w:t>Page 25/151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20000 30000 40000 50000 60000 70000 80000 Object Count [-] Cumulative objects on-orbit Actual objects on-orbit (a) Evolution of number of objects.</w:t>
      </w:r>
    </w:p>
    <w:p>
      <w:pPr>
        <w:pStyle w:val="DocBody"/>
      </w:pPr>
      <w:r>
        <w:rPr>
          <w:rFonts w:ascii="Times New Roman" w:hAnsi="Times New Roman" w:eastAsia="宋体"/>
          <w:sz w:val="24"/>
        </w:rPr>
        <w:t>1 Jan 1960 1 Jan 1970 1 Jan 1980 1 Jan 1990 1 Jan 2000 1 Jan 2010 1 Jan 2020 Reference Epoch 10000 20000 30000 40000 50000 Object Mass [tonnes] Cumulative objects on-orbit Actual objects on-orbit (b) Evolution of mass.</w:t>
      </w:r>
    </w:p>
    <w:p>
      <w:pPr>
        <w:pStyle w:val="DocBody"/>
      </w:pPr>
      <w:r>
        <w:rPr>
          <w:rFonts w:ascii="Times New Roman" w:hAnsi="Times New Roman" w:eastAsia="宋体"/>
          <w:sz w:val="24"/>
        </w:rPr>
        <w:t>1 Jan 1960 1 Jan 1970 1 Jan 1980 1 Jan 1990 1 Jan 2000 1 Jan 2010 1 Jan 2020 Reference Epoch 100000 200000 300000 400000 500000 Object Area [m2] Cumulative objects on-orbit Actual objects on-orbit (c) Evolution of area.</w:t>
      </w:r>
    </w:p>
    <w:p>
      <w:pPr>
        <w:pStyle w:val="DocBody"/>
      </w:pPr>
      <w:r>
        <w:rPr>
          <w:rFonts w:ascii="Times New Roman" w:hAnsi="Times New Roman" w:eastAsia="宋体"/>
          <w:sz w:val="24"/>
        </w:rPr>
        <w:t>Figure 2.3: Evolution of number of orbiting objects, mass, and area in geocentric orbit versus total number of objects.</w:t>
      </w:r>
    </w:p>
    <w:p>
      <w:pPr>
        <w:pStyle w:val="DocBody"/>
      </w:pPr>
      <w:r>
        <w:rPr>
          <w:rFonts w:ascii="Times New Roman" w:hAnsi="Times New Roman" w:eastAsia="宋体"/>
          <w:sz w:val="24"/>
        </w:rPr>
        <w:t>Page 26/151</w:t>
      </w:r>
    </w:p>
    <w:p>
      <w:pPr>
        <w:pStyle w:val="DocBody"/>
      </w:pPr>
      <w:r>
        <w:rPr>
          <w:rFonts w:ascii="Times New Roman" w:hAnsi="Times New Roman" w:eastAsia="宋体"/>
          <w:sz w:val="24"/>
        </w:rPr>
        <w:t>ESA UNCLASSIFIED - Releasable to the Public 2.2. Evolution of Environment in LEO 1 Jan 1960 1 Jan 1970 1 Jan 1980 1 Jan 1990 1 Jan 2000 1 Jan 2010 1 Jan 2020 Reference Epoch 10000 15000 20000 25000 30000 Object Count [-] Penetration into LEOIADC Other HEO LMO GTO LEO (a) Evolution of absolute number of objects.</w:t>
      </w:r>
    </w:p>
    <w:p>
      <w:pPr>
        <w:pStyle w:val="DocBody"/>
      </w:pPr>
      <w:r>
        <w:rPr>
          <w:rFonts w:ascii="Times New Roman" w:hAnsi="Times New Roman" w:eastAsia="宋体"/>
          <w:sz w:val="24"/>
        </w:rPr>
        <w:t>1 Jan 1960 1 Jan 1970 1 Jan 1980 1 Jan 1990 1 Jan 2000 1 Jan 2010 1 Jan 2020 Reference Epoch 10000 Object Mass [tonnes] Penetration into LEOIADC Other HEO LMO GTO LEO (b) Evolution of absolute mass.</w:t>
      </w:r>
    </w:p>
    <w:p>
      <w:pPr>
        <w:pStyle w:val="DocBody"/>
      </w:pPr>
      <w:r>
        <w:rPr>
          <w:rFonts w:ascii="Times New Roman" w:hAnsi="Times New Roman" w:eastAsia="宋体"/>
          <w:sz w:val="24"/>
        </w:rPr>
        <w:t>1 Jan 1960 1 Jan 1970 1 Jan 1980 1 Jan 1990 1 Jan 2000 1 Jan 2010 1 Jan 2020 Reference Epoch 50000 100000 150000 200000 250000 300000 Object Area [m2] Penetration into LEOIADC Other HEO LMO GTO LEO (c) Evolution of absolute area.</w:t>
      </w:r>
    </w:p>
    <w:p>
      <w:pPr>
        <w:pStyle w:val="DocBody"/>
      </w:pPr>
      <w:r>
        <w:rPr>
          <w:rFonts w:ascii="Times New Roman" w:hAnsi="Times New Roman" w:eastAsia="宋体"/>
          <w:sz w:val="24"/>
        </w:rPr>
        <w:t>Figure 2.4: Evolution of absolute number of objects, mass and area residing in or penetrating LEOIADC.</w:t>
      </w:r>
    </w:p>
    <w:p>
      <w:pPr>
        <w:pStyle w:val="DocBody"/>
      </w:pPr>
      <w:r>
        <w:rPr>
          <w:rFonts w:ascii="Times New Roman" w:hAnsi="Times New Roman" w:eastAsia="宋体"/>
          <w:sz w:val="24"/>
        </w:rPr>
        <w:t>Page 27/151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15000 20000 25000 30000 Equivalent Object Count [-] Penetration into LEOIADC Other HEO LMO GTO LEO (a) Evolution of equivalent number of objects.</w:t>
      </w:r>
    </w:p>
    <w:p>
      <w:pPr>
        <w:pStyle w:val="DocBody"/>
      </w:pPr>
      <w:r>
        <w:rPr>
          <w:rFonts w:ascii="Times New Roman" w:hAnsi="Times New Roman" w:eastAsia="宋体"/>
          <w:sz w:val="24"/>
        </w:rPr>
        <w:t>1 Jan 1960 1 Jan 1970 1 Jan 1980 1 Jan 1990 1 Jan 2000 1 Jan 2010 1 Jan 2020 Reference Epoch 10000 Equivalent Object Mass [tonnes] Penetration into LEOIADC Other HEO LMO GTO LEO (b) Evolution of equivalent mass.</w:t>
      </w:r>
    </w:p>
    <w:p>
      <w:pPr>
        <w:pStyle w:val="DocBody"/>
      </w:pPr>
      <w:r>
        <w:rPr>
          <w:rFonts w:ascii="Times New Roman" w:hAnsi="Times New Roman" w:eastAsia="宋体"/>
          <w:sz w:val="24"/>
        </w:rPr>
        <w:t>1 Jan 1960 1 Jan 1970 1 Jan 1980 1 Jan 1990 1 Jan 2000 1 Jan 2010 1 Jan 2020 Reference Epoch 50000 100000 150000 200000 250000 300000 Equivalent Object Area [m2] Penetration into LEOIADC Other HEO LMO GTO LEO (c) Evolution of equivalent area.</w:t>
      </w:r>
    </w:p>
    <w:p>
      <w:pPr>
        <w:pStyle w:val="DocBody"/>
      </w:pPr>
      <w:r>
        <w:rPr>
          <w:rFonts w:ascii="Times New Roman" w:hAnsi="Times New Roman" w:eastAsia="宋体"/>
          <w:sz w:val="24"/>
        </w:rPr>
        <w:t>Figure 2.5: Evolution of equivalent number of objects, mass and area residing in or penetrating LEOIADC.</w:t>
      </w:r>
    </w:p>
    <w:p>
      <w:pPr>
        <w:pStyle w:val="DocBody"/>
      </w:pPr>
      <w:r>
        <w:rPr>
          <w:rFonts w:ascii="Times New Roman" w:hAnsi="Times New Roman" w:eastAsia="宋体"/>
          <w:sz w:val="24"/>
        </w:rPr>
        <w:t>Page 28/151</w:t>
      </w:r>
    </w:p>
    <w:p>
      <w:pPr>
        <w:pStyle w:val="DocBody"/>
      </w:pPr>
      <w:r>
        <w:rPr>
          <w:rFonts w:ascii="Times New Roman" w:hAnsi="Times New Roman" w:eastAsia="宋体"/>
          <w:sz w:val="24"/>
        </w:rPr>
        <w:t>ESA UNCLASSIFIED - Releasable to the Public 2.3. Evolution of Environment in GEO 1 Jan 1960 1 Jan 1970 1 Jan 1980 1 Jan 1990 1 Jan 2000 1 Jan 2010 1 Jan 2020 Reference Epoch 10000 Object Count [-] Penetration into GEOIADC Other HEO MGO GTO EGO GEO (a) Evolution of absolute number of objects.</w:t>
      </w:r>
    </w:p>
    <w:p>
      <w:pPr>
        <w:pStyle w:val="DocBody"/>
      </w:pPr>
      <w:r>
        <w:rPr>
          <w:rFonts w:ascii="Times New Roman" w:hAnsi="Times New Roman" w:eastAsia="宋体"/>
          <w:sz w:val="24"/>
        </w:rPr>
        <w:t>1 Jan 1960 1 Jan 1970 1 Jan 1980 1 Jan 1990 1 Jan 2000 1 Jan 2010 1 Jan 2020 Reference Epoch Object Mass [tonnes] Penetration into GEOIADC Other HEO MGO GTO EGO GEO (b) Evolution of absolute mass.</w:t>
      </w:r>
    </w:p>
    <w:p>
      <w:pPr>
        <w:pStyle w:val="DocBody"/>
      </w:pPr>
      <w:r>
        <w:rPr>
          <w:rFonts w:ascii="Times New Roman" w:hAnsi="Times New Roman" w:eastAsia="宋体"/>
          <w:sz w:val="24"/>
        </w:rPr>
        <w:t>1 Jan 1960 1 Jan 1970 1 Jan 1980 1 Jan 1990 1 Jan 2000 1 Jan 2010 1 Jan 2020 Reference Epoch 10000 15000 20000 25000 30000 35000 Object Area [m2] Penetration into GEOIADC Other HEO MGO GTO EGO GEO (c) Evolution of absolute area.</w:t>
      </w:r>
    </w:p>
    <w:p>
      <w:pPr>
        <w:pStyle w:val="DocBody"/>
      </w:pPr>
      <w:r>
        <w:rPr>
          <w:rFonts w:ascii="Times New Roman" w:hAnsi="Times New Roman" w:eastAsia="宋体"/>
          <w:sz w:val="24"/>
        </w:rPr>
        <w:t>Figure 2.6: Evolution of absolute number of objects, mass and area residing in or penetrating GEOIADC.</w:t>
      </w:r>
    </w:p>
    <w:p>
      <w:pPr>
        <w:pStyle w:val="DocBody"/>
      </w:pPr>
      <w:r>
        <w:rPr>
          <w:rFonts w:ascii="Times New Roman" w:hAnsi="Times New Roman" w:eastAsia="宋体"/>
          <w:sz w:val="24"/>
        </w:rPr>
        <w:t>Page 29/151</w:t>
      </w:r>
    </w:p>
    <w:p>
      <w:pPr>
        <w:pStyle w:val="DocBody"/>
      </w:pPr>
      <w:r>
        <w:rPr>
          <w:rFonts w:ascii="Times New Roman" w:hAnsi="Times New Roman" w:eastAsia="宋体"/>
          <w:sz w:val="24"/>
        </w:rPr>
        <w:t>ESA UNCLASSIFIED - Releasable to the Public 1 Jan 1960 1 Jan 1970 1 Jan 1980 1 Jan 1990 1 Jan 2000 1 Jan 2010 1 Jan 2020 Reference Epoch 10000 Equivalent Object Count [-] Penetration into GEOIADC Other HEO MGO GTO EGO GEO (a) Evolution of equivalent number of objects.</w:t>
      </w:r>
    </w:p>
    <w:p>
      <w:pPr>
        <w:pStyle w:val="DocBody"/>
      </w:pPr>
      <w:r>
        <w:rPr>
          <w:rFonts w:ascii="Times New Roman" w:hAnsi="Times New Roman" w:eastAsia="宋体"/>
          <w:sz w:val="24"/>
        </w:rPr>
        <w:t>1 Jan 1960 1 Jan 1970 1 Jan 1980 1 Jan 1990 1 Jan 2000 1 Jan 2010 1 Jan 2020 Reference Epoch Equivalent Object Mass [tonnes] Penetration into GEOIADC Other HEO MGO GTO EGO GEO (b) Evolution of equivalent mass.</w:t>
      </w:r>
    </w:p>
    <w:p>
      <w:pPr>
        <w:pStyle w:val="DocBody"/>
      </w:pPr>
      <w:r>
        <w:rPr>
          <w:rFonts w:ascii="Times New Roman" w:hAnsi="Times New Roman" w:eastAsia="宋体"/>
          <w:sz w:val="24"/>
        </w:rPr>
        <w:t>1 Jan 1960 1 Jan 1970 1 Jan 1980 1 Jan 1990 1 Jan 2000 1 Jan 2010 1 Jan 2020 Reference Epoch 10000 15000 20000 25000 30000 35000 Equivalent Object Area [m2] Penetration into GEOIADC Other HEO MGO GTO EGO GEO (c) Evolution of equivalent area.</w:t>
      </w:r>
    </w:p>
    <w:p>
      <w:pPr>
        <w:pStyle w:val="DocBody"/>
      </w:pPr>
      <w:r>
        <w:rPr>
          <w:rFonts w:ascii="Times New Roman" w:hAnsi="Times New Roman" w:eastAsia="宋体"/>
          <w:sz w:val="24"/>
        </w:rPr>
        <w:t>Figure 2.7: Evolution of equivalent number of objects, mass and area residing in or penetrating GEOIADC.</w:t>
      </w:r>
    </w:p>
    <w:p>
      <w:pPr>
        <w:pStyle w:val="DocBody"/>
      </w:pPr>
      <w:r>
        <w:rPr>
          <w:rFonts w:ascii="Times New Roman" w:hAnsi="Times New Roman" w:eastAsia="宋体"/>
          <w:sz w:val="24"/>
        </w:rPr>
        <w:t>Page 30/151</w:t>
      </w:r>
    </w:p>
    <w:p>
      <w:pPr>
        <w:pStyle w:val="DocBody"/>
      </w:pPr>
      <w:r>
        <w:rPr>
          <w:rFonts w:ascii="Times New Roman" w:hAnsi="Times New Roman" w:eastAsia="宋体"/>
          <w:sz w:val="24"/>
        </w:rPr>
        <w:t>ESA UNCLASSIFIED - Releasable to the Public 2.4. Non-catalogued and modelled objects According to ESA’s space debris environment model MASTER (Meteoroid and Space Debris Terrestrial Environ- ment Reference), at the most recent reference epoch 1st August 2024, the estimated number of space objects in orbit in the different size ranges is the following:</w:t>
      </w:r>
    </w:p>
    <w:p>
      <w:pPr>
        <w:pStyle w:val="DocBody"/>
      </w:pPr>
      <w:r>
        <w:rPr>
          <w:rFonts w:ascii="Times New Roman" w:hAnsi="Times New Roman" w:eastAsia="宋体"/>
          <w:sz w:val="24"/>
        </w:rPr>
        <w:t>• 54.000 objects greater than 10 cm (including approximately 9300 active payloads), • 1.2 million objects from 1 cm to 10 cm, • 130 million objects from 1 mm to 1 cm.</w:t>
      </w:r>
    </w:p>
    <w:p>
      <w:pPr>
        <w:pStyle w:val="DocBody"/>
      </w:pPr>
      <w:r>
        <w:rPr>
          <w:rFonts w:ascii="Times New Roman" w:hAnsi="Times New Roman" w:eastAsia="宋体"/>
          <w:sz w:val="24"/>
        </w:rPr>
        <w:t>The distribution of the number of objects as a function of their size is shown in Fig. 2.8: the plot shows the number of objects larger than the threshold diameter indicated in x-axis, considering space objects crossing the LEO regime.</w:t>
      </w:r>
    </w:p>
    <w:p>
      <w:pPr>
        <w:pStyle w:val="DocBody"/>
      </w:pPr>
      <w:r>
        <w:rPr>
          <w:rFonts w:ascii="Times New Roman" w:hAnsi="Times New Roman" w:eastAsia="宋体"/>
          <w:sz w:val="24"/>
        </w:rPr>
        <w:t>Fig. 2.9 shows the density profiles with altitude corresponding to different minimum object sizes (respectively 10 cm in dark blue and 1 cm in red), considering only the LEO region. The logarithmic scale is used in the y-axis to take into account the different orders of magnitude corresponding to the two populations.</w:t>
      </w:r>
    </w:p>
    <w:p>
      <w:pPr>
        <w:pStyle w:val="DocBody"/>
      </w:pPr>
      <w:r>
        <w:rPr>
          <w:rFonts w:ascii="Times New Roman" w:hAnsi="Times New Roman" w:eastAsia="宋体"/>
          <w:sz w:val="24"/>
        </w:rPr>
        <w:t>Diameter [m] Estimated cumulative number of objects [N(d &gt; d*)] MASTER reference population: 01/08/2024 Figure 2.8: Estimated number of space objects crossing LEO as a function of the object diameter from the 01/08/2024 reference population.</w:t>
      </w:r>
    </w:p>
    <w:p>
      <w:pPr>
        <w:pStyle w:val="DocBody"/>
      </w:pPr>
      <w:r>
        <w:rPr>
          <w:rFonts w:ascii="Times New Roman" w:hAnsi="Times New Roman" w:eastAsia="宋体"/>
          <w:sz w:val="24"/>
        </w:rPr>
        <w:t>Altitude [km] Spatial density [1/km3] MASTER reference population: 01/08/2024</w:t>
      </w:r>
    </w:p>
    <w:p>
      <w:pPr>
        <w:pStyle w:val="DocBody"/>
        <w:ind w:left="510"/>
      </w:pPr>
      <w:r>
        <w:rPr>
          <w:rFonts w:ascii="Times New Roman" w:hAnsi="Times New Roman" w:eastAsia="宋体"/>
          <w:sz w:val="24"/>
        </w:rPr>
        <w:t>10cm</w:t>
      </w:r>
    </w:p>
    <w:p>
      <w:pPr>
        <w:pStyle w:val="DocBody"/>
        <w:ind w:left="510"/>
      </w:pPr>
      <w:r>
        <w:rPr>
          <w:rFonts w:ascii="Times New Roman" w:hAnsi="Times New Roman" w:eastAsia="宋体"/>
          <w:sz w:val="24"/>
        </w:rPr>
        <w:t>1cm</w:t>
      </w:r>
    </w:p>
    <w:p>
      <w:pPr>
        <w:pStyle w:val="DocBody"/>
      </w:pPr>
      <w:r>
        <w:rPr>
          <w:rFonts w:ascii="Times New Roman" w:hAnsi="Times New Roman" w:eastAsia="宋体"/>
          <w:sz w:val="24"/>
        </w:rPr>
        <w:t>Figure 2.9: Density profiles in LEO for different space object size ranges from the 01/08/2024 reference population.</w:t>
      </w:r>
    </w:p>
    <w:p>
      <w:pPr>
        <w:pStyle w:val="DocBody"/>
      </w:pPr>
      <w:r>
        <w:rPr>
          <w:rFonts w:ascii="Times New Roman" w:hAnsi="Times New Roman" w:eastAsia="宋体"/>
          <w:sz w:val="24"/>
        </w:rPr>
        <w:t>Page 31/151</w:t>
      </w:r>
    </w:p>
    <w:p>
      <w:pPr>
        <w:pStyle w:val="DocBody"/>
      </w:pPr>
      <w:r>
        <w:rPr>
          <w:rFonts w:ascii="Times New Roman" w:hAnsi="Times New Roman" w:eastAsia="宋体"/>
          <w:sz w:val="24"/>
        </w:rPr>
        <w:t>ESA UNCLASSIFIED - Releasable to the Public Fig. 2.10 shows the density profiles with altitude for space objects larger than 10 cm, considering only the LEO region, for the most recent reference epoch 1st August 2024, as well as for the previous MASTER population release, with reference epoch 1st November 2016. In particular, this highlights the contributions coming from constellations as well as fragmentation events.</w:t>
      </w:r>
    </w:p>
    <w:p>
      <w:pPr>
        <w:pStyle w:val="DocBody"/>
      </w:pPr>
      <w:r>
        <w:rPr>
          <w:rFonts w:ascii="Times New Roman" w:hAnsi="Times New Roman" w:eastAsia="宋体"/>
          <w:sz w:val="24"/>
        </w:rPr>
        <w:t>Similarly, Fig. 2.11 shows the difference for space objects larger than 1 cm. Whereas historically, the 1 cm popula- tion mostly consisted of fragments, this paradigm has now changed for selected altitudes used by constellations, and the density of active payloads is approaching that of space debris in these heavily populated orbits.</w:t>
      </w:r>
    </w:p>
    <w:p>
      <w:pPr>
        <w:pStyle w:val="DocBody"/>
      </w:pPr>
      <w:r>
        <w:rPr>
          <w:rFonts w:ascii="Times New Roman" w:hAnsi="Times New Roman" w:eastAsia="宋体"/>
          <w:sz w:val="24"/>
        </w:rPr>
        <w:t>Altitude [km] Spatial density [1/km3] MASTER reference 10 cm populations Figure 2.10: Density profiles in LEO for space objects larger than 10 cm for the 01/08/2024 and 01/11/2016 reference populations.</w:t>
      </w:r>
    </w:p>
    <w:p>
      <w:pPr>
        <w:pStyle w:val="DocBody"/>
      </w:pPr>
      <w:r>
        <w:rPr>
          <w:rFonts w:ascii="Times New Roman" w:hAnsi="Times New Roman" w:eastAsia="宋体"/>
          <w:sz w:val="24"/>
        </w:rPr>
        <w:t>Altitude [km] Spatial density [1/km3] MASTER reference 1 cm populations Figure 2.11: Density profiles in LEO for space objects larger than 1 cm for the 01/08/2024 and 01/11/2016 reference populations.</w:t>
      </w:r>
    </w:p>
    <w:p>
      <w:pPr>
        <w:pStyle w:val="DocBody"/>
      </w:pPr>
      <w:r>
        <w:rPr>
          <w:rFonts w:ascii="Times New Roman" w:hAnsi="Times New Roman" w:eastAsia="宋体"/>
          <w:sz w:val="24"/>
        </w:rPr>
        <w:t>Page 32/151</w:t>
      </w:r>
    </w:p>
    <w:p>
      <w:pPr>
        <w:pStyle w:val="DocBody"/>
      </w:pPr>
      <w:r>
        <w:rPr>
          <w:rFonts w:ascii="Times New Roman" w:hAnsi="Times New Roman" w:eastAsia="宋体"/>
          <w:sz w:val="24"/>
        </w:rPr>
        <w:t>ESA UNCLASSIFIED - Releasable to the Public 2.5. Usage of the Protected Regions This section aims to provide an overview of the usage of the protected regions in terms of launch traffic as repre- sented by object count and mass, given that the stability of the space environment is dependent on them.</w:t>
      </w:r>
    </w:p>
    <w:p>
      <w:pPr>
        <w:pStyle w:val="DocBody"/>
      </w:pPr>
      <w:r>
        <w:rPr>
          <w:rFonts w:ascii="Times New Roman" w:hAnsi="Times New Roman" w:eastAsia="宋体"/>
          <w:sz w:val="24"/>
        </w:rPr>
        <w:t>From a historical point of view, the launch traffic of Payloads can be categorised in terms of the main funding source (Civil, Defence, Commercial, Amateur) or in terms of the main missions type (Communication, Imaging, Navigation, etc.). The Amateur category includes those Payloads associated by academic institutions when none of the other entities are the driving contributor. Payloads that are deployed from the International Space Station (ISS) are identified with a separate label as part of the launch traffic.</w:t>
      </w:r>
    </w:p>
    <w:p>
      <w:pPr>
        <w:pStyle w:val="DocBody"/>
      </w:pPr>
      <w:r>
        <w:rPr>
          <w:rFonts w:ascii="Times New Roman" w:hAnsi="Times New Roman" w:eastAsia="宋体"/>
          <w:sz w:val="24"/>
        </w:rPr>
        <w:t>In case of Rocket Bodies, it is of importance which launcher family is generating the traffic to orbit, given that the adherence level to space debris mitigation guidelines correlates with this family identifier. These families are to be understood as major stable design versions of a launcher, e.g. covering performance improvements but not engine changes. New families can appear sporadically and in this report the most regularly used ones over recent years are identified. Earlier families of launchers are grouped under Used earlier.</w:t>
      </w:r>
    </w:p>
    <w:p>
      <w:pPr>
        <w:pStyle w:val="DocBody"/>
      </w:pPr>
      <w:r>
        <w:rPr>
          <w:rFonts w:ascii="Times New Roman" w:hAnsi="Times New Roman" w:eastAsia="宋体"/>
          <w:sz w:val="24"/>
        </w:rPr>
        <w:t>Of increasing importance in a changing space traffic landscape are also the so-called ride-share launch opportuni- ties, where a single launch vehicle carries a multitude of Payloads from different entities into orbit. For the purpose of this report, ride-share launches are defined as those launches that carry Payloads with at least three different mission domains and at least ten Payloads in total. A mission domain is defined by the combination of mission type, funding, and operator.</w:t>
      </w:r>
    </w:p>
    <w:p>
      <w:pPr>
        <w:pStyle w:val="DocBody"/>
      </w:pPr>
      <w:r>
        <w:rPr>
          <w:rFonts w:ascii="Times New Roman" w:hAnsi="Times New Roman" w:eastAsia="宋体"/>
          <w:sz w:val="24"/>
        </w:rPr>
        <w:t>For Payload objects in LEOIADC, it is instructive to analyse not only where they reside now, but also how the destination orbits that enable their operations evolve over time. In particular, as space debris mitigation measures focus on limiting orbital lifetimes, adoption of these practice leaves a noticeable imprint on the data. This imprint can distinctively visible as a function of the mission domain, in particular when distinguishing between constellation and non constellation objects.</w:t>
      </w:r>
    </w:p>
    <w:p>
      <w:pPr>
        <w:pStyle w:val="DocBody"/>
      </w:pPr>
      <w:r>
        <w:rPr>
          <w:rFonts w:ascii="Times New Roman" w:hAnsi="Times New Roman" w:eastAsia="宋体"/>
          <w:sz w:val="24"/>
        </w:rPr>
        <w:t>Page 33/151</w:t>
      </w:r>
    </w:p>
    <w:p>
      <w:pPr>
        <w:pStyle w:val="DocBody"/>
      </w:pPr>
      <w:r>
        <w:rPr>
          <w:rFonts w:ascii="Times New Roman" w:hAnsi="Times New Roman" w:eastAsia="宋体"/>
          <w:sz w:val="24"/>
        </w:rPr>
        <w:t>ESA UNCLASSIFIED - Releasable to the Public Launch Year Number of Objects [-] Payload Launch Traffic into 200 hp 1750km Amateur Civil Defense Commercial Launch Year Number of Objects [-] Payload Launch Traffic into 200 hp 1750km Communication Imaging Spaceship Technology Science Navigation Sigint Calibration Weather Other Figure 2.12: Evolution of the launch traffic near LEOIADC per mission funding (top) and type (bottom).</w:t>
      </w:r>
    </w:p>
    <w:p>
      <w:pPr>
        <w:pStyle w:val="DocBody"/>
      </w:pPr>
      <w:r>
        <w:rPr>
          <w:rFonts w:ascii="Times New Roman" w:hAnsi="Times New Roman" w:eastAsia="宋体"/>
          <w:sz w:val="24"/>
        </w:rPr>
        <w:t>Page 34/151</w:t>
      </w:r>
    </w:p>
    <w:p>
      <w:pPr>
        <w:pStyle w:val="DocBody"/>
      </w:pPr>
      <w:r>
        <w:rPr>
          <w:rFonts w:ascii="Times New Roman" w:hAnsi="Times New Roman" w:eastAsia="宋体"/>
          <w:sz w:val="24"/>
        </w:rPr>
        <w:t>ESA UNCLASSIFIED - Releasable to the Public Launch Year Mass [tonnes] Payload Launch Traffic into 200 hp 1750km Amateur Civil Defense Commercial Launch Year Mass [tonnes] Payload Launch Traffic into 200 hp 1750km Communication Imaging Spaceship Technology Science Navigation Sigint Calibration Weather Other Figure 2.13: Evolution of the launch traffic near LEOIADC per mission funding (top) and type (bottom) in terms of mass.</w:t>
      </w:r>
    </w:p>
    <w:p>
      <w:pPr>
        <w:pStyle w:val="DocBody"/>
      </w:pPr>
      <w:r>
        <w:rPr>
          <w:rFonts w:ascii="Times New Roman" w:hAnsi="Times New Roman" w:eastAsia="宋体"/>
          <w:sz w:val="24"/>
        </w:rPr>
        <w:t>Page 35/151</w:t>
      </w:r>
    </w:p>
    <w:p>
      <w:pPr>
        <w:pStyle w:val="DocBody"/>
      </w:pPr>
      <w:r>
        <w:rPr>
          <w:rFonts w:ascii="Times New Roman" w:hAnsi="Times New Roman" w:eastAsia="宋体"/>
          <w:sz w:val="24"/>
        </w:rPr>
        <w:t>ESA UNCLASSIFIED - Releasable to the Public Launch Year Number of Objects [-] Payload Launch Traffic into 200 hp 1750km Falcon Soyuz-2 Long March 2 Long March 6 Electron ISS Atlas V Long March 8 Ceres-1 Zhongke 1 Jielong SLV-P Long March 4 Used earlier Launch Year Mass [tonnes] Payload Launch Traffic into 200 hp 1750km Falcon Soyuz-2 Long March 2 Long March 6 Electron ISS Atlas V Long March 8 Ceres-1 Zhongke 1 Jielong SLV-P Long March 4 Used earlier Figure 2.14: Evolution of the launch traffic near LEOIADC per launcher family expressed in terms of number of objects (top) and mass (bottom).</w:t>
      </w:r>
    </w:p>
    <w:p>
      <w:pPr>
        <w:pStyle w:val="DocBody"/>
      </w:pPr>
      <w:r>
        <w:rPr>
          <w:rFonts w:ascii="Times New Roman" w:hAnsi="Times New Roman" w:eastAsia="宋体"/>
          <w:sz w:val="24"/>
        </w:rPr>
        <w:t>Page 36/151</w:t>
      </w:r>
    </w:p>
    <w:p>
      <w:pPr>
        <w:pStyle w:val="DocBody"/>
      </w:pPr>
      <w:r>
        <w:rPr>
          <w:rFonts w:ascii="Times New Roman" w:hAnsi="Times New Roman" w:eastAsia="宋体"/>
          <w:sz w:val="24"/>
        </w:rPr>
        <w:t>ESA UNCLASSIFIED - Releasable to the Public Launch Year Number of Objects [-] Payload Launch Traffic into 35000 hp 36800km Civil Defense Commercial Launch Year Number of Objects [-] Payload Launch Traffic into 35000 hp 36800km Communication Imaging Technology Science Navigation Sigint Weather Other Figure 2.15: Evolution of the launch traffic near GEOIADC per mission funding (top) and type (bottom).</w:t>
      </w:r>
    </w:p>
    <w:p>
      <w:pPr>
        <w:pStyle w:val="DocBody"/>
      </w:pPr>
      <w:r>
        <w:rPr>
          <w:rFonts w:ascii="Times New Roman" w:hAnsi="Times New Roman" w:eastAsia="宋体"/>
          <w:sz w:val="24"/>
        </w:rPr>
        <w:t>Page 37/151</w:t>
      </w:r>
    </w:p>
    <w:p>
      <w:pPr>
        <w:pStyle w:val="DocBody"/>
      </w:pPr>
      <w:r>
        <w:rPr>
          <w:rFonts w:ascii="Times New Roman" w:hAnsi="Times New Roman" w:eastAsia="宋体"/>
          <w:sz w:val="24"/>
        </w:rPr>
        <w:t>ESA UNCLASSIFIED - Releasable to the Public Launch Year Mass [tonnes] Payload Launch Traffic into 35000 hp 36800km Civil Defense Commercial Launch Year Mass [tonnes] Payload Launch Traffic into 35000 hp 36800km Communication Imaging Technology Science Navigation Sigint Weather Other Figure 2.16: Evolution of the launch traffic near GEOIADC per mission funding (top) and type (bottom) in terms of mass.</w:t>
      </w:r>
    </w:p>
    <w:p>
      <w:pPr>
        <w:pStyle w:val="DocBody"/>
      </w:pPr>
      <w:r>
        <w:rPr>
          <w:rFonts w:ascii="Times New Roman" w:hAnsi="Times New Roman" w:eastAsia="宋体"/>
          <w:sz w:val="24"/>
        </w:rPr>
        <w:t>Page 38/151</w:t>
      </w:r>
    </w:p>
    <w:p>
      <w:pPr>
        <w:pStyle w:val="DocBody"/>
      </w:pPr>
      <w:r>
        <w:rPr>
          <w:rFonts w:ascii="Times New Roman" w:hAnsi="Times New Roman" w:eastAsia="宋体"/>
          <w:sz w:val="24"/>
        </w:rPr>
        <w:t>ESA UNCLASSIFIED - Releasable to the Public Launch Year Number of Objects [-] Payload Launch Traffic into 35000 hp 36800km Falcon Long March 3 Ariane 5 Atlas V Long March 7 Proton-M Long March 5 SLV-P H-III Vulcan Centaur H-II Delta IV Angara A Used earlier Launch Year Mass [tonnes] Payload Launch Traffic into 35000 hp 36800km Falcon Long March 3 Ariane 5 Atlas V Long March 7 Proton-M Long March 5 SLV-P H-III Vulcan Centaur H-II Delta IV Angara A Used earlier Figure 2.17: Evolution of the launch traffic near GEOIADC per launcher family expressed in terms of number of objects (top) and mass (bottom).</w:t>
      </w:r>
    </w:p>
    <w:p>
      <w:pPr>
        <w:pStyle w:val="DocBody"/>
      </w:pPr>
      <w:r>
        <w:rPr>
          <w:rFonts w:ascii="Times New Roman" w:hAnsi="Times New Roman" w:eastAsia="宋体"/>
          <w:sz w:val="24"/>
        </w:rPr>
        <w:t>Page 39/151</w:t>
      </w:r>
    </w:p>
    <w:p>
      <w:pPr>
        <w:pStyle w:val="DocBody"/>
      </w:pPr>
      <w:r>
        <w:rPr>
          <w:rFonts w:ascii="Times New Roman" w:hAnsi="Times New Roman" w:eastAsia="宋体"/>
          <w:sz w:val="24"/>
        </w:rPr>
        <w:t>ESA UNCLASSIFIED - Releasable to the Public Launch Year Number of Objects [-] Payload Launch Traffic outside LEO and GEO Falcon Soyuz-2 Vega Long March 3 Angara A Atlas V New Glenn Long March 2 SLV-P Long March 7 Ariane 6 Proton-M Space Launch System - Block 1 Used earlier Launch Year Mass [tonnes] Payload Launch Traffic outside LEO and GEO Falcon Soyuz-2 Vega Long March 3 Angara A Atlas V New Glenn Long March 2 SLV-P Long March 7 Ariane 6 Proton-M Space Launch System - Block 1 Used earlier Figure 2.18: Evolution of the launch traffic outside LEOIADC and GEOIADC per launcher family expressed in terms of number of objects (top) and mass (bottom).</w:t>
      </w:r>
    </w:p>
    <w:p>
      <w:pPr>
        <w:pStyle w:val="DocBody"/>
      </w:pPr>
      <w:r>
        <w:rPr>
          <w:rFonts w:ascii="Times New Roman" w:hAnsi="Times New Roman" w:eastAsia="宋体"/>
          <w:sz w:val="24"/>
        </w:rPr>
        <w:t>Page 40/151</w:t>
      </w:r>
    </w:p>
    <w:p>
      <w:pPr>
        <w:pStyle w:val="DocBody"/>
      </w:pPr>
      <w:r>
        <w:rPr>
          <w:rFonts w:ascii="Times New Roman" w:hAnsi="Times New Roman" w:eastAsia="宋体"/>
          <w:sz w:val="24"/>
        </w:rPr>
        <w:t>ESA UNCLASSIFIED - Releasable to the Public Launch Year Number of objects [-] Payload Launch Traffic into 200 hp 1750 km m 10 kg 10 kg &lt; m  100 kg 100 kg &lt; m  1000 kg m &gt; 1000 kg Launch Year Number of objects [-] Payload Launch Traffic into 35000 hp 36800 km m 10 kg 10 kg &lt; m  100 kg 100 kg &lt; m  1000 kg m &gt; 1000 kg Figure 2.19: Evolution of the launch traffic per mass category in terms of number of objects in LEOIADC (top) and GEOIADC (bottom).</w:t>
      </w:r>
    </w:p>
    <w:p>
      <w:pPr>
        <w:pStyle w:val="DocBody"/>
      </w:pPr>
      <w:r>
        <w:rPr>
          <w:rFonts w:ascii="Times New Roman" w:hAnsi="Times New Roman" w:eastAsia="宋体"/>
          <w:sz w:val="24"/>
        </w:rPr>
        <w:t>Page 41/151</w:t>
      </w:r>
    </w:p>
    <w:p>
      <w:pPr>
        <w:pStyle w:val="DocBody"/>
      </w:pPr>
      <w:r>
        <w:rPr>
          <w:rFonts w:ascii="Times New Roman" w:hAnsi="Times New Roman" w:eastAsia="宋体"/>
          <w:sz w:val="24"/>
        </w:rPr>
        <w:t>ESA UNCLASSIFIED - Releasable to the Public 1960 1965 1970 1975 1980 1985 1990 1995 2000 2005 2010 2015 2020 2025 Launch year Number of launches Payloads carried per launch (0, 1] (1, 5] (5, 10] (10, 25] (25, 50] (50, 100] (100, 150] (a) Payloads 1960 1965 1970 1975 1980 1985 1990 1995 2000 2005 2010 2015 2020 2025 Launch year Number of launches Mission domains (0, 1] (1, 5] (5, 10] (10, 25] (25, 50] (50, 100] (100, 150] (b) Mission domains Figure 2.20: Evolution of the launch traffic.</w:t>
      </w:r>
    </w:p>
    <w:p>
      <w:pPr>
        <w:pStyle w:val="DocBody"/>
      </w:pPr>
      <w:r>
        <w:rPr>
          <w:rFonts w:ascii="Times New Roman" w:hAnsi="Times New Roman" w:eastAsia="宋体"/>
          <w:sz w:val="24"/>
        </w:rPr>
        <w:t>Page 42/151</w:t>
      </w:r>
    </w:p>
    <w:p>
      <w:pPr>
        <w:pStyle w:val="DocBody"/>
      </w:pPr>
      <w:r>
        <w:rPr>
          <w:rFonts w:ascii="Times New Roman" w:hAnsi="Times New Roman" w:eastAsia="宋体"/>
          <w:sz w:val="24"/>
        </w:rPr>
        <w:t>ESA UNCLASSIFIED - Releasable to the Public 2018 2019 2020 2021 2022 2023 2024 2025 2026 Launch epoch Time to identification after launch [months] 0.0 0.2 0.4 0.6 0.8 1.0 Constellation to total ratio Figure 2.21: Identification rate for rideshare launches.</w:t>
      </w:r>
    </w:p>
    <w:p>
      <w:pPr>
        <w:pStyle w:val="DocBody"/>
      </w:pPr>
      <w:r>
        <w:rPr>
          <w:rFonts w:ascii="Times New Roman" w:hAnsi="Times New Roman" w:eastAsia="宋体"/>
          <w:sz w:val="24"/>
        </w:rPr>
        <w:t>Unidentified Payload objects form a collision risk for active operators as potential avoidance scenarios cannot be coordinated effectively. In particular, ride-share launches can form an issue for timely identification by space surveillance networks when deployment is not coordinated with the operators on-board. Fig. 2.21 plot represents the rate of identification for Payloads on ride-share launches since 2018, applying the definition introduced above.</w:t>
      </w:r>
    </w:p>
    <w:p>
      <w:pPr>
        <w:pStyle w:val="DocBody"/>
      </w:pPr>
      <w:r>
        <w:rPr>
          <w:rFonts w:ascii="Times New Roman" w:hAnsi="Times New Roman" w:eastAsia="宋体"/>
          <w:sz w:val="24"/>
        </w:rPr>
        <w:t>The x-axis indicates the launch epoch and the y-axis lists some of the crucial timings between launch and identi- fication. Per ride-share launch event, the grey lines indicate the time interval between the epoch when 10% and 90% of the Payloads in the launch were identified with a cut-off after 12 months (some Payload might never be identified). If the 90% has not (yet) been reached, the interval is indicated with a dashed line. The location of the circular marker indicates the time when 50% of the Payloads are identified, the size is proportional to the total number of Payloads in the ride-share launch, and the colour indicates which fraction of the Payloads belong to a constellation. The latter makes a practical distinction in terms of amount of Payloads that can be coordinated with a space surveillance operators.</w:t>
      </w:r>
    </w:p>
    <w:p>
      <w:pPr>
        <w:pStyle w:val="DocBody"/>
      </w:pPr>
      <w:r>
        <w:rPr>
          <w:rFonts w:ascii="Times New Roman" w:hAnsi="Times New Roman" w:eastAsia="宋体"/>
          <w:sz w:val="24"/>
        </w:rPr>
        <w:t>Page 43/151</w:t>
      </w:r>
    </w:p>
    <w:p>
      <w:pPr>
        <w:pStyle w:val="DocBody"/>
      </w:pPr>
      <w:r>
        <w:rPr>
          <w:rFonts w:ascii="Times New Roman" w:hAnsi="Times New Roman" w:eastAsia="宋体"/>
          <w:sz w:val="24"/>
        </w:rPr>
        <w:t>ESA UNCLASSIFIED - Releasable to the Public Launch Year Perigee Height [km] Payload Launch Traffic (All)</w:t>
      </w:r>
    </w:p>
    <w:p>
      <w:pPr>
        <w:pStyle w:val="DocBody"/>
      </w:pPr>
      <w:r>
        <w:rPr>
          <w:rFonts w:ascii="Times New Roman" w:hAnsi="Times New Roman" w:eastAsia="宋体"/>
          <w:sz w:val="24"/>
        </w:rPr>
        <w:t>Mass [tonnes] (a) LEOIADC Launch Year 35200 35400 35600 35800 36000 36200 36400 36600 Perigee Height [km] Payload Launch Traffic (All)</w:t>
      </w:r>
    </w:p>
    <w:p>
      <w:pPr>
        <w:pStyle w:val="DocBody"/>
      </w:pPr>
      <w:r>
        <w:rPr>
          <w:rFonts w:ascii="Times New Roman" w:hAnsi="Times New Roman" w:eastAsia="宋体"/>
          <w:sz w:val="24"/>
        </w:rPr>
        <w:t>Mass [tonnes] (b) GEOIADC Figure 2.22: Evolution of the launch traffic: mass injected.</w:t>
      </w:r>
    </w:p>
    <w:p>
      <w:pPr>
        <w:pStyle w:val="DocBody"/>
      </w:pPr>
      <w:r>
        <w:rPr>
          <w:rFonts w:ascii="Times New Roman" w:hAnsi="Times New Roman" w:eastAsia="宋体"/>
          <w:sz w:val="24"/>
        </w:rPr>
        <w:t>Page 44/151</w:t>
      </w:r>
    </w:p>
    <w:p>
      <w:pPr>
        <w:pStyle w:val="DocBody"/>
      </w:pPr>
      <w:r>
        <w:rPr>
          <w:rFonts w:ascii="Times New Roman" w:hAnsi="Times New Roman" w:eastAsia="宋体"/>
          <w:sz w:val="24"/>
        </w:rPr>
        <w:t>ESA UNCLASSIFIED - Releasable to the Public Launch year Share of objects [%] Non-constellation Payloads Lifetime [y] (0,2] (2,5] (5,15] (15,25] (25,100] (100,500] (500, )</w:t>
      </w:r>
    </w:p>
    <w:p>
      <w:pPr>
        <w:pStyle w:val="DocBody"/>
      </w:pPr>
      <w:r>
        <w:rPr>
          <w:rFonts w:ascii="Times New Roman" w:hAnsi="Times New Roman" w:eastAsia="宋体"/>
          <w:sz w:val="24"/>
        </w:rPr>
        <w:t>(a) Payload objects not belonging to constellations Launch year Share of objects [%] Constellation Payloads Lifetime [y] (0,2] (2,5] (5,15] (15,25] (25,100] (100,500] (500, )</w:t>
      </w:r>
    </w:p>
    <w:p>
      <w:pPr>
        <w:pStyle w:val="DocBody"/>
      </w:pPr>
      <w:r>
        <w:rPr>
          <w:rFonts w:ascii="Times New Roman" w:hAnsi="Times New Roman" w:eastAsia="宋体"/>
          <w:sz w:val="24"/>
        </w:rPr>
        <w:t>(b) Payload ojects belonging to constellations Figure 2.23: Estimated lifetime for the Payload destination orbits by launch year: share of objects.</w:t>
      </w:r>
    </w:p>
    <w:p>
      <w:pPr>
        <w:pStyle w:val="DocBody"/>
      </w:pPr>
      <w:r>
        <w:rPr>
          <w:rFonts w:ascii="Times New Roman" w:hAnsi="Times New Roman" w:eastAsia="宋体"/>
          <w:sz w:val="24"/>
        </w:rPr>
        <w:t>Page 45/151</w:t>
      </w:r>
    </w:p>
    <w:p>
      <w:pPr>
        <w:pStyle w:val="DocBody"/>
      </w:pPr>
      <w:r>
        <w:rPr>
          <w:rFonts w:ascii="Times New Roman" w:hAnsi="Times New Roman" w:eastAsia="宋体"/>
          <w:sz w:val="24"/>
        </w:rPr>
        <w:t>ESA UNCLASSIFIED - Releasable to the Public Launch year Share of mass [%] Non-constellation Payloads Lifetime [y] (0,2] (2,5] (5,15] (15,25] (25,100] (100,500] (500, )</w:t>
      </w:r>
    </w:p>
    <w:p>
      <w:pPr>
        <w:pStyle w:val="DocBody"/>
      </w:pPr>
      <w:r>
        <w:rPr>
          <w:rFonts w:ascii="Times New Roman" w:hAnsi="Times New Roman" w:eastAsia="宋体"/>
          <w:sz w:val="24"/>
        </w:rPr>
        <w:t>(a) Payload objects not belonging to constellations Launch year Share of mass [%] Constellation Payloads Lifetime [y] (0,2] (2,5] (5,15] (15,25] (25,100] (100,500] (500, )</w:t>
      </w:r>
    </w:p>
    <w:p>
      <w:pPr>
        <w:pStyle w:val="DocBody"/>
      </w:pPr>
      <w:r>
        <w:rPr>
          <w:rFonts w:ascii="Times New Roman" w:hAnsi="Times New Roman" w:eastAsia="宋体"/>
          <w:sz w:val="24"/>
        </w:rPr>
        <w:t>(b) Payload objects belonging to constellations Figure 2.24: Estimated lifetime for the Payload destination orbits by launch year: share of mass.</w:t>
      </w:r>
    </w:p>
    <w:p>
      <w:pPr>
        <w:pStyle w:val="DocBody"/>
      </w:pPr>
      <w:r>
        <w:rPr>
          <w:rFonts w:ascii="Times New Roman" w:hAnsi="Times New Roman" w:eastAsia="宋体"/>
          <w:sz w:val="24"/>
        </w:rPr>
        <w:t>Page 46/151</w:t>
      </w:r>
    </w:p>
    <w:p>
      <w:pPr>
        <w:pStyle w:val="DocBody"/>
      </w:pPr>
      <w:r>
        <w:rPr>
          <w:rFonts w:ascii="Times New Roman" w:hAnsi="Times New Roman" w:eastAsia="宋体"/>
          <w:sz w:val="24"/>
        </w:rPr>
        <w:t>ESA UNCLASSIFIED - Releasable to the Public 2.6. Constellations in the LEO protected region Year 10000 12000 14000 Object Count [-] Constellation Objects Non-constellation Constellation (a) Evolution of number of objects.</w:t>
      </w:r>
    </w:p>
    <w:p>
      <w:pPr>
        <w:pStyle w:val="DocBody"/>
      </w:pPr>
      <w:r>
        <w:rPr>
          <w:rFonts w:ascii="Times New Roman" w:hAnsi="Times New Roman" w:eastAsia="宋体"/>
          <w:sz w:val="24"/>
        </w:rPr>
        <w:t>Year Object Mass [tonnes] Constellation Objects Non-constellation Constellation (b) Evolution of mass.</w:t>
      </w:r>
    </w:p>
    <w:p>
      <w:pPr>
        <w:pStyle w:val="DocBody"/>
      </w:pPr>
      <w:r>
        <w:rPr>
          <w:rFonts w:ascii="Times New Roman" w:hAnsi="Times New Roman" w:eastAsia="宋体"/>
          <w:sz w:val="24"/>
        </w:rPr>
        <w:t>Year 50000 100000 150000 200000 250000 Object Area [m2] Constellation Objects Non-constellation Constellation (c) Evolution of area.</w:t>
      </w:r>
    </w:p>
    <w:p>
      <w:pPr>
        <w:pStyle w:val="DocBody"/>
      </w:pPr>
      <w:r>
        <w:rPr>
          <w:rFonts w:ascii="Times New Roman" w:hAnsi="Times New Roman" w:eastAsia="宋体"/>
          <w:sz w:val="24"/>
        </w:rPr>
        <w:t>Figure 2.25: Evolution of number of objects, mass, and area in LEOIADC distinguishing constellations and non- constellation payloads.</w:t>
      </w:r>
    </w:p>
    <w:p>
      <w:pPr>
        <w:pStyle w:val="DocBody"/>
      </w:pPr>
      <w:r>
        <w:rPr>
          <w:rFonts w:ascii="Times New Roman" w:hAnsi="Times New Roman" w:eastAsia="宋体"/>
          <w:sz w:val="24"/>
        </w:rPr>
        <w:t>Page 47/151</w:t>
      </w:r>
    </w:p>
    <w:p>
      <w:pPr>
        <w:pStyle w:val="DocBody"/>
      </w:pPr>
      <w:r>
        <w:rPr>
          <w:rFonts w:ascii="Times New Roman" w:hAnsi="Times New Roman" w:eastAsia="宋体"/>
          <w:sz w:val="24"/>
        </w:rPr>
        <w:t>ESA UNCLASSIFIED - Releasable to the Public 2.7. Active payloads in the LEO protected region 250 450 650 850 1050 1250 1450 1650 1850 h [km] Number of active payloads Figure 2.26: Distribution of active payloads in LEO by year and mean altitude.</w:t>
      </w:r>
    </w:p>
    <w:p>
      <w:pPr>
        <w:pStyle w:val="DocBody"/>
      </w:pPr>
      <w:r>
        <w:rPr>
          <w:rFonts w:ascii="Times New Roman" w:hAnsi="Times New Roman" w:eastAsia="宋体"/>
          <w:sz w:val="24"/>
        </w:rPr>
        <w:t>850 1050 1250 1450 1650 1850 h [km] Number of active payloads Figure 2.27: Distribution of active payloads not belonging to constellations in LEO by year and mean altitude.</w:t>
      </w:r>
    </w:p>
    <w:p>
      <w:pPr>
        <w:pStyle w:val="DocBody"/>
      </w:pPr>
      <w:r>
        <w:rPr>
          <w:rFonts w:ascii="Times New Roman" w:hAnsi="Times New Roman" w:eastAsia="宋体"/>
          <w:sz w:val="24"/>
        </w:rPr>
        <w:t>Page 48/151</w:t>
      </w:r>
    </w:p>
    <w:p>
      <w:pPr>
        <w:pStyle w:val="DocBody"/>
      </w:pPr>
      <w:r>
        <w:rPr>
          <w:rFonts w:ascii="Times New Roman" w:hAnsi="Times New Roman" w:eastAsia="宋体"/>
          <w:sz w:val="24"/>
        </w:rPr>
        <w:t>ESA UNCLASSIFIED - Releasable to the Public 250 450 650 850 1050 1250 1450 1650 1850 h [km] Number of active payloads Figure 2.28: Distribution of active payloads belonging to constellations in LEO by year and mean altitude.</w:t>
      </w:r>
    </w:p>
    <w:p>
      <w:pPr>
        <w:pStyle w:val="DocBody"/>
      </w:pPr>
      <w:r>
        <w:rPr>
          <w:rFonts w:ascii="Times New Roman" w:hAnsi="Times New Roman" w:eastAsia="宋体"/>
          <w:sz w:val="24"/>
        </w:rPr>
        <w:t>Perigee altitude [km] Number of objects Manoeuvrable payloads Active non-manoeuvrable payloads Inactive payloads Other objects Figure 2.29: Number of manoeuvrable and active objects as a function of the perigee altitude.</w:t>
      </w:r>
    </w:p>
    <w:p>
      <w:pPr>
        <w:pStyle w:val="DocBody"/>
      </w:pPr>
      <w:r>
        <w:rPr>
          <w:rFonts w:ascii="Times New Roman" w:hAnsi="Times New Roman" w:eastAsia="宋体"/>
          <w:sz w:val="24"/>
        </w:rPr>
        <w:t>Page 49/151</w:t>
      </w:r>
    </w:p>
    <w:p>
      <w:pPr>
        <w:pStyle w:val="DocBody"/>
      </w:pPr>
      <w:r>
        <w:rPr>
          <w:rFonts w:ascii="Times New Roman" w:hAnsi="Times New Roman" w:eastAsia="宋体"/>
          <w:sz w:val="24"/>
        </w:rPr>
        <w:t>ESA UNCLASSIFIED - Releasable to the Public Altitude [km] 0.0 0.2 0.4 0.6 0.8 1.0 Ratio Active payloads to catalogued objects: destination orbits Active payloads Constellations Figure 2.30: Ratio of active and constellation objects over the total number of catalogued objects.</w:t>
      </w:r>
    </w:p>
    <w:p>
      <w:pPr>
        <w:pStyle w:val="DocBody"/>
      </w:pPr>
      <w:r>
        <w:rPr>
          <w:rFonts w:ascii="Times New Roman" w:hAnsi="Times New Roman" w:eastAsia="宋体"/>
          <w:sz w:val="24"/>
        </w:rPr>
        <w:t>Mass [kg] Mean active payload properties Area [m2] 0.00 0.02 0.04 A/M [m2/kg] No constellations Constellations Combined Figure 2.31: Payload parameters for active payloads in LEO over time.</w:t>
      </w:r>
    </w:p>
    <w:p>
      <w:pPr>
        <w:pStyle w:val="DocBody"/>
      </w:pPr>
      <w:r>
        <w:rPr>
          <w:rFonts w:ascii="Times New Roman" w:hAnsi="Times New Roman" w:eastAsia="宋体"/>
          <w:sz w:val="24"/>
        </w:rPr>
        <w:t>Page 50/151</w:t>
      </w:r>
    </w:p>
    <w:p>
      <w:pPr>
        <w:pStyle w:val="DocBody"/>
      </w:pPr>
      <w:r>
        <w:rPr>
          <w:rFonts w:ascii="Times New Roman" w:hAnsi="Times New Roman" w:eastAsia="宋体"/>
          <w:sz w:val="24"/>
        </w:rPr>
        <w:t>ESA UNCLASSIFIED - Releasable to the Public 2.8. New Catalogued Objects in the Space Environment Year Object Count [-] Newly Added Objects UI RM RD RF RB PM PD PF PL (a) Evolution of newly added object by count.</w:t>
      </w:r>
    </w:p>
    <w:p>
      <w:pPr>
        <w:pStyle w:val="DocBody"/>
      </w:pPr>
      <w:r>
        <w:rPr>
          <w:rFonts w:ascii="Times New Roman" w:hAnsi="Times New Roman" w:eastAsia="宋体"/>
          <w:sz w:val="24"/>
        </w:rPr>
        <w:t>Year Object Mass [tonnes] Newly Added Objects RM RD RF RB PM PD PF PL (b) Evolution of newly added mass.</w:t>
      </w:r>
    </w:p>
    <w:p>
      <w:pPr>
        <w:pStyle w:val="DocBody"/>
      </w:pPr>
      <w:r>
        <w:rPr>
          <w:rFonts w:ascii="Times New Roman" w:hAnsi="Times New Roman" w:eastAsia="宋体"/>
          <w:sz w:val="24"/>
        </w:rPr>
        <w:t>Year 20000 40000 60000 80000 100000 120000 Object Area [m2] Newly Added Objects RM RD RF RB PM PD PF PL (c) Evolution of newly added area.</w:t>
      </w:r>
    </w:p>
    <w:p>
      <w:pPr>
        <w:pStyle w:val="DocBody"/>
      </w:pPr>
      <w:r>
        <w:rPr>
          <w:rFonts w:ascii="Times New Roman" w:hAnsi="Times New Roman" w:eastAsia="宋体"/>
          <w:sz w:val="24"/>
        </w:rPr>
        <w:t>Figure 2.32: Evolution of newly added objects in each year by object type.</w:t>
      </w:r>
    </w:p>
    <w:p>
      <w:pPr>
        <w:pStyle w:val="DocBody"/>
      </w:pPr>
      <w:r>
        <w:rPr>
          <w:rFonts w:ascii="Times New Roman" w:hAnsi="Times New Roman" w:eastAsia="宋体"/>
          <w:sz w:val="24"/>
        </w:rPr>
        <w:t>Page 51/151</w:t>
      </w:r>
    </w:p>
    <w:p>
      <w:pPr>
        <w:pStyle w:val="DocBody"/>
      </w:pPr>
      <w:r>
        <w:rPr>
          <w:rFonts w:ascii="Times New Roman" w:hAnsi="Times New Roman" w:eastAsia="宋体"/>
          <w:sz w:val="24"/>
        </w:rPr>
        <w:t>ESA UNCLASSIFIED - Releasable to the Public Year Object Count [-] Newly Added Objects N/A Other HEO MGO LMO MEO NSO GTO EGO GEO LEO (a) Evolution of newly added object by count.</w:t>
      </w:r>
    </w:p>
    <w:p>
      <w:pPr>
        <w:pStyle w:val="DocBody"/>
      </w:pPr>
      <w:r>
        <w:rPr>
          <w:rFonts w:ascii="Times New Roman" w:hAnsi="Times New Roman" w:eastAsia="宋体"/>
          <w:sz w:val="24"/>
        </w:rPr>
        <w:t>Year Object Mass [tonnes] Newly Added Objects N/A Other HEO MGO LMO MEO NSO GTO EGO GEO LEO (b) Evolution of newly added mass.</w:t>
      </w:r>
    </w:p>
    <w:p>
      <w:pPr>
        <w:pStyle w:val="DocBody"/>
      </w:pPr>
      <w:r>
        <w:rPr>
          <w:rFonts w:ascii="Times New Roman" w:hAnsi="Times New Roman" w:eastAsia="宋体"/>
          <w:sz w:val="24"/>
        </w:rPr>
        <w:t>Year 20000 40000 60000 80000 100000 120000 Object Area [m2] Newly Added Objects N/A Other HEO MGO LMO MEO NSO GTO EGO GEO LEO (c) Evolution of newly added area.</w:t>
      </w:r>
    </w:p>
    <w:p>
      <w:pPr>
        <w:pStyle w:val="DocBody"/>
      </w:pPr>
      <w:r>
        <w:rPr>
          <w:rFonts w:ascii="Times New Roman" w:hAnsi="Times New Roman" w:eastAsia="宋体"/>
          <w:sz w:val="24"/>
        </w:rPr>
        <w:t>Figure 2.33: Evolution of newly added objects in each year by orbit type.</w:t>
      </w:r>
    </w:p>
    <w:p>
      <w:pPr>
        <w:pStyle w:val="DocBody"/>
      </w:pPr>
      <w:r>
        <w:rPr>
          <w:rFonts w:ascii="Times New Roman" w:hAnsi="Times New Roman" w:eastAsia="宋体"/>
          <w:sz w:val="24"/>
        </w:rPr>
        <w:t>Page 52/151</w:t>
      </w:r>
    </w:p>
    <w:p>
      <w:pPr>
        <w:pStyle w:val="DocBody"/>
      </w:pPr>
      <w:r>
        <w:rPr>
          <w:rFonts w:ascii="Times New Roman" w:hAnsi="Times New Roman" w:eastAsia="宋体"/>
          <w:sz w:val="24"/>
        </w:rPr>
        <w:t>ESA UNCLASSIFIED - Releasable to the Public 2.9. Objects Removed from the Space Environment Year Object Count [-] Re-entering Objects RM RD RF RB PM PD PF PL (a) Evolution of re-entered numbers.</w:t>
      </w:r>
    </w:p>
    <w:p>
      <w:pPr>
        <w:pStyle w:val="DocBody"/>
      </w:pPr>
      <w:r>
        <w:rPr>
          <w:rFonts w:ascii="Times New Roman" w:hAnsi="Times New Roman" w:eastAsia="宋体"/>
          <w:sz w:val="24"/>
        </w:rPr>
        <w:t>Year Object Mass [tonnes] Re-entering Objects RM RD RF RB PM PD PF PL (b) Evolution of re-entered mass.</w:t>
      </w:r>
    </w:p>
    <w:p>
      <w:pPr>
        <w:pStyle w:val="DocBody"/>
      </w:pPr>
      <w:r>
        <w:rPr>
          <w:rFonts w:ascii="Times New Roman" w:hAnsi="Times New Roman" w:eastAsia="宋体"/>
          <w:sz w:val="24"/>
        </w:rPr>
        <w:t>Year 10000 12000 Object Area [m2] Re-entering Objects RM RD RF RB PM PD PF PL (c) Evolution of re-entered area.</w:t>
      </w:r>
    </w:p>
    <w:p>
      <w:pPr>
        <w:pStyle w:val="DocBody"/>
      </w:pPr>
      <w:r>
        <w:rPr>
          <w:rFonts w:ascii="Times New Roman" w:hAnsi="Times New Roman" w:eastAsia="宋体"/>
          <w:sz w:val="24"/>
        </w:rPr>
        <w:t>Figure 2.34: Evolution of re-entering objects in each year by object type without human spaceflight.</w:t>
      </w:r>
    </w:p>
    <w:p>
      <w:pPr>
        <w:pStyle w:val="DocBody"/>
      </w:pPr>
      <w:r>
        <w:rPr>
          <w:rFonts w:ascii="Times New Roman" w:hAnsi="Times New Roman" w:eastAsia="宋体"/>
          <w:sz w:val="24"/>
        </w:rPr>
        <w:t>Page 53/151</w:t>
      </w:r>
    </w:p>
    <w:p>
      <w:pPr>
        <w:pStyle w:val="DocBody"/>
      </w:pPr>
      <w:r>
        <w:rPr>
          <w:rFonts w:ascii="Times New Roman" w:hAnsi="Times New Roman" w:eastAsia="宋体"/>
          <w:sz w:val="24"/>
        </w:rPr>
        <w:t>ESA UNCLASSIFIED - Releasable to the Public Year Object Count [-] Re-entering Objects Other HEO MGO LMO MEO GTO LEO (a) Evolution of re-entered numbers.</w:t>
      </w:r>
    </w:p>
    <w:p>
      <w:pPr>
        <w:pStyle w:val="DocBody"/>
      </w:pPr>
      <w:r>
        <w:rPr>
          <w:rFonts w:ascii="Times New Roman" w:hAnsi="Times New Roman" w:eastAsia="宋体"/>
          <w:sz w:val="24"/>
        </w:rPr>
        <w:t>Year Object Mass [tonnes] Re-entering Objects Other HEO LMO MEO GTO LEO (b) Evolution of re-entered mass.</w:t>
      </w:r>
    </w:p>
    <w:p>
      <w:pPr>
        <w:pStyle w:val="DocBody"/>
      </w:pPr>
      <w:r>
        <w:rPr>
          <w:rFonts w:ascii="Times New Roman" w:hAnsi="Times New Roman" w:eastAsia="宋体"/>
          <w:sz w:val="24"/>
        </w:rPr>
        <w:t>Year 10000 12000 Object Area [m2] Re-entering Objects Other HEO LMO MEO GTO LEO (c) Evolution of re-entered area.</w:t>
      </w:r>
    </w:p>
    <w:p>
      <w:pPr>
        <w:pStyle w:val="DocBody"/>
      </w:pPr>
      <w:r>
        <w:rPr>
          <w:rFonts w:ascii="Times New Roman" w:hAnsi="Times New Roman" w:eastAsia="宋体"/>
          <w:sz w:val="24"/>
        </w:rPr>
        <w:t>Figure 2.35: Evolution of re-entering objects in each year by orbit type without human spaceflight.</w:t>
      </w:r>
    </w:p>
    <w:p>
      <w:pPr>
        <w:pStyle w:val="DocBody"/>
      </w:pPr>
      <w:r>
        <w:rPr>
          <w:rFonts w:ascii="Times New Roman" w:hAnsi="Times New Roman" w:eastAsia="宋体"/>
          <w:sz w:val="24"/>
        </w:rPr>
        <w:t>Page 54/151</w:t>
      </w:r>
    </w:p>
    <w:p>
      <w:pPr>
        <w:pStyle w:val="DocBody"/>
      </w:pPr>
      <w:r>
        <w:rPr>
          <w:rFonts w:ascii="Times New Roman" w:hAnsi="Times New Roman" w:eastAsia="宋体"/>
          <w:sz w:val="24"/>
        </w:rPr>
        <w:t>ESA UNCLASSIFIED - Releasable to the Public Year Object Count [-] Re-entering Objects PM PD PL (a) Evolution of re-entered numbers.</w:t>
      </w:r>
    </w:p>
    <w:p>
      <w:pPr>
        <w:pStyle w:val="DocBody"/>
      </w:pPr>
      <w:r>
        <w:rPr>
          <w:rFonts w:ascii="Times New Roman" w:hAnsi="Times New Roman" w:eastAsia="宋体"/>
          <w:sz w:val="24"/>
        </w:rPr>
        <w:t>Year Object Mass [tonnes] Re-entering Objects PM PL (b) Evolution of re-entered mass.</w:t>
      </w:r>
    </w:p>
    <w:p>
      <w:pPr>
        <w:pStyle w:val="DocBody"/>
      </w:pPr>
      <w:r>
        <w:rPr>
          <w:rFonts w:ascii="Times New Roman" w:hAnsi="Times New Roman" w:eastAsia="宋体"/>
          <w:sz w:val="24"/>
        </w:rPr>
        <w:t>Year 10000 Object Area [m2] Re-entering Objects PM PD PL (c) Evolution of re-entered area.</w:t>
      </w:r>
    </w:p>
    <w:p>
      <w:pPr>
        <w:pStyle w:val="DocBody"/>
      </w:pPr>
      <w:r>
        <w:rPr>
          <w:rFonts w:ascii="Times New Roman" w:hAnsi="Times New Roman" w:eastAsia="宋体"/>
          <w:sz w:val="24"/>
        </w:rPr>
        <w:t>Figure 2.36: Evolution of re-entering human spaceflight objects in each year by object type.</w:t>
      </w:r>
    </w:p>
    <w:p>
      <w:pPr>
        <w:pStyle w:val="DocBody"/>
      </w:pPr>
      <w:r>
        <w:rPr>
          <w:rFonts w:ascii="Times New Roman" w:hAnsi="Times New Roman" w:eastAsia="宋体"/>
          <w:sz w:val="24"/>
        </w:rPr>
        <w:t>Page 55/151</w:t>
      </w:r>
    </w:p>
    <w:p>
      <w:pPr>
        <w:pStyle w:val="DocBody"/>
      </w:pPr>
      <w:r>
        <w:rPr>
          <w:rFonts w:ascii="Times New Roman" w:hAnsi="Times New Roman" w:eastAsia="宋体"/>
          <w:sz w:val="24"/>
        </w:rPr>
        <w:t>ESA UNCLASSIFIED - Releasable to the Public Year Object Count [-] Re-entering Objects Other LMO LEO (a) Evolution of re-entered numbers.</w:t>
      </w:r>
    </w:p>
    <w:p>
      <w:pPr>
        <w:pStyle w:val="DocBody"/>
      </w:pPr>
      <w:r>
        <w:rPr>
          <w:rFonts w:ascii="Times New Roman" w:hAnsi="Times New Roman" w:eastAsia="宋体"/>
          <w:sz w:val="24"/>
        </w:rPr>
        <w:t>Year Object Mass [tonnes] Re-entering Objects Other LMO LEO (b) Evolution of re-entered mass.</w:t>
      </w:r>
    </w:p>
    <w:p>
      <w:pPr>
        <w:pStyle w:val="DocBody"/>
      </w:pPr>
      <w:r>
        <w:rPr>
          <w:rFonts w:ascii="Times New Roman" w:hAnsi="Times New Roman" w:eastAsia="宋体"/>
          <w:sz w:val="24"/>
        </w:rPr>
        <w:t>Year 10000 Object Area [m2] Re-entering Objects Other LMO LEO (c) Evolution of re-entered area.</w:t>
      </w:r>
    </w:p>
    <w:p>
      <w:pPr>
        <w:pStyle w:val="DocBody"/>
      </w:pPr>
      <w:r>
        <w:rPr>
          <w:rFonts w:ascii="Times New Roman" w:hAnsi="Times New Roman" w:eastAsia="宋体"/>
          <w:sz w:val="24"/>
        </w:rPr>
        <w:t>Figure 2.37: Evolution of re-entering human spaceflight objects by orbit type.</w:t>
      </w:r>
    </w:p>
    <w:p>
      <w:pPr>
        <w:pStyle w:val="DocBody"/>
      </w:pPr>
      <w:r>
        <w:rPr>
          <w:rFonts w:ascii="Times New Roman" w:hAnsi="Times New Roman" w:eastAsia="宋体"/>
          <w:sz w:val="24"/>
        </w:rPr>
        <w:t>Page 56/151</w:t>
      </w:r>
    </w:p>
    <w:p>
      <w:pPr>
        <w:pStyle w:val="DocBody"/>
      </w:pPr>
      <w:r>
        <w:rPr>
          <w:rFonts w:ascii="Times New Roman" w:hAnsi="Times New Roman" w:eastAsia="宋体"/>
          <w:sz w:val="24"/>
        </w:rPr>
        <w:t>ESA UNCLASSIFIED - Releasable to the Public 1990 1995 2000 2005 2010 2015 2020 2025 Re-entry year Number of objects (a) Payloads: Count 1990 1995 2000 2005 2010 2015 2020 2025 Re-entry year Total mass [t] Controlled Uncontrolled (b) Payloads: Mass 1990 1995 2000 2005 2010 2015 2020 2025 Re-entry year Number of objects (c) Rocket Bodies: Count 1990 1995 2000 2005 2010 2015 2020 2025 Re-entry year Total mass [t] Controlled Uncontrolled (d) Rocket Bodies: Mass Figure 2.38: Controlled and uncontrolled re-entries for Payloads (top) and Rocket Bodies (bottom).</w:t>
      </w:r>
    </w:p>
    <w:p>
      <w:pPr>
        <w:pStyle w:val="DocBody"/>
      </w:pPr>
      <w:r>
        <w:rPr>
          <w:rFonts w:ascii="Times New Roman" w:hAnsi="Times New Roman" w:eastAsia="宋体"/>
          <w:sz w:val="24"/>
        </w:rPr>
        <w:t>Page 57/151</w:t>
      </w:r>
    </w:p>
    <w:p>
      <w:pPr>
        <w:pStyle w:val="DocBody"/>
      </w:pPr>
      <w:r>
        <w:rPr>
          <w:rFonts w:ascii="Times New Roman" w:hAnsi="Times New Roman" w:eastAsia="宋体"/>
          <w:sz w:val="24"/>
        </w:rPr>
        <w:t>ESA UNCLASSIFIED - Releasable to the Public 2.10. On-ground Casualty Risk During atmospheric re-entry, space objects typically fragment and ablate due to intense aerothermal and mechan- ical loads, yet some resulting fragments can survive and impact the Earth’s surface. To quantify the associated risk to humans on ground, the re-entry casualty risk can be evaluated by considering all impacting fragments with sufficient kinetic energy to cause severe injury (≥15 J) [15]. While this constitutes a safety concern to be mitigated against during the design phase of space missions, in which compliance with a 1-in-10,000 expected number of casualties per re-entry is a widely adopted threshold at individual space object level [3, 15, 2], the aggregated re-entry casualty risk is of interest in view of the large number of expected re-entries in future, even when space objects comply with the individual risk requirements.</w:t>
      </w:r>
    </w:p>
    <w:p>
      <w:pPr>
        <w:pStyle w:val="DocBody"/>
      </w:pPr>
      <w:r>
        <w:rPr>
          <w:rFonts w:ascii="Times New Roman" w:hAnsi="Times New Roman" w:eastAsia="宋体"/>
          <w:sz w:val="24"/>
        </w:rPr>
        <w:t>The casualty risk is generally calculated for the re-entry of a given space object based on: the number and area of surviving fragments; the predicted impact location of the fragments; and the population density at the impact epoch and location.</w:t>
      </w:r>
    </w:p>
    <w:p>
      <w:pPr>
        <w:pStyle w:val="DocBody"/>
      </w:pPr>
      <w:r>
        <w:rPr>
          <w:rFonts w:ascii="Times New Roman" w:hAnsi="Times New Roman" w:eastAsia="宋体"/>
          <w:sz w:val="24"/>
        </w:rPr>
        <w:t>The casualty area may be estimated using empirically derived relationships that correlate casualty area with re- entry mass. Two such relationships were employed: the first is a simulation-informed estimate based on statistical fits to historical re-entry analyses [16], valid for uncontrolled circular re-entries; and the second an empirical esti- mate inferred from recovered debris found on ground. Additional information on the recovered debris can be found in ESA’s Re-entry Prediction Service [17].</w:t>
      </w:r>
    </w:p>
    <w:p>
      <w:pPr>
        <w:pStyle w:val="DocBody"/>
      </w:pPr>
      <w:r>
        <w:rPr>
          <w:rFonts w:ascii="Times New Roman" w:hAnsi="Times New Roman" w:eastAsia="宋体"/>
          <w:sz w:val="24"/>
        </w:rPr>
        <w:t>For uncontrolled re-entries from near-circular orbits, the fragment impact location may then be approximated us- ing an analytical latitude-dependent probability distribution primarily constrained by orbital inclination [16], and extended to incorporate the effects of J2 oblateness [18]. This can be combined with population density data to obtain an estimate of the casualty risk, for which the latest median United Nations predictions for the population growth (Rev. 2024) were used.</w:t>
      </w:r>
    </w:p>
    <w:p>
      <w:pPr>
        <w:pStyle w:val="DocBody"/>
      </w:pPr>
      <w:r>
        <w:rPr>
          <w:rFonts w:ascii="Times New Roman" w:hAnsi="Times New Roman" w:eastAsia="宋体"/>
          <w:sz w:val="24"/>
        </w:rPr>
        <w:t>Applying this methodology to the re-entering population, the evolution of the annual estimated casualty risk from uncontrolled re-entries is shown in Figure 2.39 for payloads and rocket bodies. Objects that perform controlled (direct) re-entry, are in eccentric orbits (&gt; 0.1), or are related to human spaceflight, are excluded. Details on how the end-of-life behaviour is derived, which may be used to determine whether the re-entry was uncontrolled, are provided in Section 6.1.</w:t>
      </w:r>
    </w:p>
    <w:p>
      <w:pPr>
        <w:pStyle w:val="DocBody"/>
      </w:pPr>
      <w:r>
        <w:rPr>
          <w:rFonts w:ascii="Times New Roman" w:hAnsi="Times New Roman" w:eastAsia="宋体"/>
          <w:sz w:val="24"/>
        </w:rPr>
        <w:t>Page 58/151</w:t>
      </w:r>
    </w:p>
    <w:p>
      <w:pPr>
        <w:pStyle w:val="DocBody"/>
      </w:pPr>
      <w:r>
        <w:rPr>
          <w:rFonts w:ascii="Times New Roman" w:hAnsi="Times New Roman" w:eastAsia="宋体"/>
          <w:sz w:val="24"/>
        </w:rPr>
        <w:t>ESA UNCLASSIFIED - Releasable to the Public Re-entry year 0.00 0.02 0.04 0.06 0.08 0.10 Yearly expected casualties Estimated casualty risk on-ground from uncontrolled re-entries Re-entry simulation-informed estimate Recovered fragments-based empirical estimate (a) Combined contributions from payloads and rocket bodies.</w:t>
      </w:r>
    </w:p>
    <w:p>
      <w:pPr>
        <w:pStyle w:val="DocBody"/>
      </w:pPr>
      <w:r>
        <w:rPr>
          <w:rFonts w:ascii="Times New Roman" w:hAnsi="Times New Roman" w:eastAsia="宋体"/>
          <w:sz w:val="24"/>
        </w:rPr>
        <w:t>Re-entry year 0.00 0.01 0.02 0.03 0.04 0.05 0.06 Yearly expected casualties Estimated casualty risk on-ground from uncontrolled re-entries Payloads Re-entry simulation-informed estimate Rocket Bodies Re-entry simulation-informed estimate Payloads Recovered fragments-based empirical estimate Rocket Bodies Recovered fragments-based empirical estimate (b) Contributions from payloads and rocket bodies.</w:t>
      </w:r>
    </w:p>
    <w:p>
      <w:pPr>
        <w:pStyle w:val="DocBody"/>
      </w:pPr>
      <w:r>
        <w:rPr>
          <w:rFonts w:ascii="Times New Roman" w:hAnsi="Times New Roman" w:eastAsia="宋体"/>
          <w:sz w:val="24"/>
        </w:rPr>
        <w:t>Figure 2.39: Evolution of the estimated on-ground casualty risk from uncontrolled re-entries.</w:t>
      </w:r>
    </w:p>
    <w:p>
      <w:pPr>
        <w:pStyle w:val="DocBody"/>
      </w:pPr>
      <w:r>
        <w:rPr>
          <w:rFonts w:ascii="Times New Roman" w:hAnsi="Times New Roman" w:eastAsia="宋体"/>
          <w:sz w:val="24"/>
        </w:rPr>
        <w:t>Page 59/151</w:t>
      </w:r>
    </w:p>
    <w:p>
      <w:pPr>
        <w:pStyle w:val="DocBody"/>
      </w:pPr>
      <w:r>
        <w:rPr>
          <w:rFonts w:ascii="Times New Roman" w:hAnsi="Times New Roman" w:eastAsia="宋体"/>
          <w:sz w:val="24"/>
        </w:rPr>
        <w:t>ESA UNCLASSIFIED - Releasable to the Public 2.11. Nuclear Power Sources Nuclear power sources (NPS) have been used in outer space as an efficient way of producing larger quantities of energy or heat, commonly implemented as small fission reactors or radioisotope thermoelectric generators. Since early during the space age such power systems were used in Earth orbit but they have been largely phased out after the 1980s due to safety concerns. The notable exception is the use of NPSs for interplanetary Payloads and planetary exploration.</w:t>
      </w:r>
    </w:p>
    <w:p>
      <w:pPr>
        <w:pStyle w:val="DocBody"/>
      </w:pPr>
      <w:r>
        <w:rPr>
          <w:rFonts w:ascii="Times New Roman" w:hAnsi="Times New Roman" w:eastAsia="宋体"/>
          <w:sz w:val="24"/>
        </w:rPr>
        <w:t>The safety concerns related to NPSs in Earth orbit related to risks implied when they would re-enter the atmosphere and break-up. To mitigate this risk, the reactor cores were generally injected into orbits with long orbital lifetimes after the end of operations of the Payload. There are 88 objects related to NPSs known to have entered Earth orbit, out of which 9 are asserted but not catalogued. A total of 20 out of those 88 have re-entered, and the orbital distribution on the remainder is presented in Figure 2.40.</w:t>
      </w:r>
    </w:p>
    <w:p>
      <w:pPr>
        <w:pStyle w:val="DocBody"/>
      </w:pPr>
      <w:r>
        <w:rPr>
          <w:rFonts w:ascii="Times New Roman" w:hAnsi="Times New Roman" w:eastAsia="宋体"/>
          <w:sz w:val="24"/>
        </w:rPr>
        <w:t>Mean altitude [km] Lifetime [years] Inclination [deg] Figure 2.40: Distribution of space objects with nuclear power sources with mean altitude, orbital lifetime, and inclination.</w:t>
      </w:r>
    </w:p>
    <w:p>
      <w:pPr>
        <w:pStyle w:val="DocBody"/>
      </w:pPr>
      <w:r>
        <w:rPr>
          <w:rFonts w:ascii="Times New Roman" w:hAnsi="Times New Roman" w:eastAsia="宋体"/>
          <w:sz w:val="24"/>
        </w:rPr>
        <w:t>Page 60/151</w:t>
      </w:r>
    </w:p>
    <w:p>
      <w:pPr>
        <w:pStyle w:val="DocBody"/>
      </w:pPr>
      <w:r>
        <w:rPr>
          <w:rFonts w:ascii="Times New Roman" w:hAnsi="Times New Roman" w:eastAsia="宋体"/>
          <w:sz w:val="24"/>
        </w:rPr>
        <w:t>ESA UNCLASSIFIED - Releasable to the Public 2.12. Registration of Objects Launched in Outer Space The United Nations Register of Objects Launched into Outer Space [19] and its implementation was established as consequence of the Convention on Registration of Objects Launched into Outer Space [20]. State parties to the treaty are required to establish their own national registries and provide information on their space objects, which in turn creates transparency on space operations. The increasing amount of launching states of time serves as a reminder for the need to coordinate space debris mitigation measures across all those actors, as one failure to do so will affect many others. Notwithstanding the increase in actors, positive trends are the retro-active registration of objects and the reducing time between launch and registration.</w:t>
      </w:r>
    </w:p>
    <w:p>
      <w:pPr>
        <w:pStyle w:val="DocBody"/>
      </w:pPr>
      <w:r>
        <w:rPr>
          <w:rFonts w:ascii="Times New Roman" w:hAnsi="Times New Roman" w:eastAsia="宋体"/>
          <w:sz w:val="24"/>
        </w:rPr>
        <w:t>Year Cumulative number of launching states Total Amateur Civil Commercial Defense Figure 2.41: Launching states with at least one registered space object over time by category.</w:t>
      </w:r>
    </w:p>
    <w:p>
      <w:pPr>
        <w:pStyle w:val="DocBody"/>
      </w:pPr>
      <w:r>
        <w:rPr>
          <w:rFonts w:ascii="Times New Roman" w:hAnsi="Times New Roman" w:eastAsia="宋体"/>
          <w:sz w:val="24"/>
        </w:rPr>
        <w:t>Page 61/151</w:t>
      </w:r>
    </w:p>
    <w:p>
      <w:pPr>
        <w:pStyle w:val="DocBody"/>
      </w:pPr>
      <w:r>
        <w:rPr>
          <w:rFonts w:ascii="Times New Roman" w:hAnsi="Times New Roman" w:eastAsia="宋体"/>
          <w:sz w:val="24"/>
        </w:rPr>
        <w:t>ESA UNCLASSIFIED - Releasable to the Public Launch year Share of registered Payloads [%] Figure 2.42: Share of registered payloads over the total of launched payloads by launch year.</w:t>
      </w:r>
    </w:p>
    <w:p>
      <w:pPr>
        <w:pStyle w:val="DocBody"/>
      </w:pPr>
      <w:r>
        <w:rPr>
          <w:rFonts w:ascii="Times New Roman" w:hAnsi="Times New Roman" w:eastAsia="宋体"/>
          <w:sz w:val="24"/>
        </w:rPr>
        <w:t>Launch year Average registration delay [years] Median 90th Percentile Figure 2.43: Delay between launch and registration by launch year.</w:t>
      </w:r>
    </w:p>
    <w:p>
      <w:pPr>
        <w:pStyle w:val="DocBody"/>
      </w:pPr>
      <w:r>
        <w:rPr>
          <w:rFonts w:ascii="Times New Roman" w:hAnsi="Times New Roman" w:eastAsia="宋体"/>
          <w:sz w:val="24"/>
        </w:rPr>
        <w:t>Page 62/151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ENVIRONMENTAL STATUS 2025 In this section, the status of the environment as of end of 2025 is listed and illustrated.</w:t>
      </w:r>
    </w:p>
    <w:p>
      <w:pPr>
        <w:pStyle w:val="DocBody"/>
      </w:pPr>
      <w:r>
        <w:rPr>
          <w:rFonts w:ascii="Times New Roman" w:hAnsi="Times New Roman" w:eastAsia="宋体"/>
          <w:sz w:val="24"/>
        </w:rPr>
        <w:t>Table 3.1: Number of objects orbiting Earth. Other: IGO, GHO, HAO, UFO, ESO.</w:t>
      </w:r>
    </w:p>
    <w:p>
      <w:pPr>
        <w:pStyle w:val="DocBody"/>
      </w:pPr>
      <w:r>
        <w:rPr>
          <w:rFonts w:ascii="Times New Roman" w:hAnsi="Times New Roman" w:eastAsia="宋体"/>
          <w:sz w:val="24"/>
        </w:rPr>
        <w:t>PL PF PD PM RB RF RD RM UI Total LEO 14906 25060 GEO EGO GTO NSO MEO LMO MGO HEO Other Total 16946 11087 44964 Table 3.2: Absolute and equivalent number of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15056 29175 LEOIADC (eqv)</w:t>
      </w:r>
    </w:p>
    <w:p>
      <w:pPr>
        <w:pStyle w:val="DocBody"/>
      </w:pPr>
      <w:r>
        <w:rPr>
          <w:rFonts w:ascii="Times New Roman" w:hAnsi="Times New Roman" w:eastAsia="宋体"/>
          <w:sz w:val="24"/>
        </w:rPr>
        <w:t>14935 25562 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63/151</w:t>
      </w:r>
    </w:p>
    <w:p>
      <w:pPr>
        <w:pStyle w:val="DocBody"/>
      </w:pPr>
      <w:r>
        <w:rPr>
          <w:rFonts w:ascii="Times New Roman" w:hAnsi="Times New Roman" w:eastAsia="宋体"/>
          <w:sz w:val="24"/>
        </w:rPr>
        <w:t>ESA UNCLASSIFIED - Releasable to the Public Table 3.3: Mass in tonnes orbiting Earth. Objects of unknown mass do not contribute to the figures presented.</w:t>
      </w:r>
    </w:p>
    <w:p>
      <w:pPr>
        <w:pStyle w:val="DocBody"/>
      </w:pPr>
      <w:r>
        <w:rPr>
          <w:rFonts w:ascii="Times New Roman" w:hAnsi="Times New Roman" w:eastAsia="宋体"/>
          <w:sz w:val="24"/>
        </w:rPr>
        <w:t>Other: IGO, GHO, HAO, UFO, ESO.</w:t>
      </w:r>
    </w:p>
    <w:p>
      <w:pPr>
        <w:pStyle w:val="DocBody"/>
      </w:pPr>
      <w:r>
        <w:rPr>
          <w:rFonts w:ascii="Times New Roman" w:hAnsi="Times New Roman" w:eastAsia="宋体"/>
          <w:sz w:val="24"/>
        </w:rPr>
        <w:t>PL PF PD PM RB RF RD RM UI Total LEO 7215.7 3.0 0.0 2.7 1523.2 0.0 0.0 5.3 0.0 8749.9 GEO 2705.9 0.0 0.0 1.0 139.9 0.0 0.0 0.0 0.0 2846.8 EGO 1064.8 0.0 0.0 6.6 390.5 0.0 0.0 0.3 0.0 1462.3 GTO 103.1 0.0 0.0 1.0 503.9 0.0 0.0 21.0 0.0 629.0 NSO 387.1 0.0 0.0 0.4 232.6 0.0 0.0 0.0 0.0 620.0 MEO 105.6 0.0 0.0 0.4 52.9 0.0 0.0 4.2 0.0 163.0 LMO 77.2 0.0 0.0 10.9 542.5 0.0 0.0 87.6 0.0 718.2 MGO 103.6 0.0 0.0 1.9 292.7 0.0 0.0 0.0 0.0 398.3 HEO 65.8 0.0 0.0 0.1 147.3 0.0 0.0 0.0 0.0 213.2 Other 69.7 0.0 0.0 0.1 12.5 0.0 0.0 0.0 0.0 82.3 Total 11898.5 3.0 0.0 25.0 3838.0 0.0 0.0 118.5 0.0 15883.0 Table 3.4: Absolute and equivalent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40.0 0.0 0.0 0.1 184.2 0.0 0.0 6.3 0.0 230.6 LEOIADC (abs)</w:t>
      </w:r>
    </w:p>
    <w:p>
      <w:pPr>
        <w:pStyle w:val="DocBody"/>
      </w:pPr>
      <w:r>
        <w:rPr>
          <w:rFonts w:ascii="Times New Roman" w:hAnsi="Times New Roman" w:eastAsia="宋体"/>
          <w:sz w:val="24"/>
        </w:rPr>
        <w:t>7412.6 3.0 0.0 14.6 2677.4 0.0 0.0 114.0 0.0 10221.6 LEOIADC (eqv)</w:t>
      </w:r>
    </w:p>
    <w:p>
      <w:pPr>
        <w:pStyle w:val="DocBody"/>
      </w:pPr>
      <w:r>
        <w:rPr>
          <w:rFonts w:ascii="Times New Roman" w:hAnsi="Times New Roman" w:eastAsia="宋体"/>
          <w:sz w:val="24"/>
        </w:rPr>
        <w:t>7242.5 3.0 0.0 5.2 1605.5 0.0 0.0 16.6 0.0 8872.8 GEOIADC (abs)</w:t>
      </w:r>
    </w:p>
    <w:p>
      <w:pPr>
        <w:pStyle w:val="DocBody"/>
      </w:pPr>
      <w:r>
        <w:rPr>
          <w:rFonts w:ascii="Times New Roman" w:hAnsi="Times New Roman" w:eastAsia="宋体"/>
          <w:sz w:val="24"/>
        </w:rPr>
        <w:t>3078.9 0.0 0.0 6.4 632.5 0.0 0.0 6.4 0.0 3724.2 GEOIADC (eqv)</w:t>
      </w:r>
    </w:p>
    <w:p>
      <w:pPr>
        <w:pStyle w:val="DocBody"/>
      </w:pPr>
      <w:r>
        <w:rPr>
          <w:rFonts w:ascii="Times New Roman" w:hAnsi="Times New Roman" w:eastAsia="宋体"/>
          <w:sz w:val="24"/>
        </w:rPr>
        <w:t>2820.4 0.0 0.0 2.2 209.1 0.0 0.0 0.4 0.0 3032.1 none (abs)</w:t>
      </w:r>
    </w:p>
    <w:p>
      <w:pPr>
        <w:pStyle w:val="DocBody"/>
      </w:pPr>
      <w:r>
        <w:rPr>
          <w:rFonts w:ascii="Times New Roman" w:hAnsi="Times New Roman" w:eastAsia="宋体"/>
          <w:sz w:val="24"/>
        </w:rPr>
        <w:t>1447.0 0.0 0.0 4.0 712.4 0.0 0.0 4.4 0.0 2167.8 Page 64/151</w:t>
      </w:r>
    </w:p>
    <w:p>
      <w:pPr>
        <w:pStyle w:val="DocBody"/>
      </w:pPr>
      <w:r>
        <w:rPr>
          <w:rFonts w:ascii="Times New Roman" w:hAnsi="Times New Roman" w:eastAsia="宋体"/>
          <w:sz w:val="24"/>
        </w:rPr>
        <w:t>ESA UNCLASSIFIED - Releasable to the Public Table 3.5: Area in m2 orbiting Earth. Objects of unknown area do not contribute to the figures presented. Other:</w:t>
      </w:r>
    </w:p>
    <w:p>
      <w:pPr>
        <w:pStyle w:val="DocBody"/>
      </w:pPr>
      <w:r>
        <w:rPr>
          <w:rFonts w:ascii="Times New Roman" w:hAnsi="Times New Roman" w:eastAsia="宋体"/>
          <w:sz w:val="24"/>
        </w:rPr>
        <w:t>IGO, GHO, HAO, UFO, ESO.</w:t>
      </w:r>
    </w:p>
    <w:p>
      <w:pPr>
        <w:pStyle w:val="DocBody"/>
      </w:pPr>
      <w:r>
        <w:rPr>
          <w:rFonts w:ascii="Times New Roman" w:hAnsi="Times New Roman" w:eastAsia="宋体"/>
          <w:sz w:val="24"/>
        </w:rPr>
        <w:t>PL PF PD PM RB RF RD RM UI Total LEO 275254.2 23.0 0.0 32.6 11305.4 1.3 0.0 206.8 0.0 286823.3 GEO 26155.6 0.0 23.6 8.3 1518.2 0.0 0.0 0.0 0.0 27705.6 EGO 13183.4 0.0 0.6 45.1 4472.9 0.0 0.0 9.7 0.0 17711.7 GTO 820.4 0.0 0.0 8.8 5256.2 0.0 0.0 572.9 0.0 6658.3 NSO 3234.1 0.0 0.0 0.8 2027.3 0.0 0.0 0.0 0.0 5262.3 MEO 1304.2 0.0 0.0 11.2 550.9 0.0 0.0 21.4 0.0 1887.7 LMO 715.3 0.0 0.0 34.9 5675.3 0.6 0.0 1529.1 0.0 7955.1 MGO 994.9 0.0 0.0 14.7 3186.8 0.0 0.0 0.0 0.0 4196.4 HEO 781.2 0.0 0.0 0.4 1454.7 0.0 0.0 0.0 0.0 2236.3 Other 525.0 0.0 0.0 0.4 79.5 0.0 0.0 0.0 0.0 604.9 Total 322968.4 23.0 24.2 157.2 35527.2 1.9 0.0 2339.8 0.0 361041.7 Table 3.6: Absolute and equivalent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245.7 0.0 0.0 0.1 2104.7 0.0 0.0 223.0 0.0 2573.5 LEOIADC (abs)</w:t>
      </w:r>
    </w:p>
    <w:p>
      <w:pPr>
        <w:pStyle w:val="DocBody"/>
      </w:pPr>
      <w:r>
        <w:rPr>
          <w:rFonts w:ascii="Times New Roman" w:hAnsi="Times New Roman" w:eastAsia="宋体"/>
          <w:sz w:val="24"/>
        </w:rPr>
        <w:t>277012.0 23.0 0.0 76.4 23367.6 1.9 0.0 2308.7 0.0 302789.6 LEOIADC (eqv)</w:t>
      </w:r>
    </w:p>
    <w:p>
      <w:pPr>
        <w:pStyle w:val="DocBody"/>
      </w:pPr>
      <w:r>
        <w:rPr>
          <w:rFonts w:ascii="Times New Roman" w:hAnsi="Times New Roman" w:eastAsia="宋体"/>
          <w:sz w:val="24"/>
        </w:rPr>
        <w:t>275453.4 23.0 0.0 41.8 12199.9 1.4 0.0 427.1 0.0 288146.5 GEOIADC (abs)</w:t>
      </w:r>
    </w:p>
    <w:p>
      <w:pPr>
        <w:pStyle w:val="DocBody"/>
      </w:pPr>
      <w:r>
        <w:rPr>
          <w:rFonts w:ascii="Times New Roman" w:hAnsi="Times New Roman" w:eastAsia="宋体"/>
          <w:sz w:val="24"/>
        </w:rPr>
        <w:t>29792.0 0.0 23.6 51.5 6843.9 0.0 0.0 223.7 0.0 36934.7 GEOIADC (eqv)</w:t>
      </w:r>
    </w:p>
    <w:p>
      <w:pPr>
        <w:pStyle w:val="DocBody"/>
      </w:pPr>
      <w:r>
        <w:rPr>
          <w:rFonts w:ascii="Times New Roman" w:hAnsi="Times New Roman" w:eastAsia="宋体"/>
          <w:sz w:val="24"/>
        </w:rPr>
        <w:t>27253.0 0.0 23.6 18.3 2283.3 0.0 0.0 15.6 0.0 29593.8 none (abs)</w:t>
      </w:r>
    </w:p>
    <w:p>
      <w:pPr>
        <w:pStyle w:val="DocBody"/>
      </w:pPr>
      <w:r>
        <w:rPr>
          <w:rFonts w:ascii="Times New Roman" w:hAnsi="Times New Roman" w:eastAsia="宋体"/>
          <w:sz w:val="24"/>
        </w:rPr>
        <w:t>16410.2 0.0 0.6 29.4 7420.3 0.0 0.0 30.4 0.0 23890.9 Page 65/151</w:t>
      </w:r>
    </w:p>
    <w:p>
      <w:pPr>
        <w:pStyle w:val="DocBody"/>
      </w:pPr>
      <w:r>
        <w:rPr>
          <w:rFonts w:ascii="Times New Roman" w:hAnsi="Times New Roman" w:eastAsia="宋体"/>
          <w:sz w:val="24"/>
        </w:rPr>
        <w:t>ESA UNCLASSIFIED - Releasable to the Public 3.1. Status of the Environment in LEO Mass [kg] Counts Mass Distribution of PLs Intersecting LEOIADC Crossing Residing (a) Mass histogram of payloads in LEO.</w:t>
      </w:r>
    </w:p>
    <w:p>
      <w:pPr>
        <w:pStyle w:val="DocBody"/>
      </w:pPr>
      <w:r>
        <w:rPr>
          <w:rFonts w:ascii="Times New Roman" w:hAnsi="Times New Roman" w:eastAsia="宋体"/>
          <w:sz w:val="24"/>
        </w:rPr>
        <w:t>Area [m2] Counts Area Distribution of PLs Intersecting LEOIADC Crossing Residing (b) Area histogram of payloads in LEO.</w:t>
      </w:r>
    </w:p>
    <w:p>
      <w:pPr>
        <w:pStyle w:val="DocBody"/>
      </w:pPr>
      <w:r>
        <w:rPr>
          <w:rFonts w:ascii="Times New Roman" w:hAnsi="Times New Roman" w:eastAsia="宋体"/>
          <w:sz w:val="24"/>
        </w:rPr>
        <w:t>Figure 3.1: Distribution of mass and area of payloads in LEO.</w:t>
      </w:r>
    </w:p>
    <w:p>
      <w:pPr>
        <w:pStyle w:val="DocBody"/>
      </w:pPr>
      <w:r>
        <w:rPr>
          <w:rFonts w:ascii="Times New Roman" w:hAnsi="Times New Roman" w:eastAsia="宋体"/>
          <w:sz w:val="24"/>
        </w:rPr>
        <w:t>Page 66/151</w:t>
      </w:r>
    </w:p>
    <w:p>
      <w:pPr>
        <w:pStyle w:val="DocBody"/>
      </w:pPr>
      <w:r>
        <w:rPr>
          <w:rFonts w:ascii="Times New Roman" w:hAnsi="Times New Roman" w:eastAsia="宋体"/>
          <w:sz w:val="24"/>
        </w:rPr>
        <w:t>ESA UNCLASSIFIED - Releasable to the Public Mass [kg] Counts Mass Distribution of RBs Intersecting LEOIADC Crossing Residing (a) Mass histogram of rocket bodies in LEO.</w:t>
      </w:r>
    </w:p>
    <w:p>
      <w:pPr>
        <w:pStyle w:val="DocBody"/>
      </w:pPr>
      <w:r>
        <w:rPr>
          <w:rFonts w:ascii="Times New Roman" w:hAnsi="Times New Roman" w:eastAsia="宋体"/>
          <w:sz w:val="24"/>
        </w:rPr>
        <w:t>Area [m2] Counts Area Distribution of RBs Intersecting LEOIADC Crossing Residing (b) Area histogram of rocket bodies in LEO.</w:t>
      </w:r>
    </w:p>
    <w:p>
      <w:pPr>
        <w:pStyle w:val="DocBody"/>
      </w:pPr>
      <w:r>
        <w:rPr>
          <w:rFonts w:ascii="Times New Roman" w:hAnsi="Times New Roman" w:eastAsia="宋体"/>
          <w:sz w:val="24"/>
        </w:rPr>
        <w:t>Figure 3.2: Distribution of mass and area of rocket bodies in LEO.</w:t>
      </w:r>
    </w:p>
    <w:p>
      <w:pPr>
        <w:pStyle w:val="DocBody"/>
      </w:pPr>
      <w:r>
        <w:rPr>
          <w:rFonts w:ascii="Times New Roman" w:hAnsi="Times New Roman" w:eastAsia="宋体"/>
          <w:sz w:val="24"/>
        </w:rPr>
        <w:t>Page 67/151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residing in LEOIADC Count (a)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Distribution of Objects crossing LEOIADC Count (b) Distribution of objects crossing LEO.</w:t>
      </w:r>
    </w:p>
    <w:p>
      <w:pPr>
        <w:pStyle w:val="DocBody"/>
      </w:pPr>
      <w:r>
        <w:rPr>
          <w:rFonts w:ascii="Times New Roman" w:hAnsi="Times New Roman" w:eastAsia="宋体"/>
          <w:sz w:val="24"/>
        </w:rPr>
        <w:t>Figure 3.3: Distribution of number of objects in LEO as a function of inclination and perigee altitude.</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residing in LEOIADC Mass [tonnes] (a) Mass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Mass Distribution of Objects crossing LEOIADC Mass [tonnes] (b) Mass distribution of objects crossing LEO.</w:t>
      </w:r>
    </w:p>
    <w:p>
      <w:pPr>
        <w:pStyle w:val="DocBody"/>
      </w:pPr>
      <w:r>
        <w:rPr>
          <w:rFonts w:ascii="Times New Roman" w:hAnsi="Times New Roman" w:eastAsia="宋体"/>
          <w:sz w:val="24"/>
        </w:rPr>
        <w:t>Figure 3.4: Distribution of mass in LEO as a function of inclination and perigee altitude.</w:t>
      </w:r>
    </w:p>
    <w:p>
      <w:pPr>
        <w:pStyle w:val="DocBody"/>
      </w:pPr>
      <w:r>
        <w:rPr>
          <w:rFonts w:ascii="Times New Roman" w:hAnsi="Times New Roman" w:eastAsia="宋体"/>
          <w:sz w:val="24"/>
        </w:rPr>
        <w:t>Page 68/151</w:t>
      </w:r>
    </w:p>
    <w:p>
      <w:pPr>
        <w:pStyle w:val="DocBody"/>
      </w:pPr>
      <w:r>
        <w:rPr>
          <w:rFonts w:ascii="Times New Roman" w:hAnsi="Times New Roman" w:eastAsia="宋体"/>
          <w:sz w:val="24"/>
        </w:rPr>
        <w:t>ESA UNCLASSIFIED - Releasable to the Public 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residing in LEOIADC Area [m2] (a) Area distribution of objects residing in LEO.</w:t>
      </w:r>
    </w:p>
    <w:p>
      <w:pPr>
        <w:pStyle w:val="DocBody"/>
      </w:pPr>
      <w:r>
        <w:rPr>
          <w:rFonts w:ascii="Times New Roman" w:hAnsi="Times New Roman" w:eastAsia="宋体"/>
          <w:sz w:val="24"/>
        </w:rPr>
        <w:t>Perigee altitude hp [km] (40km bins)</w:t>
      </w:r>
    </w:p>
    <w:p>
      <w:pPr>
        <w:pStyle w:val="DocBody"/>
      </w:pPr>
      <w:r>
        <w:rPr>
          <w:rFonts w:ascii="Times New Roman" w:hAnsi="Times New Roman" w:eastAsia="宋体"/>
          <w:sz w:val="24"/>
        </w:rPr>
        <w:t>Inclination i [deg] (3.0deg bins)</w:t>
      </w:r>
    </w:p>
    <w:p>
      <w:pPr>
        <w:pStyle w:val="DocBody"/>
      </w:pPr>
      <w:r>
        <w:rPr>
          <w:rFonts w:ascii="Times New Roman" w:hAnsi="Times New Roman" w:eastAsia="宋体"/>
          <w:sz w:val="24"/>
        </w:rPr>
        <w:t>Area Distribution of Objects crossing LEOIADC Area [m2] (b) Area distribution of objects crossing LEO.</w:t>
      </w:r>
    </w:p>
    <w:p>
      <w:pPr>
        <w:pStyle w:val="DocBody"/>
      </w:pPr>
      <w:r>
        <w:rPr>
          <w:rFonts w:ascii="Times New Roman" w:hAnsi="Times New Roman" w:eastAsia="宋体"/>
          <w:sz w:val="24"/>
        </w:rPr>
        <w:t>Figure 3.5: Distribution of area in LEO as a function of inclination and perigee altitude.</w:t>
      </w:r>
    </w:p>
    <w:p>
      <w:pPr>
        <w:pStyle w:val="DocBody"/>
      </w:pPr>
      <w:r>
        <w:rPr>
          <w:rFonts w:ascii="Times New Roman" w:hAnsi="Times New Roman" w:eastAsia="宋体"/>
          <w:sz w:val="24"/>
        </w:rPr>
        <w:t>Page 69/151</w:t>
      </w:r>
    </w:p>
    <w:p>
      <w:pPr>
        <w:pStyle w:val="DocBody"/>
      </w:pPr>
      <w:r>
        <w:rPr>
          <w:rFonts w:ascii="Times New Roman" w:hAnsi="Times New Roman" w:eastAsia="宋体"/>
          <w:sz w:val="24"/>
        </w:rPr>
        <w:t>ESA UNCLASSIFIED - Releasable to the Public Mean altitude [km] Number of objects [-] Payload Launch Traffic into 200 hp 1750 km in 2025 Amateur Civil Commercial Defense Mean altitude [km] Number of objects [-] Active Payloads Distribution Amateur Civil Commercial Defense Figure 3.6: Launch traffic in 2025 (top) and distribution of active payloads (bottom) in LEOIADC by mean altitude.</w:t>
      </w:r>
    </w:p>
    <w:p>
      <w:pPr>
        <w:pStyle w:val="DocBody"/>
      </w:pPr>
      <w:r>
        <w:rPr>
          <w:rFonts w:ascii="Times New Roman" w:hAnsi="Times New Roman" w:eastAsia="宋体"/>
          <w:sz w:val="24"/>
        </w:rPr>
        <w:t>Page 70/151</w:t>
      </w:r>
    </w:p>
    <w:p>
      <w:pPr>
        <w:pStyle w:val="DocBody"/>
      </w:pPr>
      <w:r>
        <w:rPr>
          <w:rFonts w:ascii="Times New Roman" w:hAnsi="Times New Roman" w:eastAsia="宋体"/>
          <w:sz w:val="24"/>
        </w:rPr>
        <w:t>ESA UNCLASSIFIED - Releasable to the Public 250 450 650 850 1050 1250 1450 1650 1850 h [km] i [deg] Mass [tonn] Figure 3.7: Distribution of active payloads in LEO by mean altitude and inclination.</w:t>
      </w:r>
    </w:p>
    <w:p>
      <w:pPr>
        <w:pStyle w:val="DocBody"/>
      </w:pPr>
      <w:r>
        <w:rPr>
          <w:rFonts w:ascii="Times New Roman" w:hAnsi="Times New Roman" w:eastAsia="宋体"/>
          <w:sz w:val="24"/>
        </w:rPr>
        <w:t>Page 71/151</w:t>
      </w:r>
    </w:p>
    <w:p>
      <w:pPr>
        <w:pStyle w:val="DocBody"/>
      </w:pPr>
      <w:r>
        <w:rPr>
          <w:rFonts w:ascii="Times New Roman" w:hAnsi="Times New Roman" w:eastAsia="宋体"/>
          <w:sz w:val="24"/>
        </w:rPr>
        <w:t>ESA UNCLASSIFIED - Releasable to the Public 3.2. Status of the Environment in GEO Mass [kg] Counts Mass Distribution of PLs Intersecting GEOIADC Crossing Residing (a) Mass histogram of payloads in GEO.</w:t>
      </w:r>
    </w:p>
    <w:p>
      <w:pPr>
        <w:pStyle w:val="DocBody"/>
      </w:pPr>
      <w:r>
        <w:rPr>
          <w:rFonts w:ascii="Times New Roman" w:hAnsi="Times New Roman" w:eastAsia="宋体"/>
          <w:sz w:val="24"/>
        </w:rPr>
        <w:t>Area [m2] Counts Area Distribution of PLs Intersecting GEOIADC Crossing Residing (b) Area histogram of payloads in GEO.</w:t>
      </w:r>
    </w:p>
    <w:p>
      <w:pPr>
        <w:pStyle w:val="DocBody"/>
      </w:pPr>
      <w:r>
        <w:rPr>
          <w:rFonts w:ascii="Times New Roman" w:hAnsi="Times New Roman" w:eastAsia="宋体"/>
          <w:sz w:val="24"/>
        </w:rPr>
        <w:t>Figure 3.8: Distribution of mass and area of payloads in GEO.</w:t>
      </w:r>
    </w:p>
    <w:p>
      <w:pPr>
        <w:pStyle w:val="DocBody"/>
      </w:pPr>
      <w:r>
        <w:rPr>
          <w:rFonts w:ascii="Times New Roman" w:hAnsi="Times New Roman" w:eastAsia="宋体"/>
          <w:sz w:val="24"/>
        </w:rPr>
        <w:t>Page 72/151</w:t>
      </w:r>
    </w:p>
    <w:p>
      <w:pPr>
        <w:pStyle w:val="DocBody"/>
      </w:pPr>
      <w:r>
        <w:rPr>
          <w:rFonts w:ascii="Times New Roman" w:hAnsi="Times New Roman" w:eastAsia="宋体"/>
          <w:sz w:val="24"/>
        </w:rPr>
        <w:t>ESA UNCLASSIFIED - Releasable to the Public Mass [kg] Counts Mass Distribution of RBs Intersecting GEOIADC Crossing Residing (a) Mass histogram of rocket bodies in GEO.</w:t>
      </w:r>
    </w:p>
    <w:p>
      <w:pPr>
        <w:pStyle w:val="DocBody"/>
      </w:pPr>
      <w:r>
        <w:rPr>
          <w:rFonts w:ascii="Times New Roman" w:hAnsi="Times New Roman" w:eastAsia="宋体"/>
          <w:sz w:val="24"/>
        </w:rPr>
        <w:t>Area [m2] Counts Area Distribution of RBs Intersecting GEOIADC Crossing Residing (b) Area histogram of rocket bodies in GEO.</w:t>
      </w:r>
    </w:p>
    <w:p>
      <w:pPr>
        <w:pStyle w:val="DocBody"/>
      </w:pPr>
      <w:r>
        <w:rPr>
          <w:rFonts w:ascii="Times New Roman" w:hAnsi="Times New Roman" w:eastAsia="宋体"/>
          <w:sz w:val="24"/>
        </w:rPr>
        <w:t>Figure 3.9: Distribution of mass and area of rocket bodies in GEO.</w:t>
      </w:r>
    </w:p>
    <w:p>
      <w:pPr>
        <w:pStyle w:val="DocBody"/>
      </w:pPr>
      <w:r>
        <w:rPr>
          <w:rFonts w:ascii="Times New Roman" w:hAnsi="Times New Roman" w:eastAsia="宋体"/>
          <w:sz w:val="24"/>
        </w:rPr>
        <w:t>Page 73/151</w:t>
      </w:r>
    </w:p>
    <w:p>
      <w:pPr>
        <w:pStyle w:val="DocBody"/>
      </w:pPr>
      <w:r>
        <w:rPr>
          <w:rFonts w:ascii="Times New Roman" w:hAnsi="Times New Roman" w:eastAsia="宋体"/>
          <w:sz w:val="24"/>
        </w:rPr>
        <w:t>ESA UNCLASSIFIED - Releasable to the Public 3.3. Fragmentations in 2025 In Table 3.7 all established fragmentation events of the year 2025 are shown. For a description of the event categories, please consult Section 5. In case no credible source is available on the amount of Asserted Objects associated with a fragmentation event, it is indicated with None. Those Asserted Object are reported by space surveillance networks which can have variable detection limits. A more in-depth overview of the consequences of those events can be accessed online [21].</w:t>
      </w:r>
    </w:p>
    <w:p>
      <w:pPr>
        <w:pStyle w:val="DocBody"/>
      </w:pPr>
      <w:r>
        <w:rPr>
          <w:rFonts w:ascii="Times New Roman" w:hAnsi="Times New Roman" w:eastAsia="宋体"/>
          <w:sz w:val="24"/>
        </w:rPr>
        <w:t>Table 3.7: Fragmentation events in 2025.</w:t>
      </w:r>
    </w:p>
    <w:p>
      <w:pPr>
        <w:pStyle w:val="DocBody"/>
      </w:pPr>
      <w:r>
        <w:rPr>
          <w:rFonts w:ascii="Times New Roman" w:hAnsi="Times New Roman" w:eastAsia="宋体"/>
          <w:sz w:val="24"/>
        </w:rPr>
        <w:t>Event epoch Object type Mass [kg] Catalogued objects Asserted objects Orbit Event cause 2025-01-17 Payload MEO Propulsion 2025-06-01 Rocket Body EGO Unknown 2025-12-18 Payload LEO Propulsion Total Page 74/151</w:t>
      </w:r>
    </w:p>
    <w:p>
      <w:pPr>
        <w:pStyle w:val="DocBody"/>
      </w:pPr>
      <w:r>
        <w:rPr>
          <w:rFonts w:ascii="Times New Roman" w:hAnsi="Times New Roman" w:eastAsia="宋体"/>
          <w:sz w:val="24"/>
        </w:rPr>
        <w:t>ESA UNCLASSIFIED - Releasable to the Public 3.4. Changes to the Environment in 2025 In this section, the change to the environment during 2025 is listed. The last state of the year is used to classify the object orbit. If no state is available, a destination orbit defined by an analyst is used instead.</w:t>
      </w:r>
    </w:p>
    <w:p>
      <w:pPr>
        <w:pStyle w:val="DocBody"/>
      </w:pPr>
      <w:r>
        <w:rPr>
          <w:rFonts w:ascii="Times New Roman" w:hAnsi="Times New Roman" w:eastAsia="宋体"/>
          <w:sz w:val="24"/>
        </w:rPr>
        <w:t>Table 3.8: Number of newly added objects orbiting Earth. Other: IGO, GHO, HAO, UFO, ESO.</w:t>
      </w:r>
    </w:p>
    <w:p>
      <w:pPr>
        <w:pStyle w:val="DocBody"/>
      </w:pPr>
      <w:r>
        <w:rPr>
          <w:rFonts w:ascii="Times New Roman" w:hAnsi="Times New Roman" w:eastAsia="宋体"/>
          <w:sz w:val="24"/>
        </w:rPr>
        <w:t>PL PF PD PM RB RF RD RM UI Total LEO GEO EGO GTO NSO MEO LMO MGO HEO Other N/A Total Table 3.9: Absolute and equivalent number of newly added objects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LEOIADC (abs)</w:t>
      </w:r>
    </w:p>
    <w:p>
      <w:pPr>
        <w:pStyle w:val="DocBody"/>
      </w:pPr>
      <w:r>
        <w:rPr>
          <w:rFonts w:ascii="Times New Roman" w:hAnsi="Times New Roman" w:eastAsia="宋体"/>
          <w:sz w:val="24"/>
        </w:rPr>
        <w:t>LEOIADC (eqv)</w:t>
      </w:r>
    </w:p>
    <w:p>
      <w:pPr>
        <w:pStyle w:val="DocBody"/>
      </w:pPr>
      <w:r>
        <w:rPr>
          <w:rFonts w:ascii="Times New Roman" w:hAnsi="Times New Roman" w:eastAsia="宋体"/>
          <w:sz w:val="24"/>
        </w:rPr>
        <w:t>GEOIADC (abs)</w:t>
      </w:r>
    </w:p>
    <w:p>
      <w:pPr>
        <w:pStyle w:val="DocBody"/>
      </w:pPr>
      <w:r>
        <w:rPr>
          <w:rFonts w:ascii="Times New Roman" w:hAnsi="Times New Roman" w:eastAsia="宋体"/>
          <w:sz w:val="24"/>
        </w:rPr>
        <w:t>GEOIADC (eqv)</w:t>
      </w:r>
    </w:p>
    <w:p>
      <w:pPr>
        <w:pStyle w:val="DocBody"/>
      </w:pPr>
      <w:r>
        <w:rPr>
          <w:rFonts w:ascii="Times New Roman" w:hAnsi="Times New Roman" w:eastAsia="宋体"/>
          <w:sz w:val="24"/>
        </w:rPr>
        <w:t>none (abs)</w:t>
      </w:r>
    </w:p>
    <w:p>
      <w:pPr>
        <w:pStyle w:val="DocBody"/>
      </w:pPr>
      <w:r>
        <w:rPr>
          <w:rFonts w:ascii="Times New Roman" w:hAnsi="Times New Roman" w:eastAsia="宋体"/>
          <w:sz w:val="24"/>
        </w:rPr>
        <w:t>Page 75/151</w:t>
      </w:r>
    </w:p>
    <w:p>
      <w:pPr>
        <w:pStyle w:val="DocBody"/>
      </w:pPr>
      <w:r>
        <w:rPr>
          <w:rFonts w:ascii="Times New Roman" w:hAnsi="Times New Roman" w:eastAsia="宋体"/>
          <w:sz w:val="24"/>
        </w:rPr>
        <w:t>ESA UNCLASSIFIED - Releasable to the Public Table 3.10: Newly added mass in tonnes orbiting Earth. Other: IGO, GHO, HAO, UFO, ESO.</w:t>
      </w:r>
    </w:p>
    <w:p>
      <w:pPr>
        <w:pStyle w:val="DocBody"/>
      </w:pPr>
      <w:r>
        <w:rPr>
          <w:rFonts w:ascii="Times New Roman" w:hAnsi="Times New Roman" w:eastAsia="宋体"/>
          <w:sz w:val="24"/>
        </w:rPr>
        <w:t>PL PF PD PM RB RF RD RM UI Total LEO 2448.6 0.0 0.0 4.7 916.1 0.0 0.0 1.2 0.0 3370.6 GEO 106.3 0.0 0.0 0.0 0.0 0.0 0.0 0.0 0.0 106.3 EGO 13.3 0.0 0.0 1.6 5.8 0.0 0.0 0.0 0.0 20.7 GTO 13.6 0.0 0.0 0.0 29.6 0.0 0.0 0.0 0.0 43.2 NSO 7.8 0.0 0.0 0.0 5.0 0.0 0.0 0.0 0.0 12.8 MEO 23.8 0.0 0.0 0.0 14.9 0.0 0.0 0.0 0.0 38.7 LMO 6.3 0.0 0.0 0.0 41.3 0.0 0.0 1.0 0.0 48.6 MGO 4.0 0.0 0.0 0.0 0.0 0.0 0.0 0.0 0.0 4.0 HEO 25.7 0.0 0.0 0.0 31.6 0.0 0.0 0.1 0.0 57.3 Other 1.2 0.0 0.0 0.0 9.3 0.0 0.0 0.0 0.0 10.4 N/A 20.4 0.0 0.0 0.0 22.0 0.0 0.0 0.0 0.0 42.4 Total 2650.5 0.0 0.0 6.2 1053.6 0.0 0.0 2.2 0.0 3712.6 Table 3.11: Absolute and equivalent newly added mass in tonnes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26.3 0.0 0.0 0.0 16.3 0.0 0.0 0.0 0.0 42.6 LEOIADC (abs)</w:t>
      </w:r>
    </w:p>
    <w:p>
      <w:pPr>
        <w:pStyle w:val="DocBody"/>
      </w:pPr>
      <w:r>
        <w:rPr>
          <w:rFonts w:ascii="Times New Roman" w:hAnsi="Times New Roman" w:eastAsia="宋体"/>
          <w:sz w:val="24"/>
        </w:rPr>
        <w:t>2483.8 0.0 0.0 4.7 1011.9 0.0 0.0 2.2 0.0 3502.6 LEOIADC (eqv)</w:t>
      </w:r>
    </w:p>
    <w:p>
      <w:pPr>
        <w:pStyle w:val="DocBody"/>
      </w:pPr>
      <w:r>
        <w:rPr>
          <w:rFonts w:ascii="Times New Roman" w:hAnsi="Times New Roman" w:eastAsia="宋体"/>
          <w:sz w:val="24"/>
        </w:rPr>
        <w:t>2452.5 0.0 0.0 4.7 927.1 0.0 0.0 1.2 0.0 3385.5 GEOIADC (abs)</w:t>
      </w:r>
    </w:p>
    <w:p>
      <w:pPr>
        <w:pStyle w:val="DocBody"/>
      </w:pPr>
      <w:r>
        <w:rPr>
          <w:rFonts w:ascii="Times New Roman" w:hAnsi="Times New Roman" w:eastAsia="宋体"/>
          <w:sz w:val="24"/>
        </w:rPr>
        <w:t>157.0 0.0 0.0 0.1 18.7 0.0 0.0 0.0 0.0 175.8 GEOIADC (eqv)</w:t>
      </w:r>
    </w:p>
    <w:p>
      <w:pPr>
        <w:pStyle w:val="DocBody"/>
      </w:pPr>
      <w:r>
        <w:rPr>
          <w:rFonts w:ascii="Times New Roman" w:hAnsi="Times New Roman" w:eastAsia="宋体"/>
          <w:sz w:val="24"/>
        </w:rPr>
        <w:t>111.7 0.0 0.0 0.0 0.1 0.0 0.0 0.0 0.0 111.8 none (abs)</w:t>
      </w:r>
    </w:p>
    <w:p>
      <w:pPr>
        <w:pStyle w:val="DocBody"/>
      </w:pPr>
      <w:r>
        <w:rPr>
          <w:rFonts w:ascii="Times New Roman" w:hAnsi="Times New Roman" w:eastAsia="宋体"/>
          <w:sz w:val="24"/>
        </w:rPr>
        <w:t>36.1 0.0 0.0 1.5 39.3 0.0 0.0 0.0 0.0 76.9 Page 76/151</w:t>
      </w:r>
    </w:p>
    <w:p>
      <w:pPr>
        <w:pStyle w:val="DocBody"/>
      </w:pPr>
      <w:r>
        <w:rPr>
          <w:rFonts w:ascii="Times New Roman" w:hAnsi="Times New Roman" w:eastAsia="宋体"/>
          <w:sz w:val="24"/>
        </w:rPr>
        <w:t>ESA UNCLASSIFIED - Releasable to the Public Table 3.12: Newly added area in m2 orbiting Earth. Other: IGO, GHO, HAO, UFO, ESO.</w:t>
      </w:r>
    </w:p>
    <w:p>
      <w:pPr>
        <w:pStyle w:val="DocBody"/>
      </w:pPr>
      <w:r>
        <w:rPr>
          <w:rFonts w:ascii="Times New Roman" w:hAnsi="Times New Roman" w:eastAsia="宋体"/>
          <w:sz w:val="24"/>
        </w:rPr>
        <w:t>PL PF PD PM RB RF RD RM UI Total LEO 121432.6 0.0 0.0 32.5 7916.7 0.0 0.0 8.0 0.0 129389.8 GEO 950.7 0.0 0.0 0.0 0.0 0.0 0.0 0.0 0.0 950.7 EGO 98.2 0.0 0.0 4.5 61.1 0.0 0.0 0.0 0.0 163.8 GTO 63.7 0.0 0.0 0.0 353.5 0.0 0.0 0.0 0.0 417.2 NSO 39.3 0.0 0.0 0.0 79.1 0.0 0.0 0.0 0.0 118.3 MEO 186.1 0.0 0.0 0.0 152.2 0.0 0.0 0.0 0.0 338.3 LMO 14.5 0.0 0.0 0.0 455.8 0.0 0.0 8.2 0.0 478.6 MGO 63.8 0.0 0.0 0.0 0.0 0.0 0.0 0.0 0.0 63.8 HEO 200.0 0.0 0.0 0.0 301.8 0.0 0.0 5.9 0.0 507.7 Other 9.5 0.0 0.0 0.0 45.9 0.0 0.0 0.0 0.0 55.4 N/A 50.1 0.0 0.0 0.0 175.7 0.0 0.2 0.0 0.0 225.9 Total 123058.4 0.0 0.0 37.0 9366.1 0.0 0.0 22.1 0.0 132483.7 Table 3.13: Absolute and equivalent newly added area in m2 intersecting with the protected regions.</w:t>
      </w:r>
    </w:p>
    <w:p>
      <w:pPr>
        <w:pStyle w:val="DocBody"/>
      </w:pPr>
      <w:r>
        <w:rPr>
          <w:rFonts w:ascii="Times New Roman" w:hAnsi="Times New Roman" w:eastAsia="宋体"/>
          <w:sz w:val="24"/>
        </w:rPr>
        <w:t>PL PF PD PM RB RF RD RM UI Total both (abs)</w:t>
      </w:r>
    </w:p>
    <w:p>
      <w:pPr>
        <w:pStyle w:val="DocBody"/>
      </w:pPr>
      <w:r>
        <w:rPr>
          <w:rFonts w:ascii="Times New Roman" w:hAnsi="Times New Roman" w:eastAsia="宋体"/>
          <w:sz w:val="24"/>
        </w:rPr>
        <w:t>140.1 0.0 0.0 0.0 166.8 0.0 0.0 0.0 0.0 306.9 LEOIADC (abs)</w:t>
      </w:r>
    </w:p>
    <w:p>
      <w:pPr>
        <w:pStyle w:val="DocBody"/>
      </w:pPr>
      <w:r>
        <w:rPr>
          <w:rFonts w:ascii="Times New Roman" w:hAnsi="Times New Roman" w:eastAsia="宋体"/>
          <w:sz w:val="24"/>
        </w:rPr>
        <w:t>121609.7 0.0 0.0 32.5 8972.8 0.0 0.0 22.1 0.0 130637.1 LEOIADC (eqv)</w:t>
      </w:r>
    </w:p>
    <w:p>
      <w:pPr>
        <w:pStyle w:val="DocBody"/>
      </w:pPr>
      <w:r>
        <w:rPr>
          <w:rFonts w:ascii="Times New Roman" w:hAnsi="Times New Roman" w:eastAsia="宋体"/>
          <w:sz w:val="24"/>
        </w:rPr>
        <w:t>121444.2 0.0 0.0 32.5 8039.0 0.0 0.0 8.5 0.0 129524.2 GEOIADC (abs)</w:t>
      </w:r>
    </w:p>
    <w:p>
      <w:pPr>
        <w:pStyle w:val="DocBody"/>
      </w:pPr>
      <w:r>
        <w:rPr>
          <w:rFonts w:ascii="Times New Roman" w:hAnsi="Times New Roman" w:eastAsia="宋体"/>
          <w:sz w:val="24"/>
        </w:rPr>
        <w:t>1292.1 0.0 0.0 0.0 181.9 0.0 0.0 0.0 0.0 1474.0 GEOIADC (eqv)</w:t>
      </w:r>
    </w:p>
    <w:p>
      <w:pPr>
        <w:pStyle w:val="DocBody"/>
      </w:pPr>
      <w:r>
        <w:rPr>
          <w:rFonts w:ascii="Times New Roman" w:hAnsi="Times New Roman" w:eastAsia="宋体"/>
          <w:sz w:val="24"/>
        </w:rPr>
        <w:t>985.7 0.0 0.0 0.0 1.1 0.0 0.0 0.0 0.0 986.8 none (abs)</w:t>
      </w:r>
    </w:p>
    <w:p>
      <w:pPr>
        <w:pStyle w:val="DocBody"/>
      </w:pPr>
      <w:r>
        <w:rPr>
          <w:rFonts w:ascii="Times New Roman" w:hAnsi="Times New Roman" w:eastAsia="宋体"/>
          <w:sz w:val="24"/>
        </w:rPr>
        <w:t>296.8 0.0 0.0 4.5 378.2 0.0 0.0 0.0 0.0 679.5 Page 77/151</w:t>
      </w:r>
    </w:p>
    <w:p>
      <w:pPr>
        <w:pStyle w:val="DocBody"/>
      </w:pPr>
      <w:r>
        <w:rPr>
          <w:rFonts w:ascii="Times New Roman" w:hAnsi="Times New Roman" w:eastAsia="宋体"/>
          <w:sz w:val="24"/>
        </w:rPr>
        <w:t>ESA UNCLASSIFIED - Releasable to the Public Table 3.14: Number of re-entered objects. Other: IGO, GHO, HAO, UFO, ESO.</w:t>
      </w:r>
    </w:p>
    <w:p>
      <w:pPr>
        <w:pStyle w:val="DocBody"/>
      </w:pPr>
      <w:r>
        <w:rPr>
          <w:rFonts w:ascii="Times New Roman" w:hAnsi="Times New Roman" w:eastAsia="宋体"/>
          <w:sz w:val="24"/>
        </w:rPr>
        <w:t>PL PF PD PM RB RF RD RM UI Total LEO LMO HEO Other N/A Total Table 3.15: Re-entered mass in tonnes. Other: IGO, GHO, HAO, UFO, ESO.</w:t>
      </w:r>
    </w:p>
    <w:p>
      <w:pPr>
        <w:pStyle w:val="DocBody"/>
      </w:pPr>
      <w:r>
        <w:rPr>
          <w:rFonts w:ascii="Times New Roman" w:hAnsi="Times New Roman" w:eastAsia="宋体"/>
          <w:sz w:val="24"/>
        </w:rPr>
        <w:t>PL PF PD PM RB RF RD RM UI Total LEO 279.6 0.0 0.0 3.9 156.6 0.0 0.0 2.7 0.0 442.8 LMO 11.3 0.0 0.0 0.0 23.4 0.0 0.0 0.4 0.0 35.1 HEO 1.2 0.0 0.0 0.0 7.3 0.0 0.0 0.0 0.0 8.5 Other 0.3 0.0 0.0 0.0 0.0 0.0 0.0 0.0 0.0 0.3 N/A 0.1 0.0 0.0 0.0 714.8 0.0 0.0 0.0 0.0 714.9 Total 292.3 0.0 0.0 3.9 187.3 0.0 0.0 3.2 0.0 486.7 Table 3.16: Re-entered area in m2. Other: IGO, GHO, HAO, UFO, ESO.</w:t>
      </w:r>
    </w:p>
    <w:p>
      <w:pPr>
        <w:pStyle w:val="DocBody"/>
      </w:pPr>
      <w:r>
        <w:rPr>
          <w:rFonts w:ascii="Times New Roman" w:hAnsi="Times New Roman" w:eastAsia="宋体"/>
          <w:sz w:val="24"/>
        </w:rPr>
        <w:t>PL PF PD PM RB RF RD RM UI Total LEO 11228.5 0.0 0.0 22.8 1309.4 0.0 0.0 96.1 0.0 12656.8 LMO 33.0 0.0 0.0 0.0 266.8 0.0 0.0 27.4 0.0 327.2 HEO 31.5 0.0 0.0 0.0 75.2 0.0 0.0 0.0 0.0 106.7 Other 13.6 0.0 0.0 0.0 0.0 0.0 0.0 0.0 0.0 13.6 N/A 0.5 0.0 0.0 0.0 6704.6 0.0 0.2 0.0 0.0 6705.2 Total 11306.6 0.0 0.0 22.8 1651.4 0.0 0.0 123.5 0.0 13104.3 Page 78/151</w:t>
      </w:r>
    </w:p>
    <w:p>
      <w:pPr>
        <w:pStyle w:val="DocBody"/>
      </w:pPr>
      <w:r>
        <w:rPr>
          <w:rFonts w:ascii="Times New Roman" w:hAnsi="Times New Roman" w:eastAsia="宋体"/>
          <w:sz w:val="24"/>
        </w:rPr>
        <w:t>ESA UNCLASSIFIED - Releasable to the Public 3.5. Conjunction statistics in LEO in 2025 This section aims to provide an assessment of the short-term risk related to space debris, quantified in terms of the number of conjunctions expected in different orbital regions, distinguishing also the type of secondary object involved in the conjunction. For the purpose of this report, a conjunction is understood as a geometric close ap- proach between two objects, irrespective of their activity status, triggering an operator analysis but not necessarily an avoidance manoeuvre nor implying a collision.</w:t>
      </w:r>
    </w:p>
    <w:p>
      <w:pPr>
        <w:pStyle w:val="DocBody"/>
      </w:pPr>
      <w:r>
        <w:rPr>
          <w:rFonts w:ascii="Times New Roman" w:hAnsi="Times New Roman" w:eastAsia="宋体"/>
          <w:sz w:val="24"/>
        </w:rPr>
        <w:t>The first step of the analysis is to define some representative target (or primary) objects in the conjunctions. The physical characteristics of the objects are derived from the average parameters of active payloads in LEOIADC, reported in Fig. 2.31. In particular, a mass value of 355 kg and a cross-sectional area of 6 m2 were used for the analysis based on the averages for 2020 and applied also to 2025 considering the consistent trend in the properties shown in Fig. 2.31, especially when considering non-constellation payloads. For what concerns the orbital parameters of the targets, two approaches are used here. The first set of representative targets is defined by looking at the distribution of active payloads in LEOIADC in semi-major axis and inclination as shown in Fig. 3.7, and a total of seven targets were defined for this analysis. The second approach is to define a set of targets in the Sun-Synchronous region; in particular, seven targets are defined to cover the region between 400 and 1000 km in altitude. In both cases, twelve values of the initial longitude of ascending nodes are considered and the results presented in the following are the mean across the simulated cases for each target.</w:t>
      </w:r>
    </w:p>
    <w:p>
      <w:pPr>
        <w:pStyle w:val="DocBody"/>
      </w:pPr>
      <w:r>
        <w:rPr>
          <w:rFonts w:ascii="Times New Roman" w:hAnsi="Times New Roman" w:eastAsia="宋体"/>
          <w:sz w:val="24"/>
        </w:rPr>
        <w:t>In both cases, the trajectory of the targets is propagated for one year (from 1st January 2025 to 31st December 2025) and for each day of the year an analysis is run to detect potential conjunctions with catalogued objects, by using ESACRASS (Collision RiskASsessment Software) [22]. For the analysis shown here, General Perturbations (GP) data is retrieved to define the orbits of the secondary objects involved in the conjunctions [23]. The data in DISCOS is used to further characterise the secondary object, for example in terms of its size and its category. In addition to the object categories defined in Section 1.1, the following subcategories are introduced:</w:t>
      </w:r>
    </w:p>
    <w:p>
      <w:pPr>
        <w:pStyle w:val="DocBody"/>
      </w:pPr>
      <w:r>
        <w:rPr>
          <w:rFonts w:ascii="Times New Roman" w:hAnsi="Times New Roman" w:eastAsia="宋体"/>
          <w:sz w:val="24"/>
        </w:rPr>
        <w:t>• Payloads is further distinguished in:</w:t>
      </w:r>
    </w:p>
    <w:p>
      <w:pPr>
        <w:pStyle w:val="DocBody"/>
      </w:pPr>
      <w:r>
        <w:rPr>
          <w:rFonts w:ascii="Times New Roman" w:hAnsi="Times New Roman" w:eastAsia="宋体"/>
          <w:sz w:val="24"/>
        </w:rPr>
        <w:t>– Constellation objects, payloads belonging to a constellation, – Small satellites, payloads with a mass smaller than 15 kg, – Other Payloads, all the other payloads.</w:t>
      </w:r>
    </w:p>
    <w:p>
      <w:pPr>
        <w:pStyle w:val="DocBody"/>
      </w:pPr>
      <w:r>
        <w:rPr>
          <w:rFonts w:ascii="Times New Roman" w:hAnsi="Times New Roman" w:eastAsia="宋体"/>
          <w:sz w:val="24"/>
        </w:rPr>
        <w:t>– Each payload category is divided into active and inactive objects. Objects are considered to be active if a communication link exists and data is collected, implying that space traffic coordination may be achieved even if the active object is not manoeuvrable.</w:t>
      </w:r>
    </w:p>
    <w:p>
      <w:pPr>
        <w:pStyle w:val="DocBody"/>
      </w:pPr>
      <w:r>
        <w:rPr>
          <w:rFonts w:ascii="Times New Roman" w:hAnsi="Times New Roman" w:eastAsia="宋体"/>
          <w:sz w:val="24"/>
        </w:rPr>
        <w:t>• Payload fragmentation debris, four subcategories were defined to collect objects belonging to the fragmen- tation events with the highest number of catalogued objects.</w:t>
      </w:r>
    </w:p>
    <w:p>
      <w:pPr>
        <w:pStyle w:val="DocBody"/>
      </w:pPr>
      <w:r>
        <w:rPr>
          <w:rFonts w:ascii="Times New Roman" w:hAnsi="Times New Roman" w:eastAsia="宋体"/>
          <w:sz w:val="24"/>
        </w:rPr>
        <w:t>– Fengyun 1C Fragmentation Debris, objects generated by the fragmentation of Fengyun 1C (1999-25A), with mass 958.0 kg, on the 11/01/2007 at an altitude between 843.3 and 863.3 km and inclination of 98.6 degrees.</w:t>
      </w:r>
    </w:p>
    <w:p>
      <w:pPr>
        <w:pStyle w:val="DocBody"/>
      </w:pPr>
      <w:r>
        <w:rPr>
          <w:rFonts w:ascii="Times New Roman" w:hAnsi="Times New Roman" w:eastAsia="宋体"/>
          <w:sz w:val="24"/>
        </w:rPr>
        <w:t>– Cosmos-2251 Fragmentation Debris, objects generated by the fragmentation of Cosmos-2251 (1993- 36A), with mass 892.0 kg, on the 10/02/2009 at an altitude between 776.1 and 791.1 km and inclination of 86.4 degrees.</w:t>
      </w:r>
    </w:p>
    <w:p>
      <w:pPr>
        <w:pStyle w:val="DocBody"/>
      </w:pPr>
      <w:r>
        <w:rPr>
          <w:rFonts w:ascii="Times New Roman" w:hAnsi="Times New Roman" w:eastAsia="宋体"/>
          <w:sz w:val="24"/>
        </w:rPr>
        <w:t>– Iridium 33 Fragmentation Debris, objects generated by the fragmentation of Iridium 33 (1997-51C), with mass 661.0 kg, on the 10/02/2009 at an altitude between 776.2 and 779.4 km and inclination of 86.4 degrees.</w:t>
      </w:r>
    </w:p>
    <w:p>
      <w:pPr>
        <w:pStyle w:val="DocBody"/>
      </w:pPr>
      <w:r>
        <w:rPr>
          <w:rFonts w:ascii="Times New Roman" w:hAnsi="Times New Roman" w:eastAsia="宋体"/>
          <w:sz w:val="24"/>
        </w:rPr>
        <w:t>Page 79/151</w:t>
      </w:r>
    </w:p>
    <w:p>
      <w:pPr>
        <w:pStyle w:val="DocBody"/>
      </w:pPr>
      <w:r>
        <w:rPr>
          <w:rFonts w:ascii="Times New Roman" w:hAnsi="Times New Roman" w:eastAsia="宋体"/>
          <w:sz w:val="24"/>
        </w:rPr>
        <w:t>ESA UNCLASSIFIED - Releasable to the Public – Cosmos-1408 Fragmentation Debris, objects generated by the fragmentation of Cosmos-1408 (1982- 92A), with mass 2180.4 kg, on the 15/11/2021 at an altitude between 465.0 and 490.5 km and inclination of 82.6 degrees.</w:t>
      </w:r>
    </w:p>
    <w:p>
      <w:pPr>
        <w:pStyle w:val="DocBody"/>
      </w:pPr>
      <w:r>
        <w:rPr>
          <w:rFonts w:ascii="Times New Roman" w:hAnsi="Times New Roman" w:eastAsia="宋体"/>
          <w:sz w:val="24"/>
        </w:rPr>
        <w:t>– Other Payload fragmentation debris, all the other payload fragmentation debris.</w:t>
      </w:r>
    </w:p>
    <w:p>
      <w:pPr>
        <w:pStyle w:val="DocBody"/>
      </w:pPr>
      <w:r>
        <w:rPr>
          <w:rFonts w:ascii="Times New Roman" w:hAnsi="Times New Roman" w:eastAsia="宋体"/>
          <w:sz w:val="24"/>
        </w:rPr>
        <w:t>• Rocket fragmentation debris, four subcategories were defined to collect objects belonging to the fragmenta- tion events with the highest number of catalogued objects.</w:t>
      </w:r>
    </w:p>
    <w:p>
      <w:pPr>
        <w:pStyle w:val="DocBody"/>
      </w:pPr>
      <w:r>
        <w:rPr>
          <w:rFonts w:ascii="Times New Roman" w:hAnsi="Times New Roman" w:eastAsia="宋体"/>
          <w:sz w:val="24"/>
        </w:rPr>
        <w:t>– Centaur-5 SEC Fragmentation Debris, objects generated by the fragmentation of Centaur-5 SEC (2018- 79B), with mass 2020.0 kg, on the 06/04/2019 at an altitude between 8526.3 and 35092.8 km and inclination of 12.0 degrees.</w:t>
      </w:r>
    </w:p>
    <w:p>
      <w:pPr>
        <w:pStyle w:val="DocBody"/>
      </w:pPr>
      <w:r>
        <w:rPr>
          <w:rFonts w:ascii="Times New Roman" w:hAnsi="Times New Roman" w:eastAsia="宋体"/>
          <w:sz w:val="24"/>
        </w:rPr>
        <w:t>– HAPS Fragmentation Debris, objects generated by the fragmentation of HAPS (1994-29B), with mass 96.1 kg, on the 03/06/1996 at an altitude between 584.1 and 818.9 km and inclination of 82.0 degrees.</w:t>
      </w:r>
    </w:p>
    <w:p>
      <w:pPr>
        <w:pStyle w:val="DocBody"/>
      </w:pPr>
      <w:r>
        <w:rPr>
          <w:rFonts w:ascii="Times New Roman" w:hAnsi="Times New Roman" w:eastAsia="宋体"/>
          <w:sz w:val="24"/>
        </w:rPr>
        <w:t>– L-15 (YF115) Fragmentation Debris, objects generated by the fragmentation of L-15 (YF115) (2022- 151B), with mass 6000.0 kg, on the 12/11/2022 at an altitude between 813.5 and 847.1 km and inclina- tion of 98.8 degrees.</w:t>
      </w:r>
    </w:p>
    <w:p>
      <w:pPr>
        <w:pStyle w:val="DocBody"/>
      </w:pPr>
      <w:r>
        <w:rPr>
          <w:rFonts w:ascii="Times New Roman" w:hAnsi="Times New Roman" w:eastAsia="宋体"/>
          <w:sz w:val="24"/>
        </w:rPr>
        <w:t>– L-15 (YF115) Fragmentation Debris, objects generated by the fragmentation of L-15 (YF115) (2024- 140U), with mass 6000.0 kg, on the 06/08/2024 at an altitude between 797.9 and 855.7 km and incli- nation of 89.0 degrees.</w:t>
      </w:r>
    </w:p>
    <w:p>
      <w:pPr>
        <w:pStyle w:val="DocBody"/>
      </w:pPr>
      <w:r>
        <w:rPr>
          <w:rFonts w:ascii="Times New Roman" w:hAnsi="Times New Roman" w:eastAsia="宋体"/>
          <w:sz w:val="24"/>
        </w:rPr>
        <w:t>– Other Rocket fragmentation debris, all the other rocket fragmentation debris.</w:t>
      </w:r>
    </w:p>
    <w:p>
      <w:pPr>
        <w:pStyle w:val="DocBody"/>
      </w:pPr>
      <w:r>
        <w:rPr>
          <w:rFonts w:ascii="Times New Roman" w:hAnsi="Times New Roman" w:eastAsia="宋体"/>
          <w:sz w:val="24"/>
        </w:rPr>
        <w:t>Additional information on the fragmentation events can be found in ESA Fragmentation Database [21].</w:t>
      </w:r>
    </w:p>
    <w:p>
      <w:pPr>
        <w:pStyle w:val="DocBody"/>
      </w:pPr>
      <w:r>
        <w:rPr>
          <w:rFonts w:ascii="Times New Roman" w:hAnsi="Times New Roman" w:eastAsia="宋体"/>
          <w:sz w:val="24"/>
        </w:rPr>
        <w:t>For each conjunction, the encounter geometry (i.e. the relative orientation of the orbits and time of closest ap- proach) is retrieved from CRASS, whereas the computation of the collision probability is performed using Alfriend- Akella’s method [24]. The values of positional uncertainty required for the collision probability calculation are ob- tained with the methodology in [25], where the covariance for an object is dependent on its size, orbit (i.e. perigee altitude, eccentricity, inclination) and time between the assessment and the Time of Close Approach (TCA).</w:t>
      </w:r>
    </w:p>
    <w:p>
      <w:pPr>
        <w:pStyle w:val="DocBody"/>
      </w:pPr>
      <w:r>
        <w:rPr>
          <w:rFonts w:ascii="Times New Roman" w:hAnsi="Times New Roman" w:eastAsia="宋体"/>
          <w:sz w:val="24"/>
        </w:rPr>
        <w:t>In the results in the following, the conjunctions are grouped in events, where an event is defined by a pair of primary and secondary objects and a given TCA. The number of conjunction events with collision probability above 10−6 within three days to TCA is shown in Fig. 3.10 and Fig. 3.11, which refer, respectively, to targets defined based on the distribution of payload objects and to targets defined along the Sun-Synchronous region. The threshold at 10−6 is usually well below the reaction threshold for payloads in LEOIADC (i.e. the events in Fig. 3.10 and Fig. 3.11 will not all result in collision avoidance manoeuvres), but this threshold could be already representative of events where increased monitoring of the conjunction is activated.</w:t>
      </w:r>
    </w:p>
    <w:p>
      <w:pPr>
        <w:pStyle w:val="DocBody"/>
      </w:pPr>
      <w:r>
        <w:rPr>
          <w:rFonts w:ascii="Times New Roman" w:hAnsi="Times New Roman" w:eastAsia="宋体"/>
          <w:sz w:val="24"/>
        </w:rPr>
        <w:t>In addition to the yearly statistics, the analysis has been systematically repeated yearly since 2015. This shows, particularly in the lower LEOIADC regime, the increase of conjunction events that require coordination between active operators due to the change in space traffic, whereas higher orbits remain dominated by space debris related events.</w:t>
      </w:r>
    </w:p>
    <w:p>
      <w:pPr>
        <w:pStyle w:val="DocBody"/>
      </w:pPr>
      <w:r>
        <w:rPr>
          <w:rFonts w:ascii="Times New Roman" w:hAnsi="Times New Roman" w:eastAsia="宋体"/>
          <w:sz w:val="24"/>
        </w:rPr>
        <w:t>Page 80/151</w:t>
      </w:r>
    </w:p>
    <w:p>
      <w:pPr>
        <w:pStyle w:val="DocBody"/>
      </w:pPr>
      <w:r>
        <w:rPr>
          <w:rFonts w:ascii="Times New Roman" w:hAnsi="Times New Roman" w:eastAsia="宋体"/>
          <w:sz w:val="24"/>
        </w:rPr>
        <w:t>ESA UNCLASSIFIED - Releasable to the Public h=500km i=97.4° h=550km i=53° h=700km i=98.19° h=800km i=98.6° h=1250km i=85° h=1400km i=52°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3.10: Conjunction events with collision probability above 10−6, and corresponding chaser classification, for a set of representative targets over 2025.</w:t>
      </w:r>
    </w:p>
    <w:p>
      <w:pPr>
        <w:pStyle w:val="DocBody"/>
      </w:pPr>
      <w:r>
        <w:rPr>
          <w:rFonts w:ascii="Times New Roman" w:hAnsi="Times New Roman" w:eastAsia="宋体"/>
          <w:sz w:val="24"/>
        </w:rPr>
        <w:t>Page 81/151</w:t>
      </w:r>
    </w:p>
    <w:p>
      <w:pPr>
        <w:pStyle w:val="DocBody"/>
      </w:pPr>
      <w:r>
        <w:rPr>
          <w:rFonts w:ascii="Times New Roman" w:hAnsi="Times New Roman" w:eastAsia="宋体"/>
          <w:sz w:val="24"/>
        </w:rPr>
        <w:t>ESA UNCLASSIFIED - Releasable to the Public h=400km i=97.03° h=500km i=97.4° h=600km i=97.79° h=700km i=98.19° h=800km i=98.6° h=900km i=99.03° h=1000km i=99.48° Number of conjunction events Rocket Debris Rocket Mission Related Object L-15 (YF-115) (Long March (CZ) 6A) Fragmentation Debris HAPS Fragmentation Debris Other Rocket Fragmentation Debris Rocket Body Payload Debris Payload Mission Related Object Fengyun 1C Fragmentation Debris Cosmos-2251 Fragmentation Debris Iridium 33 Fragmentation Debris Other Payload Fragmentation Debris Constellations: Active Constellations: Inactive Small satellites: Active Small satellites: Inactive Other Payload: Active Other Payload: Inactive Figure 3.11: Conjunction events with collision probability above 10−6, and chaser classification, for a set of repre- sentative targets in Sun-synchronous orbits over 2025.</w:t>
      </w:r>
    </w:p>
    <w:p>
      <w:pPr>
        <w:pStyle w:val="DocBody"/>
      </w:pPr>
      <w:r>
        <w:rPr>
          <w:rFonts w:ascii="Times New Roman" w:hAnsi="Times New Roman" w:eastAsia="宋体"/>
          <w:sz w:val="24"/>
        </w:rPr>
        <w:t>Page 82/151</w:t>
      </w:r>
    </w:p>
    <w:p>
      <w:pPr>
        <w:pStyle w:val="DocBody"/>
      </w:pPr>
      <w:r>
        <w:rPr>
          <w:rFonts w:ascii="Times New Roman" w:hAnsi="Times New Roman" w:eastAsia="宋体"/>
          <w:sz w:val="24"/>
        </w:rPr>
        <w:t>ESA UNCLASSIFIED - Releasable to the Public h = 400km, i = 97.03° Unknown Rocket Debris Rocket Mission Related Object L-15 (YF-115) (Long March (CZ) 6A) Fragmentation Debris HAPS Fragmentation Debris Other Rocket Fragmentation Debris Rocket Body Payload Debris Payload Mission Related Object Fengyun 1C Fragmentation Debris Cosmos-1408 Fragmentation Debris Cosmos-2251 Fragmentation Debris Iridium 33 Fragmentation Debris Other Payload Fragmentation Debris Constellations Small satellites Other Payload h = 500km, i = 97.4° h = 600km, i = 97.79° Number of conjunction events h = 700km, i = 98.19° h = 800km, i = 98.6° h = 900km, i = 99.03° 2015 2016 2017 2018 2019 2020 2021 2022 2023 2024 2025 h = 1000km, i = 99.48° Figure 3.12: Conjunction events with collision probability above 10−6, and chaser classification, for a set of repre- sentative targets in Sun-synchronous orbits over multiple years.</w:t>
      </w:r>
    </w:p>
    <w:p>
      <w:pPr>
        <w:pStyle w:val="DocBody"/>
      </w:pPr>
      <w:r>
        <w:rPr>
          <w:rFonts w:ascii="Times New Roman" w:hAnsi="Times New Roman" w:eastAsia="宋体"/>
          <w:sz w:val="24"/>
        </w:rPr>
        <w:t>Page 83/151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INTENTIONAL OBJECT RELEASE A major part of the space debris mitigation measures are dedicated to the avoidance of intentionally releasing space debris of a rocket body or payload as part of the mission. This type of mission related objects can generally be sub-categorised into functional parts that are designed to be released after they are no longer required, e.g.</w:t>
      </w:r>
    </w:p>
    <w:p>
      <w:pPr>
        <w:pStyle w:val="DocBody"/>
      </w:pPr>
      <w:r>
        <w:rPr>
          <w:rFonts w:ascii="Times New Roman" w:hAnsi="Times New Roman" w:eastAsia="宋体"/>
          <w:sz w:val="24"/>
        </w:rPr>
        <w:t>covers protecting instruments during launch, or combustion related products that support the main mission, e.g.</w:t>
      </w:r>
    </w:p>
    <w:p>
      <w:pPr>
        <w:pStyle w:val="DocBody"/>
      </w:pPr>
      <w:r>
        <w:rPr>
          <w:rFonts w:ascii="Times New Roman" w:hAnsi="Times New Roman" w:eastAsia="宋体"/>
          <w:sz w:val="24"/>
        </w:rPr>
        <w:t>slag from solid rocket motors, or pyrotechnics. Objects from both subcategories can generally be avoided by design changes on the rocket bodies or payloads. For example, camera covers can be opened and folded away instead, or pyrotechnically expelled and solid rocket motor slag can be avoided by using on-board chemical or electrical propulsion systems. Small, i.e. sub millimetre, combustion related particles do contribute to the space debris environment but are not considered a threat. Most pyrotechnic devices fall under this case.</w:t>
      </w:r>
    </w:p>
    <w:p>
      <w:pPr>
        <w:pStyle w:val="DocBody"/>
      </w:pPr>
      <w:r>
        <w:rPr>
          <w:rFonts w:ascii="Times New Roman" w:hAnsi="Times New Roman" w:eastAsia="宋体"/>
          <w:sz w:val="24"/>
        </w:rPr>
        <w:t>In this section, the evolution in terms of occurrence of this type of space debris is illustrated.</w:t>
      </w:r>
    </w:p>
    <w:p>
      <w:pPr>
        <w:pStyle w:val="DocBody"/>
      </w:pPr>
      <w:r>
        <w:rPr>
          <w:rFonts w:ascii="Times New Roman" w:hAnsi="Times New Roman" w:eastAsia="宋体"/>
          <w:sz w:val="24"/>
        </w:rPr>
        <w:t>4.1. Mission Related Objects As metric for the adherence to space debris mitigations guidelines, the release of catalogued mission related objects can be used. For every single payload and rocket body, the amount of released and catalogued mission related objects are counted. Furthermore, the fraction of payloads and rocket bodies releasing mission related objects to the total amount of payloads and rocket bodies launched in given year is presented.</w:t>
      </w:r>
    </w:p>
    <w:p>
      <w:pPr>
        <w:pStyle w:val="DocBody"/>
      </w:pPr>
      <w:r>
        <w:rPr>
          <w:rFonts w:ascii="Times New Roman" w:hAnsi="Times New Roman" w:eastAsia="宋体"/>
          <w:sz w:val="24"/>
        </w:rPr>
        <w:t>Launch Year Count Total Payload Mission Related Objects Count Mass Mass [tons] Figure 4.1: Total number and mass of catalogued mission related objects released from payloads.</w:t>
      </w:r>
    </w:p>
    <w:p>
      <w:pPr>
        <w:pStyle w:val="DocBody"/>
      </w:pPr>
      <w:r>
        <w:rPr>
          <w:rFonts w:ascii="Times New Roman" w:hAnsi="Times New Roman" w:eastAsia="宋体"/>
          <w:sz w:val="24"/>
        </w:rPr>
        <w:t>Page 84/151</w:t>
      </w:r>
    </w:p>
    <w:p>
      <w:pPr>
        <w:pStyle w:val="DocBody"/>
      </w:pPr>
      <w:r>
        <w:rPr>
          <w:rFonts w:ascii="Times New Roman" w:hAnsi="Times New Roman" w:eastAsia="宋体"/>
          <w:sz w:val="24"/>
        </w:rPr>
        <w:t>ESA UNCLASSIFIED - Releasable to the Public Launch Year Count Total Rocket Mission Related Objects Count Mass Mass [tons] Figure 4.2: Total number and mass of catalogued mission related objects released from rocket bodies.</w:t>
      </w:r>
    </w:p>
    <w:p>
      <w:pPr>
        <w:pStyle w:val="DocBody"/>
      </w:pPr>
      <w:r>
        <w:rPr>
          <w:rFonts w:ascii="Times New Roman" w:hAnsi="Times New Roman" w:eastAsia="宋体"/>
          <w:sz w:val="24"/>
        </w:rPr>
        <w:t>Launch Year Fraction [%] Fraction of MRO Release Events by Source Payloads Rockets Figure 4.3: Fraction of mission related objects releases per year w.r.t. the total amount of payloads and rocket bodies injected into the space environment during that year.</w:t>
      </w:r>
    </w:p>
    <w:p>
      <w:pPr>
        <w:pStyle w:val="DocBody"/>
      </w:pPr>
      <w:r>
        <w:rPr>
          <w:rFonts w:ascii="Times New Roman" w:hAnsi="Times New Roman" w:eastAsia="宋体"/>
          <w:sz w:val="24"/>
        </w:rPr>
        <w:t>Page 85/151</w:t>
      </w:r>
    </w:p>
    <w:p>
      <w:pPr>
        <w:pStyle w:val="DocBody"/>
      </w:pPr>
      <w:r>
        <w:rPr>
          <w:rFonts w:ascii="Times New Roman" w:hAnsi="Times New Roman" w:eastAsia="宋体"/>
          <w:sz w:val="24"/>
        </w:rPr>
        <w:t>ESA UNCLASSIFIED - Releasable to the Public LEO MEO LMO HEO ESO GHO EGO GTO MGO NSO GEO IGO HAO orbit_class Number of objects Figure 4.4: Distribution of release orbits for Payload Mission Related Objects since the start of the space age.</w:t>
      </w:r>
    </w:p>
    <w:p>
      <w:pPr>
        <w:pStyle w:val="DocBody"/>
      </w:pPr>
      <w:r>
        <w:rPr>
          <w:rFonts w:ascii="Times New Roman" w:hAnsi="Times New Roman" w:eastAsia="宋体"/>
          <w:sz w:val="24"/>
        </w:rPr>
        <w:t>LEO LMO MEO GTO GEO NSO MGO HEO EGO orbit_class Number of objects Figure 4.5: Distribution of release orbits for Rocket Body Mission Related Objects since the start of the space age.</w:t>
      </w:r>
    </w:p>
    <w:p>
      <w:pPr>
        <w:pStyle w:val="DocBody"/>
      </w:pPr>
      <w:r>
        <w:rPr>
          <w:rFonts w:ascii="Times New Roman" w:hAnsi="Times New Roman" w:eastAsia="宋体"/>
          <w:sz w:val="24"/>
        </w:rPr>
        <w:t>Page 86/151</w:t>
      </w:r>
    </w:p>
    <w:p>
      <w:pPr>
        <w:pStyle w:val="DocBody"/>
      </w:pPr>
      <w:r>
        <w:rPr>
          <w:rFonts w:ascii="Times New Roman" w:hAnsi="Times New Roman" w:eastAsia="宋体"/>
          <w:sz w:val="24"/>
        </w:rPr>
        <w:t>ESA UNCLASSIFIED - Releasable to the Public Mean altitude [km] Inclination [deg] Launch year 20000 40000 60000 80000 100000 120000 Mean altitude [km] Inclination [deg] Launch year Figure 4.6: Distribution of release orbits for Payload Mission Related Objects in LEO (left) and outside LEO (right).</w:t>
      </w:r>
    </w:p>
    <w:p>
      <w:pPr>
        <w:pStyle w:val="DocBody"/>
      </w:pPr>
      <w:r>
        <w:rPr>
          <w:rFonts w:ascii="Times New Roman" w:hAnsi="Times New Roman" w:eastAsia="宋体"/>
          <w:sz w:val="24"/>
        </w:rPr>
        <w:t>The size of the marker is proportional to the object mass.</w:t>
      </w:r>
    </w:p>
    <w:p>
      <w:pPr>
        <w:pStyle w:val="DocBody"/>
      </w:pPr>
      <w:r>
        <w:rPr>
          <w:rFonts w:ascii="Times New Roman" w:hAnsi="Times New Roman" w:eastAsia="宋体"/>
          <w:sz w:val="24"/>
        </w:rPr>
        <w:t>Mean altitude [km] Inclination [deg] Launch year 25000 50000 75000 100000 125000 150000 Mean altitude [km] Inclination [deg] Launch year Figure 4.7: Distribution of release orbits for Rocket Body Mission Related Objects in LEO (left) and outside LEO (right). The size of the marker is proportional to the object mass.</w:t>
      </w:r>
    </w:p>
    <w:p>
      <w:pPr>
        <w:pStyle w:val="DocBody"/>
      </w:pPr>
      <w:r>
        <w:rPr>
          <w:rFonts w:ascii="Times New Roman" w:hAnsi="Times New Roman" w:eastAsia="宋体"/>
          <w:sz w:val="24"/>
        </w:rPr>
        <w:t>Page 87/151</w:t>
      </w:r>
    </w:p>
    <w:p>
      <w:pPr>
        <w:pStyle w:val="DocBody"/>
      </w:pPr>
      <w:r>
        <w:rPr>
          <w:rFonts w:ascii="Times New Roman" w:hAnsi="Times New Roman" w:eastAsia="宋体"/>
          <w:sz w:val="24"/>
        </w:rPr>
        <w:t>ESA UNCLASSIFIED - Releasable to the Public 4.2. Solid Rocket Motor Firings As a metric of the adherence to space debris mitigations guidelines the amount of solid rocket motor firings for asserted objects can be used. The propellant mass associated with each firing is given versus the date of the firing. Not all solid rocket motor firings are equally damaging for the space environment, i.e. solid rocket motor fuels which do not create large slag particles have been developed. However, such an identification is not made in this section.</w:t>
      </w:r>
    </w:p>
    <w:p>
      <w:pPr>
        <w:pStyle w:val="DocBody"/>
      </w:pPr>
      <w:r>
        <w:rPr>
          <w:rFonts w:ascii="Times New Roman" w:hAnsi="Times New Roman" w:eastAsia="宋体"/>
          <w:sz w:val="24"/>
        </w:rPr>
        <w:t>Epoch Propellant mass [kg] Figure 4.8: Evolution solid rocket motor firings.</w:t>
      </w:r>
    </w:p>
    <w:p>
      <w:pPr>
        <w:pStyle w:val="DocBody"/>
      </w:pPr>
      <w:r>
        <w:rPr>
          <w:rFonts w:ascii="Times New Roman" w:hAnsi="Times New Roman" w:eastAsia="宋体"/>
          <w:sz w:val="24"/>
        </w:rPr>
        <w:t>Year Number of firings LEO IGO GTO GHO LMO MGO HEO Other Figure 4.9: Evolution solid rocket motor firings by orbit type.</w:t>
      </w:r>
    </w:p>
    <w:p>
      <w:pPr>
        <w:pStyle w:val="DocBody"/>
      </w:pPr>
      <w:r>
        <w:rPr>
          <w:rFonts w:ascii="Times New Roman" w:hAnsi="Times New Roman" w:eastAsia="宋体"/>
          <w:sz w:val="24"/>
        </w:rPr>
        <w:t>Page 88/151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FRAGMENTATION HISTORY Since the beginning of the space age until the end of 2025, there have been 661 confirmed on-orbit fragmentation events. In Fig. 5.2, the historical trend of the amount of fragmentation events per year is shown, as a function of the event date and the launch date, respectively. Fragmentation events are currently being categorised in main and sub-classes according to the assessed break-up cause. In the first list of classes, the break-up cause is fairly well known:</w:t>
      </w:r>
    </w:p>
    <w:p>
      <w:pPr>
        <w:pStyle w:val="DocBody"/>
      </w:pPr>
      <w:r>
        <w:rPr>
          <w:rFonts w:ascii="Times New Roman" w:hAnsi="Times New Roman" w:eastAsia="宋体"/>
          <w:sz w:val="24"/>
        </w:rPr>
        <w:t>Accidental: Subsystems that showed design flaws ultimately leading to breakups in some cases. This includes, for example, the breakup of Hitomi (Astro-H) in 2016 or the sub-class of Oko satellites.</w:t>
      </w:r>
    </w:p>
    <w:p>
      <w:pPr>
        <w:pStyle w:val="DocBody"/>
      </w:pPr>
      <w:r>
        <w:rPr>
          <w:rFonts w:ascii="Times New Roman" w:hAnsi="Times New Roman" w:eastAsia="宋体"/>
          <w:sz w:val="24"/>
        </w:rPr>
        <w:t>Cosmos 862 Class (Explosive Charge): The Oko missile early warning satellites were launched into Mol- niya orbits. Each satellite carried an explosive charge in order to destroy it in case of a malfunction.</w:t>
      </w:r>
    </w:p>
    <w:p>
      <w:pPr>
        <w:pStyle w:val="DocBody"/>
      </w:pPr>
      <w:r>
        <w:rPr>
          <w:rFonts w:ascii="Times New Roman" w:hAnsi="Times New Roman" w:eastAsia="宋体"/>
          <w:sz w:val="24"/>
        </w:rPr>
        <w:t>Reportedly, the control of this mechanism was unreliable.</w:t>
      </w:r>
    </w:p>
    <w:p>
      <w:pPr>
        <w:pStyle w:val="DocBody"/>
      </w:pPr>
      <w:r>
        <w:rPr>
          <w:rFonts w:ascii="Times New Roman" w:hAnsi="Times New Roman" w:eastAsia="宋体"/>
          <w:sz w:val="24"/>
        </w:rPr>
        <w:t>Aerodynamics: A breakup most often caused by an overpressure due to atmospheric drag.</w:t>
      </w:r>
    </w:p>
    <w:p>
      <w:pPr>
        <w:pStyle w:val="DocBody"/>
      </w:pPr>
      <w:r>
        <w:rPr>
          <w:rFonts w:ascii="Times New Roman" w:hAnsi="Times New Roman" w:eastAsia="宋体"/>
          <w:sz w:val="24"/>
        </w:rPr>
        <w:t>Collision: There have been several collisions observed between objects. A sub-class are so-called small im- pactors.</w:t>
      </w:r>
    </w:p>
    <w:p>
      <w:pPr>
        <w:pStyle w:val="DocBody"/>
      </w:pPr>
      <w:r>
        <w:rPr>
          <w:rFonts w:ascii="Times New Roman" w:hAnsi="Times New Roman" w:eastAsia="宋体"/>
          <w:sz w:val="24"/>
        </w:rPr>
        <w:t>Small Impactor: Caused by a collision, but without explicit evidence for an impactor. Changes in the angular momentum, attitude and subsystem failures are, however, indirect indications of an impact.</w:t>
      </w:r>
    </w:p>
    <w:p>
      <w:pPr>
        <w:pStyle w:val="DocBody"/>
      </w:pPr>
      <w:r>
        <w:rPr>
          <w:rFonts w:ascii="Times New Roman" w:hAnsi="Times New Roman" w:eastAsia="宋体"/>
          <w:sz w:val="24"/>
        </w:rPr>
        <w:t>Deliberate: All intentional breakup events.</w:t>
      </w:r>
    </w:p>
    <w:p>
      <w:pPr>
        <w:pStyle w:val="DocBody"/>
      </w:pPr>
      <w:r>
        <w:rPr>
          <w:rFonts w:ascii="Times New Roman" w:hAnsi="Times New Roman" w:eastAsia="宋体"/>
          <w:sz w:val="24"/>
        </w:rPr>
        <w:t>ASAT: Anti-satellite tests.</w:t>
      </w:r>
    </w:p>
    <w:p>
      <w:pPr>
        <w:pStyle w:val="DocBody"/>
      </w:pPr>
      <w:r>
        <w:rPr>
          <w:rFonts w:ascii="Times New Roman" w:hAnsi="Times New Roman" w:eastAsia="宋体"/>
          <w:sz w:val="24"/>
        </w:rPr>
        <w:t>Cosmos 2031 Class: The Orlets reconnaissance satellites were introduced in 1989 and employed detona- tion as a standard procedure after the nominal mission.</w:t>
      </w:r>
    </w:p>
    <w:p>
      <w:pPr>
        <w:pStyle w:val="DocBody"/>
      </w:pPr>
      <w:r>
        <w:rPr>
          <w:rFonts w:ascii="Times New Roman" w:hAnsi="Times New Roman" w:eastAsia="宋体"/>
          <w:sz w:val="24"/>
        </w:rPr>
        <w:t>Payload Recovery Failure: Some satellites were designed such that they exploded as soon as a non- nominal re-entry was detected.</w:t>
      </w:r>
    </w:p>
    <w:p>
      <w:pPr>
        <w:pStyle w:val="DocBody"/>
      </w:pPr>
      <w:r>
        <w:rPr>
          <w:rFonts w:ascii="Times New Roman" w:hAnsi="Times New Roman" w:eastAsia="宋体"/>
          <w:sz w:val="24"/>
        </w:rPr>
        <w:t>RORSAT Reactor Core Ejection Class: Between 1980 and 1988, the Soviet Union re-orbited their Radar Ocean Reconnaissance Satellites (RORSAT) after a successful mission to a sufficiently high orbit around 900 km altitude. The manoeuvre was followed by a reactor core ejection, which resulted in an opening of the primary coolant loop (Sodium-Potassium or NaK alloy) and an associated release of NaK droplets.</w:t>
      </w:r>
    </w:p>
    <w:p>
      <w:pPr>
        <w:pStyle w:val="DocBody"/>
      </w:pPr>
      <w:r>
        <w:rPr>
          <w:rFonts w:ascii="Times New Roman" w:hAnsi="Times New Roman" w:eastAsia="宋体"/>
          <w:sz w:val="24"/>
        </w:rPr>
        <w:t>Electrical: Most of the events in this category occurred due to an overcharging and subsequent explosion of batteries. A sub-class is defined based on the satellite bus.</w:t>
      </w:r>
    </w:p>
    <w:p>
      <w:pPr>
        <w:pStyle w:val="DocBody"/>
      </w:pPr>
      <w:r>
        <w:rPr>
          <w:rFonts w:ascii="Times New Roman" w:hAnsi="Times New Roman" w:eastAsia="宋体"/>
          <w:sz w:val="24"/>
        </w:rPr>
        <w:t>Battery: Battery-related explosions may occur due to over-charging, over-temperature, short-circuits, over- discharging, structural issues or damage, in each cases leading to a thermal run-away and subsequent breakup.</w:t>
      </w:r>
    </w:p>
    <w:p>
      <w:pPr>
        <w:pStyle w:val="DocBody"/>
      </w:pPr>
      <w:r>
        <w:rPr>
          <w:rFonts w:ascii="Times New Roman" w:hAnsi="Times New Roman" w:eastAsia="宋体"/>
          <w:sz w:val="24"/>
        </w:rPr>
        <w:t>DMSP/NOAA Class: Based on the Television and InfraRed Observation Satellite (TIROS-N) satellite bus, some of the satellites in this series suffered from battery explosions.</w:t>
      </w:r>
    </w:p>
    <w:p>
      <w:pPr>
        <w:pStyle w:val="DocBody"/>
      </w:pPr>
      <w:r>
        <w:rPr>
          <w:rFonts w:ascii="Times New Roman" w:hAnsi="Times New Roman" w:eastAsia="宋体"/>
          <w:sz w:val="24"/>
        </w:rPr>
        <w:t>Propulsion: Stored energy for non-passivated propulsion-related subsystems might lead to an explosion, for example due to thermal stress. Several sub-classes are defined for rocket stages that showed repeated breakup events.</w:t>
      </w:r>
    </w:p>
    <w:p>
      <w:pPr>
        <w:pStyle w:val="DocBody"/>
      </w:pPr>
      <w:r>
        <w:rPr>
          <w:rFonts w:ascii="Times New Roman" w:hAnsi="Times New Roman" w:eastAsia="宋体"/>
          <w:sz w:val="24"/>
        </w:rPr>
        <w:t>Ariane Upper Stage: Breakups for the H8 and H10 cryogenic stages were observed, most likely due to overpressure and subsequent bulkhead rupture. Passivation was introduced in 1990.</w:t>
      </w:r>
    </w:p>
    <w:p>
      <w:pPr>
        <w:pStyle w:val="DocBody"/>
      </w:pPr>
      <w:r>
        <w:rPr>
          <w:rFonts w:ascii="Times New Roman" w:hAnsi="Times New Roman" w:eastAsia="宋体"/>
          <w:sz w:val="24"/>
        </w:rPr>
        <w:t>Page 89/151</w:t>
      </w:r>
    </w:p>
    <w:p>
      <w:pPr>
        <w:pStyle w:val="DocBody"/>
      </w:pPr>
      <w:r>
        <w:rPr>
          <w:rFonts w:ascii="Times New Roman" w:hAnsi="Times New Roman" w:eastAsia="宋体"/>
          <w:sz w:val="24"/>
        </w:rPr>
        <w:t>ESA UNCLASSIFIED - Releasable to the Public Briz-M: The fourth stage of the Proton rocket which is used to insert satellites into higher orbits.</w:t>
      </w:r>
    </w:p>
    <w:p>
      <w:pPr>
        <w:pStyle w:val="DocBody"/>
      </w:pPr>
      <w:r>
        <w:rPr>
          <w:rFonts w:ascii="Times New Roman" w:hAnsi="Times New Roman" w:eastAsia="宋体"/>
          <w:sz w:val="24"/>
        </w:rPr>
        <w:t>CZ-6A Upper Stage: The second stage of the Long March (CZ) 6A launcher (L-15 YF-115). Energic break- up events soon after launch assumed to be Propulsion related.</w:t>
      </w:r>
    </w:p>
    <w:p>
      <w:pPr>
        <w:pStyle w:val="DocBody"/>
      </w:pPr>
      <w:r>
        <w:rPr>
          <w:rFonts w:ascii="Times New Roman" w:hAnsi="Times New Roman" w:eastAsia="宋体"/>
          <w:sz w:val="24"/>
        </w:rPr>
        <w:t>Delta Upper Stage: There were several events for Delta second stages due to residual propellants until depletion burns were introduced in 1981.</w:t>
      </w:r>
    </w:p>
    <w:p>
      <w:pPr>
        <w:pStyle w:val="DocBody"/>
      </w:pPr>
      <w:r>
        <w:rPr>
          <w:rFonts w:ascii="Times New Roman" w:hAnsi="Times New Roman" w:eastAsia="宋体"/>
          <w:sz w:val="24"/>
        </w:rPr>
        <w:t>Proton Ullage Motor: The Blok D/DM upper stages of the Proton rocket used two ullage motors to support the main engine. They were released as the main engine performed its final burn.</w:t>
      </w:r>
    </w:p>
    <w:p>
      <w:pPr>
        <w:pStyle w:val="DocBody"/>
      </w:pPr>
      <w:r>
        <w:rPr>
          <w:rFonts w:ascii="Times New Roman" w:hAnsi="Times New Roman" w:eastAsia="宋体"/>
          <w:sz w:val="24"/>
        </w:rPr>
        <w:t>Titan Transtage: The upper stage of the Titan 3A rocket used a hypergolic fuel oxidizer combination.</w:t>
      </w:r>
    </w:p>
    <w:p>
      <w:pPr>
        <w:pStyle w:val="DocBody"/>
      </w:pPr>
      <w:r>
        <w:rPr>
          <w:rFonts w:ascii="Times New Roman" w:hAnsi="Times New Roman" w:eastAsia="宋体"/>
          <w:sz w:val="24"/>
        </w:rPr>
        <w:t>Tsyklon Upper Stage: The third stage of the Tsyklon-3 launcher used a hypergolic fuel oxidizer combina- tion.</w:t>
      </w:r>
    </w:p>
    <w:p>
      <w:pPr>
        <w:pStyle w:val="DocBody"/>
      </w:pPr>
      <w:r>
        <w:rPr>
          <w:rFonts w:ascii="Times New Roman" w:hAnsi="Times New Roman" w:eastAsia="宋体"/>
          <w:sz w:val="24"/>
        </w:rPr>
        <w:t>Zenit-2 Upper Stage: The second stage of the Zenit 2 launcher used an RP-1/Liquid oxygen propellant.</w:t>
      </w:r>
    </w:p>
    <w:p>
      <w:pPr>
        <w:pStyle w:val="DocBody"/>
      </w:pPr>
      <w:r>
        <w:rPr>
          <w:rFonts w:ascii="Times New Roman" w:hAnsi="Times New Roman" w:eastAsia="宋体"/>
          <w:sz w:val="24"/>
        </w:rPr>
        <w:t>A second list of classes relates to break-ups where the cause has not been well established. Events or sub-classes within these classes could be reclassified in the future:</w:t>
      </w:r>
    </w:p>
    <w:p>
      <w:pPr>
        <w:pStyle w:val="DocBody"/>
      </w:pPr>
      <w:r>
        <w:rPr>
          <w:rFonts w:ascii="Times New Roman" w:hAnsi="Times New Roman" w:eastAsia="宋体"/>
          <w:sz w:val="24"/>
        </w:rPr>
        <w:t>Anomalous: Defined as the unplanned separation, usually at low velocity, of one or more detectable objects from a satellite that remains essentially intact. This may include debris shedding due to material deterioration, which includes insulation material or solar panels all of which have been observed from ground in the past. Events with sufficient evidence for an impact of debris or micrometeroids are classified under Small Impactor. Sub- classes for anomalous events are defined, as soon as events occur multiple times for the same spacecraft or bus type.</w:t>
      </w:r>
    </w:p>
    <w:p>
      <w:pPr>
        <w:pStyle w:val="DocBody"/>
      </w:pPr>
      <w:r>
        <w:rPr>
          <w:rFonts w:ascii="Times New Roman" w:hAnsi="Times New Roman" w:eastAsia="宋体"/>
          <w:sz w:val="24"/>
        </w:rPr>
        <w:t>Cosmos-3 Class: Soviet/Russian launcher for small satellites.</w:t>
      </w:r>
    </w:p>
    <w:p>
      <w:pPr>
        <w:pStyle w:val="DocBody"/>
      </w:pPr>
      <w:r>
        <w:rPr>
          <w:rFonts w:ascii="Times New Roman" w:hAnsi="Times New Roman" w:eastAsia="宋体"/>
          <w:sz w:val="24"/>
        </w:rPr>
        <w:t>Delta 4 Class: Events with several catalogued objects for the Delta Cryogenic Second Stages (DCSS).</w:t>
      </w:r>
    </w:p>
    <w:p>
      <w:pPr>
        <w:pStyle w:val="DocBody"/>
      </w:pPr>
      <w:r>
        <w:rPr>
          <w:rFonts w:ascii="Times New Roman" w:hAnsi="Times New Roman" w:eastAsia="宋体"/>
          <w:sz w:val="24"/>
        </w:rPr>
        <w:t>ERS/SPOT Class: Both the ERS-1 and -2 satellites, as well as the SPOT-4 satellite had confirmed anoma- lies and fragments were catalogued.</w:t>
      </w:r>
    </w:p>
    <w:p>
      <w:pPr>
        <w:pStyle w:val="DocBody"/>
      </w:pPr>
      <w:r>
        <w:rPr>
          <w:rFonts w:ascii="Times New Roman" w:hAnsi="Times New Roman" w:eastAsia="宋体"/>
          <w:sz w:val="24"/>
        </w:rPr>
        <w:t>Meteor Class: Russian meteorological satellite family.</w:t>
      </w:r>
    </w:p>
    <w:p>
      <w:pPr>
        <w:pStyle w:val="DocBody"/>
      </w:pPr>
      <w:r>
        <w:rPr>
          <w:rFonts w:ascii="Times New Roman" w:hAnsi="Times New Roman" w:eastAsia="宋体"/>
          <w:sz w:val="24"/>
        </w:rPr>
        <w:t>Scout Class: Refers to the Altair upper stage of the Scout rocket family.</w:t>
      </w:r>
    </w:p>
    <w:p>
      <w:pPr>
        <w:pStyle w:val="DocBody"/>
      </w:pPr>
      <w:r>
        <w:rPr>
          <w:rFonts w:ascii="Times New Roman" w:hAnsi="Times New Roman" w:eastAsia="宋体"/>
          <w:sz w:val="24"/>
        </w:rPr>
        <w:t>TOPAZ Leakage Class: There are two known events for TOPAZ satellites where NaK droplets have been observed in the vicinity of the parent object presumably due to leakage [26].</w:t>
      </w:r>
    </w:p>
    <w:p>
      <w:pPr>
        <w:pStyle w:val="DocBody"/>
      </w:pPr>
      <w:r>
        <w:rPr>
          <w:rFonts w:ascii="Times New Roman" w:hAnsi="Times New Roman" w:eastAsia="宋体"/>
          <w:sz w:val="24"/>
        </w:rPr>
        <w:t>Transit Class: Satellites of the U.S. Navy’s first satellite navigation system operational between 1964 and 1996.</w:t>
      </w:r>
    </w:p>
    <w:p>
      <w:pPr>
        <w:pStyle w:val="DocBody"/>
      </w:pPr>
      <w:r>
        <w:rPr>
          <w:rFonts w:ascii="Times New Roman" w:hAnsi="Times New Roman" w:eastAsia="宋体"/>
          <w:sz w:val="24"/>
        </w:rPr>
        <w:t>Vostok Class: Refers to the upper stage of the Vostok rocket (Blok E).</w:t>
      </w:r>
    </w:p>
    <w:p>
      <w:pPr>
        <w:pStyle w:val="DocBody"/>
      </w:pPr>
      <w:r>
        <w:rPr>
          <w:rFonts w:ascii="Times New Roman" w:hAnsi="Times New Roman" w:eastAsia="宋体"/>
          <w:sz w:val="24"/>
        </w:rPr>
        <w:t>Assumed: Introduced for the MASTER model. Currently the only assumed events are in the GEO region, backed by information obtained during survey campaigns [27].</w:t>
      </w:r>
    </w:p>
    <w:p>
      <w:pPr>
        <w:pStyle w:val="DocBody"/>
      </w:pPr>
      <w:r>
        <w:rPr>
          <w:rFonts w:ascii="Times New Roman" w:hAnsi="Times New Roman" w:eastAsia="宋体"/>
          <w:sz w:val="24"/>
        </w:rPr>
        <w:t>Unconfirmed: A provisional status until an event is confirmed and classified accordingly.</w:t>
      </w:r>
    </w:p>
    <w:p>
      <w:pPr>
        <w:pStyle w:val="DocBody"/>
      </w:pPr>
      <w:r>
        <w:rPr>
          <w:rFonts w:ascii="Times New Roman" w:hAnsi="Times New Roman" w:eastAsia="宋体"/>
          <w:sz w:val="24"/>
        </w:rPr>
        <w:t>Unknown: Is assigned whenever there is lacking evidence to support a more specific classification.</w:t>
      </w:r>
    </w:p>
    <w:p>
      <w:pPr>
        <w:pStyle w:val="DocBody"/>
      </w:pPr>
      <w:r>
        <w:rPr>
          <w:rFonts w:ascii="Times New Roman" w:hAnsi="Times New Roman" w:eastAsia="宋体"/>
          <w:sz w:val="24"/>
        </w:rPr>
        <w:t>Cosmos 699 Class (EORSAT): For many of the ELINT Ocean Reconnaissance Satellites (EORSAT) a breakup was observed during the orbital decay.</w:t>
      </w:r>
    </w:p>
    <w:p>
      <w:pPr>
        <w:pStyle w:val="DocBody"/>
      </w:pPr>
      <w:r>
        <w:rPr>
          <w:rFonts w:ascii="Times New Roman" w:hAnsi="Times New Roman" w:eastAsia="宋体"/>
          <w:sz w:val="24"/>
        </w:rPr>
        <w:t>Page 90/151</w:t>
      </w:r>
    </w:p>
    <w:p>
      <w:pPr>
        <w:pStyle w:val="DocBody"/>
      </w:pPr>
      <w:r>
        <w:rPr>
          <w:rFonts w:ascii="Times New Roman" w:hAnsi="Times New Roman" w:eastAsia="宋体"/>
          <w:sz w:val="24"/>
        </w:rPr>
        <w:t>ESA UNCLASSIFIED - Releasable to the Public H-IIA Class: The second stage of the H-IIA launcher used a cryogenic propellant.</w:t>
      </w:r>
    </w:p>
    <w:p>
      <w:pPr>
        <w:pStyle w:val="DocBody"/>
      </w:pPr>
      <w:r>
        <w:rPr>
          <w:rFonts w:ascii="Times New Roman" w:hAnsi="Times New Roman" w:eastAsia="宋体"/>
          <w:sz w:val="24"/>
        </w:rPr>
        <w:t>L-14B Class: The third stage of the Long March 4B (CZ-4B) launcher used a hypergolic propellant.</w:t>
      </w:r>
    </w:p>
    <w:p>
      <w:pPr>
        <w:pStyle w:val="DocBody"/>
      </w:pPr>
      <w:r>
        <w:rPr>
          <w:rFonts w:ascii="Times New Roman" w:hAnsi="Times New Roman" w:eastAsia="宋体"/>
          <w:sz w:val="24"/>
        </w:rPr>
        <w:t>5.1. All fragmentation events A summary of the statistics on the recorded fragmentation events is reported in Table 5.1, where Assumed and Unconfirmed were excluded from the aggregation. A breakdown of the observed fragmentation events grouped by the main classes in terms of frequency and resulting catalogued debris is given in Fig. 5.3 and Fig. 5.4, respec- tively.</w:t>
      </w:r>
    </w:p>
    <w:p>
      <w:pPr>
        <w:pStyle w:val="DocBody"/>
      </w:pPr>
      <w:r>
        <w:rPr>
          <w:rFonts w:ascii="Times New Roman" w:hAnsi="Times New Roman" w:eastAsia="宋体"/>
          <w:sz w:val="24"/>
        </w:rPr>
        <w:t>Table 5.1: Statistics on fragmentation events.</w:t>
      </w:r>
    </w:p>
    <w:p>
      <w:pPr>
        <w:pStyle w:val="DocBody"/>
      </w:pPr>
      <w:r>
        <w:rPr>
          <w:rFonts w:ascii="Times New Roman" w:hAnsi="Times New Roman" w:eastAsia="宋体"/>
          <w:sz w:val="24"/>
        </w:rPr>
        <w:t>All history Last 20 years Number of events Non-deliberate events per year 9.3 9.8 Yearly rate of events where 50% of the generated fragments have a lifetime of greater than 10 years 2.3 1.5 Yearly rate of events where 50% of the generated fragments have a lifetime of greater than 25 years 1.7 1.2 Mean time (years) between launch and fragmen- tation 5.7 9.9 Median time (years) between launch and frag- mentation 1.0 5.2 Page 91/151</w:t>
      </w:r>
    </w:p>
    <w:p>
      <w:pPr>
        <w:pStyle w:val="DocBody"/>
      </w:pPr>
      <w:r>
        <w:rPr>
          <w:rFonts w:ascii="Times New Roman" w:hAnsi="Times New Roman" w:eastAsia="宋体"/>
          <w:sz w:val="24"/>
        </w:rPr>
        <w:t>ESA UNCLASSIFIED - Releasable to the Public Propulsion - 27.53 % Aerodynamics - 4.76 % Collision - 0.89 % Unknown - 27.53 % Electrical - 4.76 % Anomalous - 19.49 % Accidental - 3.72 % Deliberate - 8.78 % Small Impactor - 2.53 % (a) Whole history.</w:t>
      </w:r>
    </w:p>
    <w:p>
      <w:pPr>
        <w:pStyle w:val="DocBody"/>
      </w:pPr>
      <w:r>
        <w:rPr>
          <w:rFonts w:ascii="Times New Roman" w:hAnsi="Times New Roman" w:eastAsia="宋体"/>
          <w:sz w:val="24"/>
        </w:rPr>
        <w:t>Propulsion - 43.33 % Small Impactor - 5.56 % Collision - 1.11 % Unknown - 22.22 % Accidental - 2.22 % Anomalous - 13.33 % Aerodynamics - 2.22 % Electrical - 7.78 % Deliberate - 2.22 % (b) Last 10 years.</w:t>
      </w:r>
    </w:p>
    <w:p>
      <w:pPr>
        <w:pStyle w:val="DocBody"/>
      </w:pPr>
      <w:r>
        <w:rPr>
          <w:rFonts w:ascii="Times New Roman" w:hAnsi="Times New Roman" w:eastAsia="宋体"/>
          <w:sz w:val="24"/>
        </w:rPr>
        <w:t>Figure 5.1: Event causes and their relative share for all past fragmentation events.</w:t>
      </w:r>
    </w:p>
    <w:p>
      <w:pPr>
        <w:pStyle w:val="DocBody"/>
      </w:pPr>
      <w:r>
        <w:rPr>
          <w:rFonts w:ascii="Times New Roman" w:hAnsi="Times New Roman" w:eastAsia="宋体"/>
          <w:sz w:val="24"/>
        </w:rPr>
        <w:t>Page 92/151</w:t>
      </w:r>
    </w:p>
    <w:p>
      <w:pPr>
        <w:pStyle w:val="DocBody"/>
      </w:pPr>
      <w:r>
        <w:rPr>
          <w:rFonts w:ascii="Times New Roman" w:hAnsi="Times New Roman" w:eastAsia="宋体"/>
          <w:sz w:val="24"/>
        </w:rPr>
        <w:t>ESA UNCLASSIFIED - Releasable to the Public Event Year 0.0 2.5 5.0 7.5 10.0 12.5 15.0 17.5 20.0 Number Number Fragmentation Events per Event Year (a) Number of fragmentation events per event year.</w:t>
      </w:r>
    </w:p>
    <w:p>
      <w:pPr>
        <w:pStyle w:val="DocBody"/>
      </w:pPr>
      <w:r>
        <w:rPr>
          <w:rFonts w:ascii="Times New Roman" w:hAnsi="Times New Roman" w:eastAsia="宋体"/>
          <w:sz w:val="24"/>
        </w:rPr>
        <w:t>Launch Year Number Number Fragmentation Events per Launch Year (b) Number of fragmentation events per launch year.</w:t>
      </w:r>
    </w:p>
    <w:p>
      <w:pPr>
        <w:pStyle w:val="DocBody"/>
      </w:pPr>
      <w:r>
        <w:rPr>
          <w:rFonts w:ascii="Times New Roman" w:hAnsi="Times New Roman" w:eastAsia="宋体"/>
          <w:sz w:val="24"/>
        </w:rPr>
        <w:t>Launch Year 0.00 0.05 0.10 0.15 0.20 0.25 0.30 Number of events per launch Normalised Number Fragmentation Events per Launch Year (c) Number of fragmentation events per launch year normalised by the number of launches in that year.</w:t>
      </w:r>
    </w:p>
    <w:p>
      <w:pPr>
        <w:pStyle w:val="DocBody"/>
      </w:pPr>
      <w:r>
        <w:rPr>
          <w:rFonts w:ascii="Times New Roman" w:hAnsi="Times New Roman" w:eastAsia="宋体"/>
          <w:sz w:val="24"/>
        </w:rPr>
        <w:t>Figure 5.2: Historical trend of fragmentation events.</w:t>
      </w:r>
    </w:p>
    <w:p>
      <w:pPr>
        <w:pStyle w:val="DocBody"/>
      </w:pPr>
      <w:r>
        <w:rPr>
          <w:rFonts w:ascii="Times New Roman" w:hAnsi="Times New Roman" w:eastAsia="宋体"/>
          <w:sz w:val="24"/>
        </w:rPr>
        <w:t>Page 93/151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Number Fragmentation Events Unknown Collision Accidental Electrical Aerodynamics Deliberate Anomalous Propulsion (a) Absolute number of fragmentation events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Number Fragmentation Events Unknown Collision Accidental Electrical Aerodynamics Deliberate Anomalous Propulsion (b) Relative number of fragmentation events per event cause.</w:t>
      </w:r>
    </w:p>
    <w:p>
      <w:pPr>
        <w:pStyle w:val="DocBody"/>
      </w:pPr>
      <w:r>
        <w:rPr>
          <w:rFonts w:ascii="Times New Roman" w:hAnsi="Times New Roman" w:eastAsia="宋体"/>
          <w:sz w:val="24"/>
        </w:rPr>
        <w:t>Figure 5.3: Historical trend of fragmentation events per event cause.</w:t>
      </w:r>
    </w:p>
    <w:p>
      <w:pPr>
        <w:pStyle w:val="DocBody"/>
      </w:pPr>
      <w:r>
        <w:rPr>
          <w:rFonts w:ascii="Times New Roman" w:hAnsi="Times New Roman" w:eastAsia="宋体"/>
          <w:sz w:val="24"/>
        </w:rPr>
        <w:t>Page 94/151</w:t>
      </w:r>
    </w:p>
    <w:p>
      <w:pPr>
        <w:pStyle w:val="DocBody"/>
      </w:pPr>
      <w:r>
        <w:rPr>
          <w:rFonts w:ascii="Times New Roman" w:hAnsi="Times New Roman" w:eastAsia="宋体"/>
          <w:sz w:val="24"/>
        </w:rPr>
        <w:t>ESA UNCLASSIFIED - Releasable to the Public Event Year (5 year bins)</w:t>
      </w:r>
    </w:p>
    <w:p>
      <w:pPr>
        <w:pStyle w:val="DocBody"/>
      </w:pPr>
      <w:r>
        <w:rPr>
          <w:rFonts w:ascii="Times New Roman" w:hAnsi="Times New Roman" w:eastAsia="宋体"/>
          <w:sz w:val="24"/>
        </w:rPr>
        <w:t>Number Resulting Fragments from Events Unknown Collision Accidental Electrical Aerodynamics Deliberate Anomalous Propulsion (a) Absolute number of resulting fragments per event cause.</w:t>
      </w:r>
    </w:p>
    <w:p>
      <w:pPr>
        <w:pStyle w:val="DocBody"/>
      </w:pPr>
      <w:r>
        <w:rPr>
          <w:rFonts w:ascii="Times New Roman" w:hAnsi="Times New Roman" w:eastAsia="宋体"/>
          <w:sz w:val="24"/>
        </w:rPr>
        <w:t>Event Year (5 year bins)</w:t>
      </w:r>
    </w:p>
    <w:p>
      <w:pPr>
        <w:pStyle w:val="DocBody"/>
      </w:pPr>
      <w:r>
        <w:rPr>
          <w:rFonts w:ascii="Times New Roman" w:hAnsi="Times New Roman" w:eastAsia="宋体"/>
          <w:sz w:val="24"/>
        </w:rPr>
        <w:t>Share / % Resulting Fragments from Events Unknown Collision Accidental Electrical Aerodynamics Deliberate Anomalous Propulsion (b) Relative number of resulting fragments per event cause.</w:t>
      </w:r>
    </w:p>
    <w:p>
      <w:pPr>
        <w:pStyle w:val="DocBody"/>
      </w:pPr>
      <w:r>
        <w:rPr>
          <w:rFonts w:ascii="Times New Roman" w:hAnsi="Times New Roman" w:eastAsia="宋体"/>
          <w:sz w:val="24"/>
        </w:rPr>
        <w:t>Figure 5.4: Historical trend of numbers of fragments produced by fragmentation events.</w:t>
      </w:r>
    </w:p>
    <w:p>
      <w:pPr>
        <w:pStyle w:val="DocBody"/>
      </w:pPr>
      <w:r>
        <w:rPr>
          <w:rFonts w:ascii="Times New Roman" w:hAnsi="Times New Roman" w:eastAsia="宋体"/>
          <w:sz w:val="24"/>
        </w:rPr>
        <w:t>Page 95/151</w:t>
      </w:r>
    </w:p>
    <w:p>
      <w:pPr>
        <w:pStyle w:val="DocBody"/>
      </w:pPr>
      <w:r>
        <w:rPr>
          <w:rFonts w:ascii="Times New Roman" w:hAnsi="Times New Roman" w:eastAsia="宋体"/>
          <w:sz w:val="24"/>
        </w:rPr>
        <w:t>ESA UNCLASSIFIED - Releasable to the Public Unknown Cosmos 699 H-IIA L-14B Accidental Cosmos 862 Propulsion Delta Upper Stage Proton Ullage Motor Titan Transtage Briz-M Ariane Upper Stage Tsyklon Upper Stage Zenit-2 Upper Stage CZ-6A Upper Stage Electrical Battery DMSP/NOAA Aerodynamics Anomalous Transit Scout Meteor Vostok ERS/SPOT Delta 4 TOPAZ Leakage Cosmos-3 Category Time since launch [years] Generated fragments Figure 5.5: Elapsed time between fragmentation and launch by category. The bubble size indicates the number of generated fragments.</w:t>
      </w:r>
    </w:p>
    <w:p>
      <w:pPr>
        <w:pStyle w:val="DocBody"/>
      </w:pPr>
      <w:r>
        <w:rPr>
          <w:rFonts w:ascii="Times New Roman" w:hAnsi="Times New Roman" w:eastAsia="宋体"/>
          <w:sz w:val="24"/>
        </w:rPr>
        <w:t>Page 96/151</w:t>
      </w:r>
    </w:p>
    <w:p>
      <w:pPr>
        <w:pStyle w:val="DocBody"/>
      </w:pPr>
      <w:r>
        <w:rPr>
          <w:rFonts w:ascii="Times New Roman" w:hAnsi="Times New Roman" w:eastAsia="宋体"/>
          <w:sz w:val="24"/>
        </w:rPr>
        <w:t>ESA UNCLASSIFIED - Releasable to the Public Collision Small Impactor Category Time since launch [years] Generated fragments Figure 5.6: Elapsed time between fragmentation and launch for collision events. The bubble size indicates the number of generated fragments.</w:t>
      </w:r>
    </w:p>
    <w:p>
      <w:pPr>
        <w:pStyle w:val="DocBody"/>
      </w:pPr>
      <w:r>
        <w:rPr>
          <w:rFonts w:ascii="Times New Roman" w:hAnsi="Times New Roman" w:eastAsia="宋体"/>
          <w:sz w:val="24"/>
        </w:rPr>
        <w:t>Deliberate ASAT Payload Recovery Failure RORSAT Cosmos 2031 Category Time since launch [years] Generated fragments Figure 5.7: Elapsed time between fragmentation and launch for deliberate events. The bubble size indicates the number of generated fragments.</w:t>
      </w:r>
    </w:p>
    <w:p>
      <w:pPr>
        <w:pStyle w:val="DocBody"/>
      </w:pPr>
      <w:r>
        <w:rPr>
          <w:rFonts w:ascii="Times New Roman" w:hAnsi="Times New Roman" w:eastAsia="宋体"/>
          <w:sz w:val="24"/>
        </w:rPr>
        <w:t>Page 97/151</w:t>
      </w:r>
    </w:p>
    <w:p>
      <w:pPr>
        <w:pStyle w:val="DocBody"/>
      </w:pPr>
      <w:r>
        <w:rPr>
          <w:rFonts w:ascii="Times New Roman" w:hAnsi="Times New Roman" w:eastAsia="宋体"/>
          <w:sz w:val="24"/>
        </w:rPr>
        <w:t>ESA UNCLASSIFIED - Releasable to the Public Time to break-up [years] 0.0 0.2 0.4 0.6 0.8 1.0 Probability [-] Cut-off year None Figure 5.8: Cumulative distribution function (CDF) for the elapsed time between fragmentation and launch for non- system related fragmentation events, with different cut-off values on the launch year.</w:t>
      </w:r>
    </w:p>
    <w:p>
      <w:pPr>
        <w:pStyle w:val="DocBody"/>
      </w:pPr>
      <w:r>
        <w:rPr>
          <w:rFonts w:ascii="Times New Roman" w:hAnsi="Times New Roman" w:eastAsia="宋体"/>
          <w:sz w:val="24"/>
        </w:rPr>
        <w:t>5.2. Non-system related fragmentation events As also described when introducing the classes for fragmentation events, not all events are similar in nature and hence the consequences on the environment and for mitigation measures can vary. In particular, events caused by a technical flaw in the design of a (sub-)system that is re-used for many Rocket Bodies or Payload platforms, so-called system related events as for battery-related classes, are not representative for the space environment as a whole and need targeted counter measures, e.g. it as was done for certain launch vehicle related classes.</w:t>
      </w:r>
    </w:p>
    <w:p>
      <w:pPr>
        <w:pStyle w:val="DocBody"/>
      </w:pPr>
      <w:r>
        <w:rPr>
          <w:rFonts w:ascii="Times New Roman" w:hAnsi="Times New Roman" w:eastAsia="宋体"/>
          <w:sz w:val="24"/>
        </w:rPr>
        <w:t>To understand the likelihood of fragmentation events occurring in the environment as single stochastic events, i.e.</w:t>
      </w:r>
    </w:p>
    <w:p>
      <w:pPr>
        <w:pStyle w:val="DocBody"/>
      </w:pPr>
      <w:r>
        <w:rPr>
          <w:rFonts w:ascii="Times New Roman" w:hAnsi="Times New Roman" w:eastAsia="宋体"/>
          <w:sz w:val="24"/>
        </w:rPr>
        <w:t>a background risk for any intact space object, it is instructive to analyses the non-system related fragmentation events in isolation. In this sense, we can group the data from the fragmentation classes Unknown, Accidental, Propulsion, Electrical, Battery, excluding their sub-classes.</w:t>
      </w:r>
    </w:p>
    <w:p>
      <w:pPr>
        <w:pStyle w:val="DocBody"/>
      </w:pPr>
      <w:r>
        <w:rPr>
          <w:rFonts w:ascii="Times New Roman" w:hAnsi="Times New Roman" w:eastAsia="宋体"/>
          <w:sz w:val="24"/>
        </w:rPr>
        <w:t>A relation between the time to a fragmentation event and the launch epoch can be observed for non-system related classes in Fig. 5.8. A causal relationship with the orbital region in which these object resided at the time of the fragmentation event could not be derived, as shown in Fig. 5.9. The derived statistics for the non-system related fragmentations are significantly lower than those for the entire population as observed in the previous sub-section, and reported in Table 5.2. Based on the recent trend analysis, a value of 18 years is adopted as time limit after which the explosion probability for a recently launched space object, due to non-systematic design flaws, can be considered as effectively 0.</w:t>
      </w:r>
    </w:p>
    <w:p>
      <w:pPr>
        <w:pStyle w:val="DocBody"/>
      </w:pPr>
      <w:r>
        <w:rPr>
          <w:rFonts w:ascii="Times New Roman" w:hAnsi="Times New Roman" w:eastAsia="宋体"/>
          <w:sz w:val="24"/>
        </w:rPr>
        <w:t>Page 98/151</w:t>
      </w:r>
    </w:p>
    <w:p>
      <w:pPr>
        <w:pStyle w:val="DocBody"/>
      </w:pPr>
      <w:r>
        <w:rPr>
          <w:rFonts w:ascii="Times New Roman" w:hAnsi="Times New Roman" w:eastAsia="宋体"/>
          <w:sz w:val="24"/>
        </w:rPr>
        <w:t>ESA UNCLASSIFIED - Releasable to the Public 5000 10000 15000 20000 25000 30000 35000 Mean altitude [km] Inclination [deg] Class Accidental Electrical Propulsion Unknown Years to event Figure 5.9: Distribution of non-system related fragmentation events in mean altitude, inclination, and time to frag- mentation.</w:t>
      </w:r>
    </w:p>
    <w:p>
      <w:pPr>
        <w:pStyle w:val="DocBody"/>
      </w:pPr>
      <w:r>
        <w:rPr>
          <w:rFonts w:ascii="Times New Roman" w:hAnsi="Times New Roman" w:eastAsia="宋体"/>
          <w:sz w:val="24"/>
        </w:rPr>
        <w:t>Table 5.2: Statistics on non-system related fragmentation events.</w:t>
      </w:r>
    </w:p>
    <w:p>
      <w:pPr>
        <w:pStyle w:val="DocBody"/>
      </w:pPr>
      <w:r>
        <w:rPr>
          <w:rFonts w:ascii="Times New Roman" w:hAnsi="Times New Roman" w:eastAsia="宋体"/>
          <w:sz w:val="24"/>
        </w:rPr>
        <w:t>All history Last 18 years Number of events Non-deliberate events per year 2.7 2.8 Yearly rate of events where 50% of the generated fragments have a lifetime of greater than 10 years 0.6 0.4 Yearly rate of events where 50% of the generated fragments have a lifetime of greater than 25 years 0.4 0.3 Mean time (years) between launch and fragmen- tation 5.6 10.3 Median time (years) between launch and frag- mentation 1.3 4.5 Page 99/151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END-OF-LIFE OPERATIONS HISTORY Post mission disposal mitigation measures are specifically aimed at reducing the long term interference an object in the space environment could have on the two protected regions, LEOIADC and GEOIADC. These mitigation measures are associated with time criteria, i.e. so-called orbital lifetimes or clearance of orbital regions, and hence require evaluating the long term evolution of orbits. For both protected regions, different mitigation measures imply different end-of life operations. The reported years for payload clearance of LEOIADC goes up to 2024, for rocket body clearance of LEOIADC goes up to 2025, and for payload clearance of GEOIADC goes up to 2025.</w:t>
      </w:r>
    </w:p>
    <w:p>
      <w:pPr>
        <w:pStyle w:val="DocBody"/>
      </w:pPr>
      <w:r>
        <w:rPr>
          <w:rFonts w:ascii="Times New Roman" w:hAnsi="Times New Roman" w:eastAsia="宋体"/>
          <w:sz w:val="24"/>
        </w:rPr>
        <w:t>6.1. End-Of-Life Operations in Low Earth Orbit Due to the presence of atmospheric drag in the lower levels of the LEO region, a natural cleansing of space debris from these regions occurs. A payload or rocket body operating in the LEO Protected region, with either a permanent or periodic presence, shall limit its post-mission presence in the LEO Protected region to a maximum of 25 years from the end of mission, or significantly shorter [9]. This limit by itself will not lead to a long-term reduction in the amount of space debris, as will be shown in Section 7.2, but is an important step towards limiting the space debris growth rate in LEOIADC [14]. In this context, there is also growing consensus that stricter mitigation practices need to be implemented globally, and in 2023, ESA released its Space Debris Mitigation Standard and associated policy [3, 4]. Among the measures introduced by this Standard, was the reduction of the post-mission maximum lifetime limit from 25 down to 5 years. Specifically, the Standard requires that the orbit clearance of a spacecraft or launch vehicle orbital element from the LEO protected region shall satisfy both following conditions: first, that the orbit lifetime is less than 5 years; and secondly, that the cumulative collision probability from end of life until re-entry with space objects larger than 1 cm is below 10−3 [3]. While this is only binding for ESA projects, one goal of the Zero Debris Approach is to lead by example, and thus compliance to both the 25- and 5-year thresholds is reported on here, in Sections 6.1.2 and 6.1.3 respectively. Various Standards provide an order of preference for methodologies for achieving compliance to these mitigation measures (respectively the so-called 25- and 5-year rules) i.e. controlled re-entry, accelerated natural orbital decay, etc.</w:t>
      </w:r>
    </w:p>
    <w:p>
      <w:pPr>
        <w:pStyle w:val="DocBody"/>
      </w:pPr>
      <w:r>
        <w:rPr>
          <w:rFonts w:ascii="Times New Roman" w:hAnsi="Times New Roman" w:eastAsia="宋体"/>
          <w:sz w:val="24"/>
        </w:rPr>
        <w:t>For catalogued objects, the orbital activity of a payload or rocket body can be derived and the orbital lifetime estimated. This method is preferred over direct investigation, intelligence, of communication with the owners of a payload or a rocket body, which could increase the accuracy of the prediction, but it might be unbalanced as the request for such data might not be answered nor can all owners be clearly identified and approached. As some rocket bodies have been found to perform direct re-entries before they can be considered catalogued objects, additional asserted objects are used as to make sure that such positive cases are correctly considered in the resulting statistics. The methodology to determine the end of the operational phase of an object in LEO employed here is described in depth in [28].</w:t>
      </w:r>
    </w:p>
    <w:p>
      <w:pPr>
        <w:pStyle w:val="DocBody"/>
      </w:pPr>
      <w:r>
        <w:rPr>
          <w:rFonts w:ascii="Times New Roman" w:hAnsi="Times New Roman" w:eastAsia="宋体"/>
          <w:sz w:val="24"/>
        </w:rPr>
        <w:t>For satellites without orbit control capacity (OCC), i.e. no propulsion system, or for satellites that never exhibited any orbit manoeuvre otherwise, the assessment of the mission end is not possible from orbit information alone.</w:t>
      </w:r>
    </w:p>
    <w:p>
      <w:pPr>
        <w:pStyle w:val="DocBody"/>
      </w:pPr>
      <w:r>
        <w:rPr>
          <w:rFonts w:ascii="Times New Roman" w:hAnsi="Times New Roman" w:eastAsia="宋体"/>
          <w:sz w:val="24"/>
        </w:rPr>
        <w:t>Therefore, a statistical approach is pursued for those objects. The source of the statistics for mission lifetimes are the measurable missions with orbit control capacity. Observed mission lifetimes are processed into histograms by mission category, e.g. science, communications, military, etc. They are then applied to generate missions lifetime estimations for the objects without orbit control capacity of the same category.</w:t>
      </w:r>
    </w:p>
    <w:p>
      <w:pPr>
        <w:pStyle w:val="DocBody"/>
      </w:pPr>
      <w:r>
        <w:rPr>
          <w:rFonts w:ascii="Times New Roman" w:hAnsi="Times New Roman" w:eastAsia="宋体"/>
          <w:sz w:val="24"/>
        </w:rPr>
        <w:t>The boundaries between having an orbital control capacity or not is not always clearly defined by the underlying technology. This is because the effects observed by the space surveillance system may not be reliably discerned in all cases. Impulsive manoeuvres, multi-revolutions use of electrical propulsion, and large drag sail deployments are reliably picked up and hence objects exhibiting those features are categorised as having OCC.</w:t>
      </w:r>
    </w:p>
    <w:p>
      <w:pPr>
        <w:pStyle w:val="DocBody"/>
      </w:pPr>
      <w:r>
        <w:rPr>
          <w:rFonts w:ascii="Times New Roman" w:hAnsi="Times New Roman" w:eastAsia="宋体"/>
          <w:sz w:val="24"/>
        </w:rPr>
        <w:t>On the other hand, smaller orbital changes, such as drag sailing, where the change in ballistic coefficient is smaller Page 100/151</w:t>
      </w:r>
    </w:p>
    <w:p>
      <w:pPr>
        <w:pStyle w:val="DocBody"/>
      </w:pPr>
      <w:r>
        <w:rPr>
          <w:rFonts w:ascii="Times New Roman" w:hAnsi="Times New Roman" w:eastAsia="宋体"/>
          <w:sz w:val="24"/>
        </w:rPr>
        <w:t>ESA UNCLASSIFIED - Releasable to the Public than the error margin or the orbit determination capacity of the space surveillance system, are not picked up.</w:t>
      </w:r>
    </w:p>
    <w:p>
      <w:pPr>
        <w:pStyle w:val="DocBody"/>
      </w:pPr>
      <w:r>
        <w:rPr>
          <w:rFonts w:ascii="Times New Roman" w:hAnsi="Times New Roman" w:eastAsia="宋体"/>
          <w:sz w:val="24"/>
        </w:rPr>
        <w:t>However, the most important metric w.r.t. the implementation is to remove an object from LEOIADC within the maximum lifetime limit, which is measured independently of the OCC categorisation.</w:t>
      </w:r>
    </w:p>
    <w:p>
      <w:pPr>
        <w:pStyle w:val="DocBody"/>
      </w:pPr>
      <w:r>
        <w:rPr>
          <w:rFonts w:ascii="Times New Roman" w:hAnsi="Times New Roman" w:eastAsia="宋体"/>
          <w:sz w:val="24"/>
        </w:rPr>
        <w:t>In order to estimate the orbital lifetime of an object after reaching its end of life, the general processes as laid out in Standards [13, 3] are followed. To apply these processes to all catalogued objects, a Ballistic Coefficient (BC) needs to be estimated for each of them. The BC estimation is based on least root-mean-square orbit fitting during the longest periods free from estimated manoeuvres, generally after end of life is reached in case of OCC classified objects. In case this can’t be achieved, the BC is defined based in the available physical properties in DISCOS.</w:t>
      </w:r>
    </w:p>
    <w:p>
      <w:pPr>
        <w:pStyle w:val="DocBody"/>
      </w:pPr>
      <w:r>
        <w:rPr>
          <w:rFonts w:ascii="Times New Roman" w:hAnsi="Times New Roman" w:eastAsia="宋体"/>
          <w:sz w:val="24"/>
        </w:rPr>
        <w:t>The lifetime is then assessed for each object by propagating the last orbital state, at the end of 2025, until re-entry in combination with a long-term space weather forecast [29]. The introduction of a 5-year lifetime limit necessitates a probabilistic approach to lifetime estimation that considers the variability of solar activity, a key driver of orbit evolution in LEO, over a full 11-year solar cycle. Therefore, objects with an estimated lifetime of between 5 and 50 years (to ensure robust assessment to both the 5- and 25-year thresholds) are assessed probabilistically by uniformly sampling the solar cycle. In practice, this involves varying the start epoch of the propagation with yearly steps over the 11-year solar cycle. The lifetime used for compliance assessment is then taken to be the median for circular orbits, while the significant influence of the atmosphere on the spread in orbital predictions for eccentric orbits (&gt; 0.3) is captured by using the 90th percentile, according to [3]. The used values and obtained results are stored in DISCOS and distributed on request [10]. The process itself is subject to a significant amount of stochastic assumptions which are described in [30]. Hence, the reported orbital lifetimes are procedurally defined and need to be understood as a current best-estimate that can vary between different versions of this report, as discussed in Section 6.1.4.</w:t>
      </w:r>
    </w:p>
    <w:p>
      <w:pPr>
        <w:pStyle w:val="DocBody"/>
      </w:pPr>
      <w:r>
        <w:rPr>
          <w:rFonts w:ascii="Times New Roman" w:hAnsi="Times New Roman" w:eastAsia="宋体"/>
          <w:sz w:val="24"/>
        </w:rPr>
        <w:t>In case of payload objects, at least one calendar year without orbit control actions needs to pass for an object to be classified as reaching end-of-life unless it performs a controlled re-entry. This is done to mitigate the implications of the detection algorithm described above, and to avoid a potentially large amount of reclassifications in subsequent editions of this report as some operators implement less frequent actions near the end-of-life. In practice, this means that the reported years for the payload clearance of LEOIADC goes up to 2024 instead of 2025.</w:t>
      </w:r>
    </w:p>
    <w:p>
      <w:pPr>
        <w:pStyle w:val="DocBody"/>
      </w:pPr>
      <w:r>
        <w:rPr>
          <w:rFonts w:ascii="Times New Roman" w:hAnsi="Times New Roman" w:eastAsia="宋体"/>
          <w:sz w:val="24"/>
        </w:rPr>
        <w:t>It is important to note that for this report, where conformance to a time-limitation guidelines is to be evaluated, the categorisation of each object becomes fixed after 25 years. Unpredicted events, such as increased solar activities or missions which actively remove large pieces of space debris, will thus be accounted for only when they materialise.</w:t>
      </w:r>
    </w:p>
    <w:p>
      <w:pPr>
        <w:pStyle w:val="DocBody"/>
      </w:pPr>
      <w:r>
        <w:rPr>
          <w:rFonts w:ascii="Times New Roman" w:hAnsi="Times New Roman" w:eastAsia="宋体"/>
          <w:sz w:val="24"/>
        </w:rPr>
        <w:t>Relocations from LEOIADC into orbits with a perigee altitude above 2000 kilometres are no longer viable end-of-life debris mitigation practices [9]. While such relocations where relatively rare for Payload objects and only a minor historical entry in the dataset of this section, they have been more commonly used to raise the perigee of Rocket Bodies when, e.g. eccentric destination orbits such as GTO were targeted.</w:t>
      </w:r>
    </w:p>
    <w:p>
      <w:pPr>
        <w:pStyle w:val="DocBody"/>
      </w:pPr>
      <w:r>
        <w:rPr>
          <w:rFonts w:ascii="Times New Roman" w:hAnsi="Times New Roman" w:eastAsia="宋体"/>
          <w:sz w:val="24"/>
        </w:rPr>
        <w:t>Human spaceflight (HS) related missions are analysed separately, as they skew results in terms of mass and count affected. These missions include crew vehicles as well as cargo payloads, but not the rocket bodies that bring them into orbit.</w:t>
      </w:r>
    </w:p>
    <w:p>
      <w:pPr>
        <w:pStyle w:val="DocBody"/>
      </w:pPr>
      <w:r>
        <w:rPr>
          <w:rFonts w:ascii="Times New Roman" w:hAnsi="Times New Roman" w:eastAsia="宋体"/>
          <w:sz w:val="24"/>
        </w:rPr>
        <w:t>Throughout this section, Stage is used as synonym for Rocket Body.</w:t>
      </w:r>
    </w:p>
    <w:p>
      <w:pPr>
        <w:pStyle w:val="DocBody"/>
      </w:pPr>
      <w:r>
        <w:rPr>
          <w:rFonts w:ascii="Times New Roman" w:hAnsi="Times New Roman" w:eastAsia="宋体"/>
          <w:sz w:val="24"/>
        </w:rPr>
        <w:t>The end-of-life behaviour of space objects can be categorised in seven behavioural classes to illustrate disposal success rates:</w:t>
      </w:r>
    </w:p>
    <w:p>
      <w:pPr>
        <w:pStyle w:val="DocBody"/>
      </w:pPr>
      <w:r>
        <w:rPr>
          <w:rFonts w:ascii="Times New Roman" w:hAnsi="Times New Roman" w:eastAsia="宋体"/>
          <w:sz w:val="24"/>
        </w:rPr>
        <w:t>• NCWO: (Not Compliant WithOut attempt) the lifetime limit is not met by the mission orbit and no disposal action has been taken;</w:t>
      </w:r>
    </w:p>
    <w:p>
      <w:pPr>
        <w:pStyle w:val="DocBody"/>
      </w:pPr>
      <w:r>
        <w:rPr>
          <w:rFonts w:ascii="Times New Roman" w:hAnsi="Times New Roman" w:eastAsia="宋体"/>
          <w:sz w:val="24"/>
        </w:rPr>
        <w:t>Page 101/151</w:t>
      </w:r>
    </w:p>
    <w:p>
      <w:pPr>
        <w:pStyle w:val="DocBody"/>
      </w:pPr>
      <w:r>
        <w:rPr>
          <w:rFonts w:ascii="Times New Roman" w:hAnsi="Times New Roman" w:eastAsia="宋体"/>
          <w:sz w:val="24"/>
        </w:rPr>
        <w:t>ESA UNCLASSIFIED - Releasable to the Public • NCWFB: (Not Compliant With attempt False Before) the lifetime limit rule is not met by the mission orbit, a disposal action has been attempted but it was unsuccessful or insufficient;</w:t>
      </w:r>
    </w:p>
    <w:p>
      <w:pPr>
        <w:pStyle w:val="DocBody"/>
      </w:pPr>
      <w:r>
        <w:rPr>
          <w:rFonts w:ascii="Times New Roman" w:hAnsi="Times New Roman" w:eastAsia="宋体"/>
          <w:sz w:val="24"/>
        </w:rPr>
        <w:t>• NCWTB: (Not Compliant With attempt True Before) the lifetime limit rule was met by the initial mission orbit, a disposal action has been attempted but it was unsuccessful or the mission orbit was otherwise altered, and the new orbit is not compliant;</w:t>
      </w:r>
    </w:p>
    <w:p>
      <w:pPr>
        <w:pStyle w:val="DocBody"/>
      </w:pPr>
      <w:r>
        <w:rPr>
          <w:rFonts w:ascii="Times New Roman" w:hAnsi="Times New Roman" w:eastAsia="宋体"/>
          <w:sz w:val="24"/>
        </w:rPr>
        <w:t>• CWFB: (Compliant With attempt False Before) the lifetime limit rule is not met by the mission orbit, but a disposal action has been taken and was successful;</w:t>
      </w:r>
    </w:p>
    <w:p>
      <w:pPr>
        <w:pStyle w:val="DocBody"/>
      </w:pPr>
      <w:r>
        <w:rPr>
          <w:rFonts w:ascii="Times New Roman" w:hAnsi="Times New Roman" w:eastAsia="宋体"/>
          <w:sz w:val="24"/>
        </w:rPr>
        <w:t>• CWTB: (Compliant With attempt True Before) the mission orbit allowed to meet the lifetime limit, but a disposal action has been taken nonetheless;</w:t>
      </w:r>
    </w:p>
    <w:p>
      <w:pPr>
        <w:pStyle w:val="DocBody"/>
      </w:pPr>
      <w:r>
        <w:rPr>
          <w:rFonts w:ascii="Times New Roman" w:hAnsi="Times New Roman" w:eastAsia="宋体"/>
          <w:sz w:val="24"/>
        </w:rPr>
        <w:t>• CWO: (Compliant WithOut attempt) the mission orbit allowed to meet the lifetime limit, no action was taken (nor needed);</w:t>
      </w:r>
    </w:p>
    <w:p>
      <w:pPr>
        <w:pStyle w:val="DocBody"/>
      </w:pPr>
      <w:r>
        <w:rPr>
          <w:rFonts w:ascii="Times New Roman" w:hAnsi="Times New Roman" w:eastAsia="宋体"/>
          <w:sz w:val="24"/>
        </w:rPr>
        <w:t>• CD: (Compliant With Direct Re-entry) a controlled re-entry has been performed.</w:t>
      </w:r>
    </w:p>
    <w:p>
      <w:pPr>
        <w:pStyle w:val="DocBody"/>
      </w:pPr>
      <w:r>
        <w:rPr>
          <w:rFonts w:ascii="Times New Roman" w:hAnsi="Times New Roman" w:eastAsia="宋体"/>
          <w:sz w:val="24"/>
        </w:rPr>
        <w:t>In summary, clearance of the LEO protected region by payloads and rocket bodies will be presented as Naturally Compliant if injected into an orbit that fulfils the 25- or 5-year lifetime measure, Successful Attempt when compliant after an attempt to reduce its orbital lifetime, Insufficient Attempt when not compliant but having attempted to reduce its orbital lifetime or No Attempt when not compliant with no attempt at all. It should therefore be noted that ‘disposal’ here is defined according to lifetime and does not include passivation aspects, which, as discussed in Section 1.3, cannot currently be reliably derived from observational data.</w:t>
      </w:r>
    </w:p>
    <w:p>
      <w:pPr>
        <w:pStyle w:val="DocBody"/>
      </w:pPr>
      <w:r>
        <w:rPr>
          <w:rFonts w:ascii="Times New Roman" w:hAnsi="Times New Roman" w:eastAsia="宋体"/>
          <w:sz w:val="24"/>
        </w:rPr>
        <w:t>6.1.1. Evolution of compliance shares In Figures 6.1 - 6.3, we show the share of compliance (in terms of space object count) for payloads and rocket bodies for the two lifetime limits (25 years and 5 years). Here, adherence is achieved by a Successful Attempt as defined above, as well as Naturally Compliant for the plots including naturally compliant space objects where no action was needed or taken. The plot represents the compliance share using the median (or 90th percentile for objects with eccentricity &gt; 0.3) lifetime, according to [3].</w:t>
      </w:r>
    </w:p>
    <w:p>
      <w:pPr>
        <w:pStyle w:val="DocBody"/>
      </w:pPr>
      <w:r>
        <w:rPr>
          <w:rFonts w:ascii="Times New Roman" w:hAnsi="Times New Roman" w:eastAsia="宋体"/>
          <w:sz w:val="24"/>
        </w:rPr>
        <w:t>More details on the levels of adherence to each of the 25 and 5 year lifetime limits are given in Sections 6.1.2 and 6.1.3 respectively.</w:t>
      </w:r>
    </w:p>
    <w:p>
      <w:pPr>
        <w:pStyle w:val="DocBody"/>
      </w:pPr>
      <w:r>
        <w:rPr>
          <w:rFonts w:ascii="Times New Roman" w:hAnsi="Times New Roman" w:eastAsia="宋体"/>
          <w:sz w:val="24"/>
        </w:rPr>
        <w:t>Page 102/151</w:t>
      </w:r>
    </w:p>
    <w:p>
      <w:pPr>
        <w:pStyle w:val="DocBody"/>
      </w:pPr>
      <w:r>
        <w:rPr>
          <w:rFonts w:ascii="Times New Roman" w:hAnsi="Times New Roman" w:eastAsia="宋体"/>
          <w:sz w:val="24"/>
        </w:rPr>
        <w:t>ESA UNCLASSIFIED - Releasable to the Public EOL year Counts [%] Objects Clearance in Low Earth Orbit Lifetime threshold:</w:t>
      </w:r>
    </w:p>
    <w:p>
      <w:pPr>
        <w:pStyle w:val="DocBody"/>
      </w:pPr>
      <w:r>
        <w:rPr>
          <w:rFonts w:ascii="Times New Roman" w:hAnsi="Times New Roman" w:eastAsia="宋体"/>
          <w:sz w:val="24"/>
        </w:rPr>
        <w:t>25 years 5 years (a) Relative clearance of LEOIADC.</w:t>
      </w:r>
    </w:p>
    <w:p>
      <w:pPr>
        <w:pStyle w:val="DocBody"/>
      </w:pPr>
      <w:r>
        <w:rPr>
          <w:rFonts w:ascii="Times New Roman" w:hAnsi="Times New Roman" w:eastAsia="宋体"/>
          <w:sz w:val="24"/>
        </w:rPr>
        <w:t>EOL year Counts [%] Objects Clearance in Low Earth Orbit (excl. Naturally Compliant Objects)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excluding naturally compliant objects where no action was needed or taken.</w:t>
      </w:r>
    </w:p>
    <w:p>
      <w:pPr>
        <w:pStyle w:val="DocBody"/>
      </w:pPr>
      <w:r>
        <w:rPr>
          <w:rFonts w:ascii="Times New Roman" w:hAnsi="Times New Roman" w:eastAsia="宋体"/>
          <w:sz w:val="24"/>
        </w:rPr>
        <w:t>Figure 6.1: Trend of adherence to clearance of LEOIADC over time to 5 and 25 year lifetime limits by share of space object count, excluding space objects associated with human spaceflight, including (top) and excluding (bottom)</w:t>
      </w:r>
    </w:p>
    <w:p>
      <w:pPr>
        <w:pStyle w:val="DocBody"/>
      </w:pPr>
      <w:r>
        <w:rPr>
          <w:rFonts w:ascii="Times New Roman" w:hAnsi="Times New Roman" w:eastAsia="宋体"/>
          <w:sz w:val="24"/>
        </w:rPr>
        <w:t>naturally compliant space objects where no action was needed or taken.</w:t>
      </w:r>
    </w:p>
    <w:p>
      <w:pPr>
        <w:pStyle w:val="DocBody"/>
      </w:pPr>
      <w:r>
        <w:rPr>
          <w:rFonts w:ascii="Times New Roman" w:hAnsi="Times New Roman" w:eastAsia="宋体"/>
          <w:sz w:val="24"/>
        </w:rPr>
        <w:t>Page 103/151</w:t>
      </w:r>
    </w:p>
    <w:p>
      <w:pPr>
        <w:pStyle w:val="DocBody"/>
      </w:pPr>
      <w:r>
        <w:rPr>
          <w:rFonts w:ascii="Times New Roman" w:hAnsi="Times New Roman" w:eastAsia="宋体"/>
          <w:sz w:val="24"/>
        </w:rPr>
        <w:t>ESA UNCLASSIFIED - Releasable to the Public EOL year Counts [%] Payloads Clearance in Low Earth Orbit 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6.2: Trend of adherence to clearance of LEOIADC over time to 5 and 25 year lifetime limits by share of space object count, excluding space objects associated with human spaceflight.</w:t>
      </w:r>
    </w:p>
    <w:p>
      <w:pPr>
        <w:pStyle w:val="DocBody"/>
      </w:pPr>
      <w:r>
        <w:rPr>
          <w:rFonts w:ascii="Times New Roman" w:hAnsi="Times New Roman" w:eastAsia="宋体"/>
          <w:sz w:val="24"/>
        </w:rPr>
        <w:t>Page 104/151</w:t>
      </w:r>
    </w:p>
    <w:p>
      <w:pPr>
        <w:pStyle w:val="DocBody"/>
      </w:pPr>
      <w:r>
        <w:rPr>
          <w:rFonts w:ascii="Times New Roman" w:hAnsi="Times New Roman" w:eastAsia="宋体"/>
          <w:sz w:val="24"/>
        </w:rPr>
        <w:t>ESA UNCLASSIFIED - Releasable to the Public EOL year Counts [%] Payloads Clearance in Low Earth Orbit (excl. Naturally Compliant Payloads)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(a) Relative clearance of LEOIADC by payloads.</w:t>
      </w:r>
    </w:p>
    <w:p>
      <w:pPr>
        <w:pStyle w:val="DocBody"/>
      </w:pPr>
      <w:r>
        <w:rPr>
          <w:rFonts w:ascii="Times New Roman" w:hAnsi="Times New Roman" w:eastAsia="宋体"/>
          <w:sz w:val="24"/>
        </w:rPr>
        <w:t>EOL year Counts [%] Rocket Bodies Clearance in Low Earth Orbit (excl. Naturally Compliant Rocket Bodies)</w:t>
      </w:r>
    </w:p>
    <w:p>
      <w:pPr>
        <w:pStyle w:val="DocBody"/>
      </w:pPr>
      <w:r>
        <w:rPr>
          <w:rFonts w:ascii="Times New Roman" w:hAnsi="Times New Roman" w:eastAsia="宋体"/>
          <w:sz w:val="24"/>
        </w:rPr>
        <w:t>Lifetime threshold:</w:t>
      </w:r>
    </w:p>
    <w:p>
      <w:pPr>
        <w:pStyle w:val="DocBody"/>
      </w:pPr>
      <w:r>
        <w:rPr>
          <w:rFonts w:ascii="Times New Roman" w:hAnsi="Times New Roman" w:eastAsia="宋体"/>
          <w:sz w:val="24"/>
        </w:rPr>
        <w:t>25 years 5 years (b) Relative clearance of LEOIADC by rocket bodies.</w:t>
      </w:r>
    </w:p>
    <w:p>
      <w:pPr>
        <w:pStyle w:val="DocBody"/>
      </w:pPr>
      <w:r>
        <w:rPr>
          <w:rFonts w:ascii="Times New Roman" w:hAnsi="Times New Roman" w:eastAsia="宋体"/>
          <w:sz w:val="24"/>
        </w:rPr>
        <w:t>Figure 6.3: Trend of adherence to clearance of LEOIADC over time to 5 and 25 year lifetime limits by share of space object count, excluding naturally compliant space objects where no action was needed or taken, and space objects associated with human spaceflight.</w:t>
      </w:r>
    </w:p>
    <w:p>
      <w:pPr>
        <w:pStyle w:val="DocBody"/>
      </w:pPr>
      <w:r>
        <w:rPr>
          <w:rFonts w:ascii="Times New Roman" w:hAnsi="Times New Roman" w:eastAsia="宋体"/>
          <w:sz w:val="24"/>
        </w:rPr>
        <w:t>Page 105/151</w:t>
      </w:r>
    </w:p>
    <w:p>
      <w:pPr>
        <w:pStyle w:val="DocBody"/>
      </w:pPr>
      <w:r>
        <w:rPr>
          <w:rFonts w:ascii="Times New Roman" w:hAnsi="Times New Roman" w:eastAsia="宋体"/>
          <w:sz w:val="24"/>
        </w:rPr>
        <w:t>ESA UNCLASSIFIED - Releasable to the Public 6.1.2. Compliance to a 25-year lifetime limit 6.1.2.1.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6.4: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25 years.</w:t>
      </w:r>
    </w:p>
    <w:p>
      <w:pPr>
        <w:pStyle w:val="DocBody"/>
      </w:pPr>
      <w:r>
        <w:rPr>
          <w:rFonts w:ascii="Times New Roman" w:hAnsi="Times New Roman" w:eastAsia="宋体"/>
          <w:sz w:val="24"/>
        </w:rPr>
        <w:t>Page 106/151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6.5: Share of compliance in terms of clearing the LEO protected region by mission type, for a lifetime limit of 25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6.6: Compliance in terms of clearing the LEO protected region for constellation and non-constellation ob- jects, in absolute numbers and in relative share, for a lifetime limit of 25 years.</w:t>
      </w:r>
    </w:p>
    <w:p>
      <w:pPr>
        <w:pStyle w:val="DocBody"/>
      </w:pPr>
      <w:r>
        <w:rPr>
          <w:rFonts w:ascii="Times New Roman" w:hAnsi="Times New Roman" w:eastAsia="宋体"/>
          <w:sz w:val="24"/>
        </w:rPr>
        <w:t>Page 107/151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6.7: Relative share of disposal behaviour classes over time in terms of number (top) and mass (bottom) for payloads in LEO, excluding objects associated with human spaceflight by end-of-life year, for a lifetime limit of 25 years.</w:t>
      </w:r>
    </w:p>
    <w:p>
      <w:pPr>
        <w:pStyle w:val="DocBody"/>
      </w:pPr>
      <w:r>
        <w:rPr>
          <w:rFonts w:ascii="Times New Roman" w:hAnsi="Times New Roman" w:eastAsia="宋体"/>
          <w:sz w:val="24"/>
        </w:rPr>
        <w:t>Page 108/151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6.8: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25 years.</w:t>
      </w:r>
    </w:p>
    <w:p>
      <w:pPr>
        <w:pStyle w:val="DocBody"/>
      </w:pPr>
      <w:r>
        <w:rPr>
          <w:rFonts w:ascii="Times New Roman" w:hAnsi="Times New Roman" w:eastAsia="宋体"/>
          <w:sz w:val="24"/>
        </w:rPr>
        <w:t>Page 109/151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6.9: Relative share of disposal behaviour classes over time in terms of number (top) and mass (bottom) for Rocket Bodies in LEO by end-of-life, i.e. launch year, for a lifetime limit of 25 years.</w:t>
      </w:r>
    </w:p>
    <w:p>
      <w:pPr>
        <w:pStyle w:val="DocBody"/>
      </w:pPr>
      <w:r>
        <w:rPr>
          <w:rFonts w:ascii="Times New Roman" w:hAnsi="Times New Roman" w:eastAsia="宋体"/>
          <w:sz w:val="24"/>
        </w:rPr>
        <w:t>Page 110/151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6.10: Relative shares of success w.r.t. compliance (top) and non-compliance (bottom) over time, excluding objects associated with human spaceflight, for a lifetime limit of 25 years.</w:t>
      </w:r>
    </w:p>
    <w:p>
      <w:pPr>
        <w:pStyle w:val="DocBody"/>
      </w:pPr>
      <w:r>
        <w:rPr>
          <w:rFonts w:ascii="Times New Roman" w:hAnsi="Times New Roman" w:eastAsia="宋体"/>
          <w:sz w:val="24"/>
        </w:rPr>
        <w:t>Page 111/151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6.11: Trend of adherence to clearance of LEOIADC over time in terms of numbers, for a lifetime limit of 25 years.</w:t>
      </w:r>
    </w:p>
    <w:p>
      <w:pPr>
        <w:pStyle w:val="DocBody"/>
      </w:pPr>
      <w:r>
        <w:rPr>
          <w:rFonts w:ascii="Times New Roman" w:hAnsi="Times New Roman" w:eastAsia="宋体"/>
          <w:sz w:val="24"/>
        </w:rPr>
        <w:t>Page 112/151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6.12: Trend of adherence to clearance of LEOIADC over time in terms of mass, for a lifetime limit of 25 years.</w:t>
      </w:r>
    </w:p>
    <w:p>
      <w:pPr>
        <w:pStyle w:val="DocBody"/>
      </w:pPr>
      <w:r>
        <w:rPr>
          <w:rFonts w:ascii="Times New Roman" w:hAnsi="Times New Roman" w:eastAsia="宋体"/>
          <w:sz w:val="24"/>
        </w:rPr>
        <w:t>Page 113/151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6.13: Trend of adherence to clearance of LEOIADC over time in terms of numbers, excluding naturally compliant objects where no action was needed or taken, for a lifetime limit of 25 years.</w:t>
      </w:r>
    </w:p>
    <w:p>
      <w:pPr>
        <w:pStyle w:val="DocBody"/>
      </w:pPr>
      <w:r>
        <w:rPr>
          <w:rFonts w:ascii="Times New Roman" w:hAnsi="Times New Roman" w:eastAsia="宋体"/>
          <w:sz w:val="24"/>
        </w:rPr>
        <w:t>Page 114/151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6.14: Trend of adherence to clearance of LEOIADC over time in terms of numbers, considering payloads and rocket bodies together, for a lifetime limit of 25 years.</w:t>
      </w:r>
    </w:p>
    <w:p>
      <w:pPr>
        <w:pStyle w:val="DocBody"/>
      </w:pPr>
      <w:r>
        <w:rPr>
          <w:rFonts w:ascii="Times New Roman" w:hAnsi="Times New Roman" w:eastAsia="宋体"/>
          <w:sz w:val="24"/>
        </w:rPr>
        <w:t>Page 115/151</w:t>
      </w:r>
    </w:p>
    <w:p>
      <w:pPr>
        <w:pStyle w:val="DocBody"/>
      </w:pPr>
      <w:r>
        <w:rPr>
          <w:rFonts w:ascii="Times New Roman" w:hAnsi="Times New Roman" w:eastAsia="宋体"/>
          <w:sz w:val="24"/>
        </w:rPr>
        <w:t>ESA UNCLASSIFIED - Releasable to the Public 6.1.2.2. Evolution of behavioural classes per mass breakdown CWO 95.7% CWTB 0.0% NCWO 4.2% LEO compliances (Payloads, EOL 1990, m 10 kg)</w:t>
      </w:r>
    </w:p>
    <w:p>
      <w:pPr>
        <w:pStyle w:val="DocBody"/>
      </w:pPr>
      <w:r>
        <w:rPr>
          <w:rFonts w:ascii="Times New Roman" w:hAnsi="Times New Roman" w:eastAsia="宋体"/>
          <w:sz w:val="24"/>
        </w:rPr>
        <w:t>(a) 1990 CWO 95.6% CWTB 0.0% NCWO 4.4% LEO compliances (Payloads, EOL 2000, m 10 kg)</w:t>
      </w:r>
    </w:p>
    <w:p>
      <w:pPr>
        <w:pStyle w:val="DocBody"/>
      </w:pPr>
      <w:r>
        <w:rPr>
          <w:rFonts w:ascii="Times New Roman" w:hAnsi="Times New Roman" w:eastAsia="宋体"/>
          <w:sz w:val="24"/>
        </w:rPr>
        <w:t>(b) 2000 CWO 97.1% CWTB 0.0% NCWO 2.8% LEO compliances (Payloads, EOL 2010, m 10 kg)</w:t>
      </w:r>
    </w:p>
    <w:p>
      <w:pPr>
        <w:pStyle w:val="DocBody"/>
      </w:pPr>
      <w:r>
        <w:rPr>
          <w:rFonts w:ascii="Times New Roman" w:hAnsi="Times New Roman" w:eastAsia="宋体"/>
          <w:sz w:val="24"/>
        </w:rPr>
        <w:t>(c) 2010 CWO 99.0% CWTB 0.1% NCWO 0.9% LEO compliances (Payloads, EOL 2020, m 10 kg)</w:t>
      </w:r>
    </w:p>
    <w:p>
      <w:pPr>
        <w:pStyle w:val="DocBody"/>
      </w:pPr>
      <w:r>
        <w:rPr>
          <w:rFonts w:ascii="Times New Roman" w:hAnsi="Times New Roman" w:eastAsia="宋体"/>
          <w:sz w:val="24"/>
        </w:rPr>
        <w:t>(d) 2020 Figure 6.15: Breakdown per decade of observed behavioural classes for payloads with a mass below 10.0 kg, for a lifetime limit of 25 years.</w:t>
      </w:r>
    </w:p>
    <w:p>
      <w:pPr>
        <w:pStyle w:val="DocBody"/>
      </w:pPr>
      <w:r>
        <w:rPr>
          <w:rFonts w:ascii="Times New Roman" w:hAnsi="Times New Roman" w:eastAsia="宋体"/>
          <w:sz w:val="24"/>
        </w:rPr>
        <w:t>Page 116/151</w:t>
      </w:r>
    </w:p>
    <w:p>
      <w:pPr>
        <w:pStyle w:val="DocBody"/>
      </w:pPr>
      <w:r>
        <w:rPr>
          <w:rFonts w:ascii="Times New Roman" w:hAnsi="Times New Roman" w:eastAsia="宋体"/>
          <w:sz w:val="24"/>
        </w:rPr>
        <w:t>ESA UNCLASSIFIED - Releasable to the Public CWO 61.3% CWTB 0.2% CWFB 0.2% NCWFB 0.7% NCWO 37.5% LEO compliances (Payloads, EOL 1990, 10 &lt; m 100 kg)</w:t>
      </w:r>
    </w:p>
    <w:p>
      <w:pPr>
        <w:pStyle w:val="DocBody"/>
      </w:pPr>
      <w:r>
        <w:rPr>
          <w:rFonts w:ascii="Times New Roman" w:hAnsi="Times New Roman" w:eastAsia="宋体"/>
          <w:sz w:val="24"/>
        </w:rPr>
        <w:t>(a) 1990 CWO 69.3% CWTB 0.3% CWFB 0.3% NCWFB 0.8% NCWO 29.3% LEO compliances (Payloads, EOL 2000, 10 &lt; m 100 kg)</w:t>
      </w:r>
    </w:p>
    <w:p>
      <w:pPr>
        <w:pStyle w:val="DocBody"/>
      </w:pPr>
      <w:r>
        <w:rPr>
          <w:rFonts w:ascii="Times New Roman" w:hAnsi="Times New Roman" w:eastAsia="宋体"/>
          <w:sz w:val="24"/>
        </w:rPr>
        <w:t>(b) 2000 CWO 75.8% CWTB 0.3% CWFB 0.3% NCWFB 0.8% NCWO 22.7% LEO compliances (Payloads, EOL 2010, 10 &lt; m 100 kg)</w:t>
      </w:r>
    </w:p>
    <w:p>
      <w:pPr>
        <w:pStyle w:val="DocBody"/>
      </w:pPr>
      <w:r>
        <w:rPr>
          <w:rFonts w:ascii="Times New Roman" w:hAnsi="Times New Roman" w:eastAsia="宋体"/>
          <w:sz w:val="24"/>
        </w:rPr>
        <w:t>(c) 2010 CWO 86.9% CWTB 0.4% CWFB 0.4% NCWFB 0.4% NCWO 11.9% LEO compliances (Payloads, EOL 2020, 10 &lt; m 100 kg)</w:t>
      </w:r>
    </w:p>
    <w:p>
      <w:pPr>
        <w:pStyle w:val="DocBody"/>
      </w:pPr>
      <w:r>
        <w:rPr>
          <w:rFonts w:ascii="Times New Roman" w:hAnsi="Times New Roman" w:eastAsia="宋体"/>
          <w:sz w:val="24"/>
        </w:rPr>
        <w:t>(d) 2020 Figure 6.16: Breakdown per decade of observed behavioural classes for payloads with a mass between 10.0 and 100.0 kg, for a lifetime limit of 25 years.</w:t>
      </w:r>
    </w:p>
    <w:p>
      <w:pPr>
        <w:pStyle w:val="DocBody"/>
      </w:pPr>
      <w:r>
        <w:rPr>
          <w:rFonts w:ascii="Times New Roman" w:hAnsi="Times New Roman" w:eastAsia="宋体"/>
          <w:sz w:val="24"/>
        </w:rPr>
        <w:t>Page 117/151</w:t>
      </w:r>
    </w:p>
    <w:p>
      <w:pPr>
        <w:pStyle w:val="DocBody"/>
      </w:pPr>
      <w:r>
        <w:rPr>
          <w:rFonts w:ascii="Times New Roman" w:hAnsi="Times New Roman" w:eastAsia="宋体"/>
          <w:sz w:val="24"/>
        </w:rPr>
        <w:t>ESA UNCLASSIFIED - Releasable to the Public CD 0.5% CWO 32.2% CWTB 33.5% CWFB 4.1% NCWTB 0.1% NCWFB 3.2% NCWO 26.3% LEO compliances (Payloads, EOL 1990, 100 &lt; m 1000 kg)</w:t>
      </w:r>
    </w:p>
    <w:p>
      <w:pPr>
        <w:pStyle w:val="DocBody"/>
      </w:pPr>
      <w:r>
        <w:rPr>
          <w:rFonts w:ascii="Times New Roman" w:hAnsi="Times New Roman" w:eastAsia="宋体"/>
          <w:sz w:val="24"/>
        </w:rPr>
        <w:t>(a) 1990 CD 0.5% CWO 35.0% CWTB 38.2% CWFB 4.7% NCWTB 0.1% NCWFB 3.6% NCWO 17.8% LEO compliances (Payloads, EOL 2000, 100 &lt; m 1000 kg)</w:t>
      </w:r>
    </w:p>
    <w:p>
      <w:pPr>
        <w:pStyle w:val="DocBody"/>
      </w:pPr>
      <w:r>
        <w:rPr>
          <w:rFonts w:ascii="Times New Roman" w:hAnsi="Times New Roman" w:eastAsia="宋体"/>
          <w:sz w:val="24"/>
        </w:rPr>
        <w:t>(b) 2000 CD 0.5% CWO 36.4% CWTB 41.9% CWFB 5.0% NCWTB 0.1% NCWFB 3.6% NCWO 12.6% LEO compliances (Payloads, EOL 2010, 100 &lt; m 1000 kg)</w:t>
      </w:r>
    </w:p>
    <w:p>
      <w:pPr>
        <w:pStyle w:val="DocBody"/>
      </w:pPr>
      <w:r>
        <w:rPr>
          <w:rFonts w:ascii="Times New Roman" w:hAnsi="Times New Roman" w:eastAsia="宋体"/>
          <w:sz w:val="24"/>
        </w:rPr>
        <w:t>(c) 2010 CD 0.3% CWO 40.0% CWTB 51.0% CWFB 0.7% NCWTB 0.1% NCWFB 0.9% NCWO 7.1% LEO compliances (Payloads, EOL 2020, 100 &lt; m 1000 kg)</w:t>
      </w:r>
    </w:p>
    <w:p>
      <w:pPr>
        <w:pStyle w:val="DocBody"/>
      </w:pPr>
      <w:r>
        <w:rPr>
          <w:rFonts w:ascii="Times New Roman" w:hAnsi="Times New Roman" w:eastAsia="宋体"/>
          <w:sz w:val="24"/>
        </w:rPr>
        <w:t>(d) 2020 Figure 6.17: Breakdown per decade of observed behavioural classes for payloads with a mass between 100.0 and 1000.0 kg, for a lifetime limit of 25 years.</w:t>
      </w:r>
    </w:p>
    <w:p>
      <w:pPr>
        <w:pStyle w:val="DocBody"/>
      </w:pPr>
      <w:r>
        <w:rPr>
          <w:rFonts w:ascii="Times New Roman" w:hAnsi="Times New Roman" w:eastAsia="宋体"/>
          <w:sz w:val="24"/>
        </w:rPr>
        <w:t>Page 118/151</w:t>
      </w:r>
    </w:p>
    <w:p>
      <w:pPr>
        <w:pStyle w:val="DocBody"/>
      </w:pPr>
      <w:r>
        <w:rPr>
          <w:rFonts w:ascii="Times New Roman" w:hAnsi="Times New Roman" w:eastAsia="宋体"/>
          <w:sz w:val="24"/>
        </w:rPr>
        <w:t>ESA UNCLASSIFIED - Releasable to the Public CD 7% CWO 53% CWTB 1% CWFB 1% NCWFB 2% NCWO 36% LEO compliances (Payloads, EOL 1990, m &gt; 1000 kg)</w:t>
      </w:r>
    </w:p>
    <w:p>
      <w:pPr>
        <w:pStyle w:val="DocBody"/>
      </w:pPr>
      <w:r>
        <w:rPr>
          <w:rFonts w:ascii="Times New Roman" w:hAnsi="Times New Roman" w:eastAsia="宋体"/>
          <w:sz w:val="24"/>
        </w:rPr>
        <w:t>(a) 1990 CD 13% CWO 39% CWTB 3% CWFB 2% NCWFB 4% NCWO 40% LEO compliances (Payloads, EOL 2000, m &gt; 1000 kg)</w:t>
      </w:r>
    </w:p>
    <w:p>
      <w:pPr>
        <w:pStyle w:val="DocBody"/>
      </w:pPr>
      <w:r>
        <w:rPr>
          <w:rFonts w:ascii="Times New Roman" w:hAnsi="Times New Roman" w:eastAsia="宋体"/>
          <w:sz w:val="24"/>
        </w:rPr>
        <w:t>(b) 2000 CD 16% CWO 35% CWTB 4% CWFB 3% NCWFB 4% NCWO 38% LEO compliances (Payloads, EOL 2010, m &gt; 1000 kg)</w:t>
      </w:r>
    </w:p>
    <w:p>
      <w:pPr>
        <w:pStyle w:val="DocBody"/>
      </w:pPr>
      <w:r>
        <w:rPr>
          <w:rFonts w:ascii="Times New Roman" w:hAnsi="Times New Roman" w:eastAsia="宋体"/>
          <w:sz w:val="24"/>
        </w:rPr>
        <w:t>(c) 2010 CD 9% CWO 37% CWTB 4% CWFB 6% NCWFB 4% NCWO 39% LEO compliances (Payloads, EOL 2020, m &gt; 1000 kg)</w:t>
      </w:r>
    </w:p>
    <w:p>
      <w:pPr>
        <w:pStyle w:val="DocBody"/>
      </w:pPr>
      <w:r>
        <w:rPr>
          <w:rFonts w:ascii="Times New Roman" w:hAnsi="Times New Roman" w:eastAsia="宋体"/>
          <w:sz w:val="24"/>
        </w:rPr>
        <w:t>(d) 2020 Figure 6.18: Breakdown per decade of observed behavioural classes for payloads with a mass above 1000.0 kg, for a lifetime limit of 25 years.</w:t>
      </w:r>
    </w:p>
    <w:p>
      <w:pPr>
        <w:pStyle w:val="DocBody"/>
      </w:pPr>
      <w:r>
        <w:rPr>
          <w:rFonts w:ascii="Times New Roman" w:hAnsi="Times New Roman" w:eastAsia="宋体"/>
          <w:sz w:val="24"/>
        </w:rPr>
        <w:t>Page 119/151</w:t>
      </w:r>
    </w:p>
    <w:p>
      <w:pPr>
        <w:pStyle w:val="DocBody"/>
      </w:pPr>
      <w:r>
        <w:rPr>
          <w:rFonts w:ascii="Times New Roman" w:hAnsi="Times New Roman" w:eastAsia="宋体"/>
          <w:sz w:val="24"/>
        </w:rPr>
        <w:t>ESA UNCLASSIFIED - Releasable to the Public 6.1.3. Compliance to a 5-year lifetime limit 6.1.3.1. Evolution of compliance shares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number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mass HS No OCC OCC Stage Object types (EOL after 2000)</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HS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 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OCC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Stage compliant by active de-orbit compliant by natural decay non-compliant Achievements (EOL after 2000) by object type Figure 6.19: Share of payloads and rocket bodies in terms of mass and number (top) and compliance in terms of clearing the LEO protected region (bottom). The reported years for payload clearance of LEOIADC goes up to 2024, for rocket body clearance of LEOIADC goes up to 2025, for a lifetime limit of 5 years.</w:t>
      </w:r>
    </w:p>
    <w:p>
      <w:pPr>
        <w:pStyle w:val="DocBody"/>
      </w:pPr>
      <w:r>
        <w:rPr>
          <w:rFonts w:ascii="Times New Roman" w:hAnsi="Times New Roman" w:eastAsia="宋体"/>
          <w:sz w:val="24"/>
        </w:rPr>
        <w:t>Page 120/151</w:t>
      </w:r>
    </w:p>
    <w:p>
      <w:pPr>
        <w:pStyle w:val="DocBody"/>
      </w:pPr>
      <w:r>
        <w:rPr>
          <w:rFonts w:ascii="Times New Roman" w:hAnsi="Times New Roman" w:eastAsia="宋体"/>
          <w:sz w:val="24"/>
        </w:rPr>
        <w:t>ESA UNCLASSIFIED - Releasable to the Public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Amateur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Civil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Commercial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Defense compliant by active de-orbit compliant by natural decay non-compliant Achievements (EOL after 2000) by mission type (excluding Stage, HS)</w:t>
      </w:r>
    </w:p>
    <w:p>
      <w:pPr>
        <w:pStyle w:val="DocBody"/>
      </w:pPr>
      <w:r>
        <w:rPr>
          <w:rFonts w:ascii="Times New Roman" w:hAnsi="Times New Roman" w:eastAsia="宋体"/>
          <w:sz w:val="24"/>
        </w:rPr>
        <w:t>Figure 6.20: Share of compliance in terms of clearing the LEO protected region by mission type, for a lifetime limit of 5 years.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Total Number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Constellation Share [%] [2000, 2010)</w:t>
      </w:r>
    </w:p>
    <w:p>
      <w:pPr>
        <w:pStyle w:val="DocBody"/>
      </w:pPr>
      <w:r>
        <w:rPr>
          <w:rFonts w:ascii="Times New Roman" w:hAnsi="Times New Roman" w:eastAsia="宋体"/>
          <w:sz w:val="24"/>
        </w:rPr>
        <w:t>[2010, 2020)</w:t>
      </w:r>
    </w:p>
    <w:p>
      <w:pPr>
        <w:pStyle w:val="DocBody"/>
      </w:pPr>
      <w:r>
        <w:rPr>
          <w:rFonts w:ascii="Times New Roman" w:hAnsi="Times New Roman" w:eastAsia="宋体"/>
          <w:sz w:val="24"/>
        </w:rPr>
        <w:t>[2020, 2030)</w:t>
      </w:r>
    </w:p>
    <w:p>
      <w:pPr>
        <w:pStyle w:val="DocBody"/>
      </w:pPr>
      <w:r>
        <w:rPr>
          <w:rFonts w:ascii="Times New Roman" w:hAnsi="Times New Roman" w:eastAsia="宋体"/>
          <w:sz w:val="24"/>
        </w:rPr>
        <w:t>Non-constellation compliant by active de-orbit compliant by natural decay non-compliant Achievements (EOL after 2000) by architecture type (excluding Stage, HS)</w:t>
      </w:r>
    </w:p>
    <w:p>
      <w:pPr>
        <w:pStyle w:val="DocBody"/>
      </w:pPr>
      <w:r>
        <w:rPr>
          <w:rFonts w:ascii="Times New Roman" w:hAnsi="Times New Roman" w:eastAsia="宋体"/>
          <w:sz w:val="24"/>
        </w:rPr>
        <w:t>Figure 6.21: Compliance in terms of clearing the LEO protected region for constellation and non-constellation objects, in absolute numbers and in relative share, for a lifetime limit of 5 years.</w:t>
      </w:r>
    </w:p>
    <w:p>
      <w:pPr>
        <w:pStyle w:val="DocBody"/>
      </w:pPr>
      <w:r>
        <w:rPr>
          <w:rFonts w:ascii="Times New Roman" w:hAnsi="Times New Roman" w:eastAsia="宋体"/>
          <w:sz w:val="24"/>
        </w:rPr>
        <w:t>Page 121/151</w:t>
      </w:r>
    </w:p>
    <w:p>
      <w:pPr>
        <w:pStyle w:val="DocBody"/>
      </w:pPr>
      <w:r>
        <w:rPr>
          <w:rFonts w:ascii="Times New Roman" w:hAnsi="Times New Roman" w:eastAsia="宋体"/>
          <w:sz w:val="24"/>
        </w:rPr>
        <w:t>ESA UNCLASSIFIED - Releasable to the Public EOL year Counts [%] LEO clearance (Payloads, HS excluded)</w:t>
      </w:r>
    </w:p>
    <w:p>
      <w:pPr>
        <w:pStyle w:val="DocBody"/>
      </w:pPr>
      <w:r>
        <w:rPr>
          <w:rFonts w:ascii="Times New Roman" w:hAnsi="Times New Roman" w:eastAsia="宋体"/>
          <w:sz w:val="24"/>
        </w:rPr>
        <w:t>CD CWO CWTB CWFB NCWTB NCWFB NCWO EOL year Mass [%] LEO clearance (Payloads, HS excluded)</w:t>
      </w:r>
    </w:p>
    <w:p>
      <w:pPr>
        <w:pStyle w:val="DocBody"/>
      </w:pPr>
      <w:r>
        <w:rPr>
          <w:rFonts w:ascii="Times New Roman" w:hAnsi="Times New Roman" w:eastAsia="宋体"/>
          <w:sz w:val="24"/>
        </w:rPr>
        <w:t>CD CWO CWTB CWFB NCWTB NCWFB NCWO Figure 6.22: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end-of-life year, for a lifetime limit of 5 years.</w:t>
      </w:r>
    </w:p>
    <w:p>
      <w:pPr>
        <w:pStyle w:val="DocBody"/>
      </w:pPr>
      <w:r>
        <w:rPr>
          <w:rFonts w:ascii="Times New Roman" w:hAnsi="Times New Roman" w:eastAsia="宋体"/>
          <w:sz w:val="24"/>
        </w:rPr>
        <w:t>Page 122/151</w:t>
      </w:r>
    </w:p>
    <w:p>
      <w:pPr>
        <w:pStyle w:val="DocBody"/>
      </w:pPr>
      <w:r>
        <w:rPr>
          <w:rFonts w:ascii="Times New Roman" w:hAnsi="Times New Roman" w:eastAsia="宋体"/>
          <w:sz w:val="24"/>
        </w:rPr>
        <w:t>ESA UNCLASSIFIED - Releasable to the Public launch year Counts [%] LEO clearance (Payloads, HS excluded)</w:t>
      </w:r>
    </w:p>
    <w:p>
      <w:pPr>
        <w:pStyle w:val="DocBody"/>
      </w:pPr>
      <w:r>
        <w:rPr>
          <w:rFonts w:ascii="Times New Roman" w:hAnsi="Times New Roman" w:eastAsia="宋体"/>
          <w:sz w:val="24"/>
        </w:rPr>
        <w:t>CD CWO CWTB CWFB NCWTB NCWFB NCWO launch year Mass [%] LEO clearance (Payloads, HS excluded)</w:t>
      </w:r>
    </w:p>
    <w:p>
      <w:pPr>
        <w:pStyle w:val="DocBody"/>
      </w:pPr>
      <w:r>
        <w:rPr>
          <w:rFonts w:ascii="Times New Roman" w:hAnsi="Times New Roman" w:eastAsia="宋体"/>
          <w:sz w:val="24"/>
        </w:rPr>
        <w:t>CD CWO CWTB CWFB NCWTB NCWFB NCWO Figure 6.23: Relative share of disposal behaviour classes over time in terms of number (top) and mass (bottom)</w:t>
      </w:r>
    </w:p>
    <w:p>
      <w:pPr>
        <w:pStyle w:val="DocBody"/>
      </w:pPr>
      <w:r>
        <w:rPr>
          <w:rFonts w:ascii="Times New Roman" w:hAnsi="Times New Roman" w:eastAsia="宋体"/>
          <w:sz w:val="24"/>
        </w:rPr>
        <w:t>for payloads in LEO, excluding objects associated with human spaceflight by launch year, for a lifetime limit of 5 years.</w:t>
      </w:r>
    </w:p>
    <w:p>
      <w:pPr>
        <w:pStyle w:val="DocBody"/>
      </w:pPr>
      <w:r>
        <w:rPr>
          <w:rFonts w:ascii="Times New Roman" w:hAnsi="Times New Roman" w:eastAsia="宋体"/>
          <w:sz w:val="24"/>
        </w:rPr>
        <w:t>Page 123/151</w:t>
      </w:r>
    </w:p>
    <w:p>
      <w:pPr>
        <w:pStyle w:val="DocBody"/>
      </w:pPr>
      <w:r>
        <w:rPr>
          <w:rFonts w:ascii="Times New Roman" w:hAnsi="Times New Roman" w:eastAsia="宋体"/>
          <w:sz w:val="24"/>
        </w:rPr>
        <w:t>ESA UNCLASSIFIED - Releasable to the Public EOL year Counts [%] LEO clearance (Rocket Bodies)</w:t>
      </w:r>
    </w:p>
    <w:p>
      <w:pPr>
        <w:pStyle w:val="DocBody"/>
      </w:pPr>
      <w:r>
        <w:rPr>
          <w:rFonts w:ascii="Times New Roman" w:hAnsi="Times New Roman" w:eastAsia="宋体"/>
          <w:sz w:val="24"/>
        </w:rPr>
        <w:t>CD CWO CWTB CWFB NCWTB NCWFB NCWO EOL year Mass [%] LEO clearance (Rocket Bodies)</w:t>
      </w:r>
    </w:p>
    <w:p>
      <w:pPr>
        <w:pStyle w:val="DocBody"/>
      </w:pPr>
      <w:r>
        <w:rPr>
          <w:rFonts w:ascii="Times New Roman" w:hAnsi="Times New Roman" w:eastAsia="宋体"/>
          <w:sz w:val="24"/>
        </w:rPr>
        <w:t>CD CWO CWTB CWFB NCWTB NCWFB NCWO Figure 6.24: Relative share of disposal behaviour classes over time in terms of number (top) and mass (bottom)</w:t>
      </w:r>
    </w:p>
    <w:p>
      <w:pPr>
        <w:pStyle w:val="DocBody"/>
      </w:pPr>
      <w:r>
        <w:rPr>
          <w:rFonts w:ascii="Times New Roman" w:hAnsi="Times New Roman" w:eastAsia="宋体"/>
          <w:sz w:val="24"/>
        </w:rPr>
        <w:t>for Rocket Bodies in LEO by end-of-life, i.e. launch year, for a lifetime limit of 5 years.</w:t>
      </w:r>
    </w:p>
    <w:p>
      <w:pPr>
        <w:pStyle w:val="DocBody"/>
      </w:pPr>
      <w:r>
        <w:rPr>
          <w:rFonts w:ascii="Times New Roman" w:hAnsi="Times New Roman" w:eastAsia="宋体"/>
          <w:sz w:val="24"/>
        </w:rPr>
        <w:t>Page 124/151</w:t>
      </w:r>
    </w:p>
    <w:p>
      <w:pPr>
        <w:pStyle w:val="DocBody"/>
      </w:pPr>
      <w:r>
        <w:rPr>
          <w:rFonts w:ascii="Times New Roman" w:hAnsi="Times New Roman" w:eastAsia="宋体"/>
          <w:sz w:val="24"/>
        </w:rPr>
        <w:t>ESA UNCLASSIFIED - Releasable to the Public EOL year Share of compliant objects [%] Successful de-orbiting attempts (HS excluded)</w:t>
      </w:r>
    </w:p>
    <w:p>
      <w:pPr>
        <w:pStyle w:val="DocBody"/>
      </w:pPr>
      <w:r>
        <w:rPr>
          <w:rFonts w:ascii="Times New Roman" w:hAnsi="Times New Roman" w:eastAsia="宋体"/>
          <w:sz w:val="24"/>
        </w:rPr>
        <w:t>Payload Rocket Body EOL year Share of non-compliant objects [%] Unsuccessful de-orbiting attempts (HS excluded)</w:t>
      </w:r>
    </w:p>
    <w:p>
      <w:pPr>
        <w:pStyle w:val="DocBody"/>
      </w:pPr>
      <w:r>
        <w:rPr>
          <w:rFonts w:ascii="Times New Roman" w:hAnsi="Times New Roman" w:eastAsia="宋体"/>
          <w:sz w:val="24"/>
        </w:rPr>
        <w:t>Payload Rocket Body Figure 6.25: Relative shares of success w.r.t. compliance (top) and non-compliance (bottom) over time, excluding objects associated with human spaceflight, for a lifetime limit of 5 years.</w:t>
      </w:r>
    </w:p>
    <w:p>
      <w:pPr>
        <w:pStyle w:val="DocBody"/>
      </w:pPr>
      <w:r>
        <w:rPr>
          <w:rFonts w:ascii="Times New Roman" w:hAnsi="Times New Roman" w:eastAsia="宋体"/>
          <w:sz w:val="24"/>
        </w:rPr>
        <w:t>Page 125/151</w:t>
      </w:r>
    </w:p>
    <w:p>
      <w:pPr>
        <w:pStyle w:val="DocBody"/>
      </w:pPr>
      <w:r>
        <w:rPr>
          <w:rFonts w:ascii="Times New Roman" w:hAnsi="Times New Roman" w:eastAsia="宋体"/>
          <w:sz w:val="24"/>
        </w:rPr>
        <w:t>ESA UNCLASSIFIED - Releasable to the Public EOL year Counts [%] Payloads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6.26: Trend of adherence to clearance of LEOIADC over time in terms of numbers, for a lifetime limit of 5 years.</w:t>
      </w:r>
    </w:p>
    <w:p>
      <w:pPr>
        <w:pStyle w:val="DocBody"/>
      </w:pPr>
      <w:r>
        <w:rPr>
          <w:rFonts w:ascii="Times New Roman" w:hAnsi="Times New Roman" w:eastAsia="宋体"/>
          <w:sz w:val="24"/>
        </w:rPr>
        <w:t>Page 126/151</w:t>
      </w:r>
    </w:p>
    <w:p>
      <w:pPr>
        <w:pStyle w:val="DocBody"/>
      </w:pPr>
      <w:r>
        <w:rPr>
          <w:rFonts w:ascii="Times New Roman" w:hAnsi="Times New Roman" w:eastAsia="宋体"/>
          <w:sz w:val="24"/>
        </w:rPr>
        <w:t>ESA UNCLASSIFIED - Releasable to the Public EOL year Mass [%] Payloads Mass Clearance in Low Earth Orbit Naturally Compliant Successful Attempt Insufficient Attempt No Attempt (a) Relative clearance of LEOIADC by payloads.</w:t>
      </w:r>
    </w:p>
    <w:p>
      <w:pPr>
        <w:pStyle w:val="DocBody"/>
      </w:pPr>
      <w:r>
        <w:rPr>
          <w:rFonts w:ascii="Times New Roman" w:hAnsi="Times New Roman" w:eastAsia="宋体"/>
          <w:sz w:val="24"/>
        </w:rPr>
        <w:t>EOL year Mass [%] Rocket Bodies Mass Clearance in Low Earth Orbit Naturally Compliant Successful Attempt Insufficient Attempt No Attempt (b) Relative clearance of LEOIADC by rocket bodies.</w:t>
      </w:r>
    </w:p>
    <w:p>
      <w:pPr>
        <w:pStyle w:val="DocBody"/>
      </w:pPr>
      <w:r>
        <w:rPr>
          <w:rFonts w:ascii="Times New Roman" w:hAnsi="Times New Roman" w:eastAsia="宋体"/>
          <w:sz w:val="24"/>
        </w:rPr>
        <w:t>Figure 6.27: Trend of adherence to clearance of LEOIADC over time in terms of mass, for a lifetime limit of 5 years.</w:t>
      </w:r>
    </w:p>
    <w:p>
      <w:pPr>
        <w:pStyle w:val="DocBody"/>
      </w:pPr>
      <w:r>
        <w:rPr>
          <w:rFonts w:ascii="Times New Roman" w:hAnsi="Times New Roman" w:eastAsia="宋体"/>
          <w:sz w:val="24"/>
        </w:rPr>
        <w:t>Page 127/151</w:t>
      </w:r>
    </w:p>
    <w:p>
      <w:pPr>
        <w:pStyle w:val="DocBody"/>
      </w:pPr>
      <w:r>
        <w:rPr>
          <w:rFonts w:ascii="Times New Roman" w:hAnsi="Times New Roman" w:eastAsia="宋体"/>
          <w:sz w:val="24"/>
        </w:rPr>
        <w:t>ESA UNCLASSIFIED - Releasable to the Public EOL year Counts [%] Payloads Clearance in Low Earth Orbit (exl. Naturally Compliant Payloads)</w:t>
      </w:r>
    </w:p>
    <w:p>
      <w:pPr>
        <w:pStyle w:val="DocBody"/>
      </w:pPr>
      <w:r>
        <w:rPr>
          <w:rFonts w:ascii="Times New Roman" w:hAnsi="Times New Roman" w:eastAsia="宋体"/>
          <w:sz w:val="24"/>
        </w:rPr>
        <w:t>Successful Attempt Insufficient Attempt No Attempt (a) Relative clearance of LEOIADC by payloads.</w:t>
      </w:r>
    </w:p>
    <w:p>
      <w:pPr>
        <w:pStyle w:val="DocBody"/>
      </w:pPr>
      <w:r>
        <w:rPr>
          <w:rFonts w:ascii="Times New Roman" w:hAnsi="Times New Roman" w:eastAsia="宋体"/>
          <w:sz w:val="24"/>
        </w:rPr>
        <w:t>EOL year Counts [%] Rocket Bodies Clearance in Low Earth Orbit (exl. Naturally Compliant Rocket Bodies)</w:t>
      </w:r>
    </w:p>
    <w:p>
      <w:pPr>
        <w:pStyle w:val="DocBody"/>
      </w:pPr>
      <w:r>
        <w:rPr>
          <w:rFonts w:ascii="Times New Roman" w:hAnsi="Times New Roman" w:eastAsia="宋体"/>
          <w:sz w:val="24"/>
        </w:rPr>
        <w:t>Successful Attempt Insufficient Attempt No Attempt (b) Relative clearance of LEOIADC by rocket bodies.</w:t>
      </w:r>
    </w:p>
    <w:p>
      <w:pPr>
        <w:pStyle w:val="DocBody"/>
      </w:pPr>
      <w:r>
        <w:rPr>
          <w:rFonts w:ascii="Times New Roman" w:hAnsi="Times New Roman" w:eastAsia="宋体"/>
          <w:sz w:val="24"/>
        </w:rPr>
        <w:t>Figure 6.28: Trend of adherence to clearance of LEOIADC over time in terms of numbers, excluding naturally compliant objects where no action was needed or taken, for a lifetime limit of 5 years.</w:t>
      </w:r>
    </w:p>
    <w:p>
      <w:pPr>
        <w:pStyle w:val="DocBody"/>
      </w:pPr>
      <w:r>
        <w:rPr>
          <w:rFonts w:ascii="Times New Roman" w:hAnsi="Times New Roman" w:eastAsia="宋体"/>
          <w:sz w:val="24"/>
        </w:rPr>
        <w:t>Page 128/151</w:t>
      </w:r>
    </w:p>
    <w:p>
      <w:pPr>
        <w:pStyle w:val="DocBody"/>
      </w:pPr>
      <w:r>
        <w:rPr>
          <w:rFonts w:ascii="Times New Roman" w:hAnsi="Times New Roman" w:eastAsia="宋体"/>
          <w:sz w:val="24"/>
        </w:rPr>
        <w:t>ESA UNCLASSIFIED - Releasable to the Public EOL year Counts [%] Objects Clearance in Low Earth Orbit Naturally Compliant Successful Attempt Insufficient Attempt No Attempt (a) Relative clearance of LEOIADC.</w:t>
      </w:r>
    </w:p>
    <w:p>
      <w:pPr>
        <w:pStyle w:val="DocBody"/>
      </w:pPr>
      <w:r>
        <w:rPr>
          <w:rFonts w:ascii="Times New Roman" w:hAnsi="Times New Roman" w:eastAsia="宋体"/>
          <w:sz w:val="24"/>
        </w:rPr>
        <w:t>EOL year Counts [%] Objects Clearance in Low Earth Orbit (exl. Naturally Compliant Objects)</w:t>
      </w:r>
    </w:p>
    <w:p>
      <w:pPr>
        <w:pStyle w:val="DocBody"/>
      </w:pPr>
      <w:r>
        <w:rPr>
          <w:rFonts w:ascii="Times New Roman" w:hAnsi="Times New Roman" w:eastAsia="宋体"/>
          <w:sz w:val="24"/>
        </w:rPr>
        <w:t>Successful Attempt Insufficient Attempt No Attempt (b) Relative clearance of LEOIADC excluding naturally compliant objects where no action was needed or taken.</w:t>
      </w:r>
    </w:p>
    <w:p>
      <w:pPr>
        <w:pStyle w:val="DocBody"/>
      </w:pPr>
      <w:r>
        <w:rPr>
          <w:rFonts w:ascii="Times New Roman" w:hAnsi="Times New Roman" w:eastAsia="宋体"/>
          <w:sz w:val="24"/>
        </w:rPr>
        <w:t>Figure 6.29: Trend of adherence to clearance of LEOIADC over time in terms of numbers, considering payloads and rocket bodies together, for a lifetime limit of 5 years.</w:t>
      </w:r>
    </w:p>
    <w:p>
      <w:pPr>
        <w:pStyle w:val="DocBody"/>
      </w:pPr>
      <w:r>
        <w:rPr>
          <w:rFonts w:ascii="Times New Roman" w:hAnsi="Times New Roman" w:eastAsia="宋体"/>
          <w:sz w:val="24"/>
        </w:rPr>
        <w:t>Page 129/151</w:t>
      </w:r>
    </w:p>
    <w:p>
      <w:pPr>
        <w:pStyle w:val="DocBody"/>
      </w:pPr>
      <w:r>
        <w:rPr>
          <w:rFonts w:ascii="Times New Roman" w:hAnsi="Times New Roman" w:eastAsia="宋体"/>
          <w:sz w:val="24"/>
        </w:rPr>
        <w:t>ESA UNCLASSIFIED - Releasable to the Public 6.1.3.2. Evolution of behavioural classes per mass breakdown CWO 80.2% CWTB 0.0% NCWO 19.8% LEO compliances (Payloads, EOL 1990, m 10 kg)</w:t>
      </w:r>
    </w:p>
    <w:p>
      <w:pPr>
        <w:pStyle w:val="DocBody"/>
      </w:pPr>
      <w:r>
        <w:rPr>
          <w:rFonts w:ascii="Times New Roman" w:hAnsi="Times New Roman" w:eastAsia="宋体"/>
          <w:sz w:val="24"/>
        </w:rPr>
        <w:t>(a) 1990 CWO 79.5% CWTB 0.0% NCWO 20.5% LEO compliances (Payloads, EOL 2000, m 10 kg)</w:t>
      </w:r>
    </w:p>
    <w:p>
      <w:pPr>
        <w:pStyle w:val="DocBody"/>
      </w:pPr>
      <w:r>
        <w:rPr>
          <w:rFonts w:ascii="Times New Roman" w:hAnsi="Times New Roman" w:eastAsia="宋体"/>
          <w:sz w:val="24"/>
        </w:rPr>
        <w:t>(b) 2000 CWO 80.9% CWTB 0.0% NCWO 19.0% LEO compliances (Payloads, EOL 2010, m 10 kg)</w:t>
      </w:r>
    </w:p>
    <w:p>
      <w:pPr>
        <w:pStyle w:val="DocBody"/>
      </w:pPr>
      <w:r>
        <w:rPr>
          <w:rFonts w:ascii="Times New Roman" w:hAnsi="Times New Roman" w:eastAsia="宋体"/>
          <w:sz w:val="24"/>
        </w:rPr>
        <w:t>(c) 2010 CWO 91.6% CWTB 0.1% NCWO 8.3% LEO compliances (Payloads, EOL 2020, m 10 kg)</w:t>
      </w:r>
    </w:p>
    <w:p>
      <w:pPr>
        <w:pStyle w:val="DocBody"/>
      </w:pPr>
      <w:r>
        <w:rPr>
          <w:rFonts w:ascii="Times New Roman" w:hAnsi="Times New Roman" w:eastAsia="宋体"/>
          <w:sz w:val="24"/>
        </w:rPr>
        <w:t>(d) 2020 Figure 6.30: Breakdown per decade of observed behavioural classes for payloads with a mass below 10.0 kg for a lifetime limit of 5 years.</w:t>
      </w:r>
    </w:p>
    <w:p>
      <w:pPr>
        <w:pStyle w:val="DocBody"/>
      </w:pPr>
      <w:r>
        <w:rPr>
          <w:rFonts w:ascii="Times New Roman" w:hAnsi="Times New Roman" w:eastAsia="宋体"/>
          <w:sz w:val="24"/>
        </w:rPr>
        <w:t>Page 130/151</w:t>
      </w:r>
    </w:p>
    <w:p>
      <w:pPr>
        <w:pStyle w:val="DocBody"/>
      </w:pPr>
      <w:r>
        <w:rPr>
          <w:rFonts w:ascii="Times New Roman" w:hAnsi="Times New Roman" w:eastAsia="宋体"/>
          <w:sz w:val="24"/>
        </w:rPr>
        <w:t>ESA UNCLASSIFIED - Releasable to the Public CWO 45.5% CWTB 0.2% CWFB 0.1% NCWFB 0.8% NCWO 53.3% LEO compliances (Payloads, EOL 1990, 10 &lt; m 100 kg)</w:t>
      </w:r>
    </w:p>
    <w:p>
      <w:pPr>
        <w:pStyle w:val="DocBody"/>
      </w:pPr>
      <w:r>
        <w:rPr>
          <w:rFonts w:ascii="Times New Roman" w:hAnsi="Times New Roman" w:eastAsia="宋体"/>
          <w:sz w:val="24"/>
        </w:rPr>
        <w:t>(a) 1990 CWO 50.5% CWTB 0.3% CWFB 0.1% NCWFB 1.0% NCWO 48.1% LEO compliances (Payloads, EOL 2000, 10 &lt; m 100 kg)</w:t>
      </w:r>
    </w:p>
    <w:p>
      <w:pPr>
        <w:pStyle w:val="DocBody"/>
      </w:pPr>
      <w:r>
        <w:rPr>
          <w:rFonts w:ascii="Times New Roman" w:hAnsi="Times New Roman" w:eastAsia="宋体"/>
          <w:sz w:val="24"/>
        </w:rPr>
        <w:t>(b) 2000 CWO 55.5% CWTB 0.3% CWFB 0.2% NCWFB 1.0% NCWO 43.0% LEO compliances (Payloads, EOL 2010, 10 &lt; m 100 kg)</w:t>
      </w:r>
    </w:p>
    <w:p>
      <w:pPr>
        <w:pStyle w:val="DocBody"/>
      </w:pPr>
      <w:r>
        <w:rPr>
          <w:rFonts w:ascii="Times New Roman" w:hAnsi="Times New Roman" w:eastAsia="宋体"/>
          <w:sz w:val="24"/>
        </w:rPr>
        <w:t>(c) 2010 CWO 66.5% CWTB 0.4% CWFB 0.2% NCWFB 0.6% NCWO 32.2% LEO compliances (Payloads, EOL 2020, 10 &lt; m 100 kg)</w:t>
      </w:r>
    </w:p>
    <w:p>
      <w:pPr>
        <w:pStyle w:val="DocBody"/>
      </w:pPr>
      <w:r>
        <w:rPr>
          <w:rFonts w:ascii="Times New Roman" w:hAnsi="Times New Roman" w:eastAsia="宋体"/>
          <w:sz w:val="24"/>
        </w:rPr>
        <w:t>(d) 2020 Figure 6.31: Breakdown per decade of observed behavioural classes for payloads with a mass between 10.0 and 100.0 kg for a lifetime limit of 5 years.</w:t>
      </w:r>
    </w:p>
    <w:p>
      <w:pPr>
        <w:pStyle w:val="DocBody"/>
      </w:pPr>
      <w:r>
        <w:rPr>
          <w:rFonts w:ascii="Times New Roman" w:hAnsi="Times New Roman" w:eastAsia="宋体"/>
          <w:sz w:val="24"/>
        </w:rPr>
        <w:t>Page 131/151</w:t>
      </w:r>
    </w:p>
    <w:p>
      <w:pPr>
        <w:pStyle w:val="DocBody"/>
      </w:pPr>
      <w:r>
        <w:rPr>
          <w:rFonts w:ascii="Times New Roman" w:hAnsi="Times New Roman" w:eastAsia="宋体"/>
          <w:sz w:val="24"/>
        </w:rPr>
        <w:t>ESA UNCLASSIFIED - Releasable to the Public CD 0.5% CWO 27.5% CWTB 31.7% CWFB 5.1% NCWTB 0.1% NCWFB 4.1% NCWO 31.0% LEO compliances (Payloads, EOL 1990, 100 &lt; m 1000 kg)</w:t>
      </w:r>
    </w:p>
    <w:p>
      <w:pPr>
        <w:pStyle w:val="DocBody"/>
      </w:pPr>
      <w:r>
        <w:rPr>
          <w:rFonts w:ascii="Times New Roman" w:hAnsi="Times New Roman" w:eastAsia="宋体"/>
          <w:sz w:val="24"/>
        </w:rPr>
        <w:t>(a) 1990 CD 0.5% CWO 29.8% CWTB 36.2% CWFB 5.7% NCWTB 0.1% NCWFB 4.6% NCWO 23.0% LEO compliances (Payloads, EOL 2000, 100 &lt; m 1000 kg)</w:t>
      </w:r>
    </w:p>
    <w:p>
      <w:pPr>
        <w:pStyle w:val="DocBody"/>
      </w:pPr>
      <w:r>
        <w:rPr>
          <w:rFonts w:ascii="Times New Roman" w:hAnsi="Times New Roman" w:eastAsia="宋体"/>
          <w:sz w:val="24"/>
        </w:rPr>
        <w:t>(b) 2000 CD 0.5% CWO 31.4% CWTB 39.6% CWFB 6.2% NCWTB 0.1% NCWFB 4.6% NCWO 17.6% LEO compliances (Payloads, EOL 2010, 100 &lt; m 1000 kg)</w:t>
      </w:r>
    </w:p>
    <w:p>
      <w:pPr>
        <w:pStyle w:val="DocBody"/>
      </w:pPr>
      <w:r>
        <w:rPr>
          <w:rFonts w:ascii="Times New Roman" w:hAnsi="Times New Roman" w:eastAsia="宋体"/>
          <w:sz w:val="24"/>
        </w:rPr>
        <w:t>(c) 2010 CD 0.3% CWO 36.4% CWTB 48.3% CWFB 2.6% NCWTB 0.2% NCWFB 1.5% NCWO 10.6% LEO compliances (Payloads, EOL 2020, 100 &lt; m 1000 kg)</w:t>
      </w:r>
    </w:p>
    <w:p>
      <w:pPr>
        <w:pStyle w:val="DocBody"/>
      </w:pPr>
      <w:r>
        <w:rPr>
          <w:rFonts w:ascii="Times New Roman" w:hAnsi="Times New Roman" w:eastAsia="宋体"/>
          <w:sz w:val="24"/>
        </w:rPr>
        <w:t>(d) 2020 Figure 6.32: Breakdown per decade of observed behavioural classes for payloads with a mass between 100.0 and 1000.0 kg for a lifetime limit of 5 years.</w:t>
      </w:r>
    </w:p>
    <w:p>
      <w:pPr>
        <w:pStyle w:val="DocBody"/>
      </w:pPr>
      <w:r>
        <w:rPr>
          <w:rFonts w:ascii="Times New Roman" w:hAnsi="Times New Roman" w:eastAsia="宋体"/>
          <w:sz w:val="24"/>
        </w:rPr>
        <w:t>Page 132/151</w:t>
      </w:r>
    </w:p>
    <w:p>
      <w:pPr>
        <w:pStyle w:val="DocBody"/>
      </w:pPr>
      <w:r>
        <w:rPr>
          <w:rFonts w:ascii="Times New Roman" w:hAnsi="Times New Roman" w:eastAsia="宋体"/>
          <w:sz w:val="24"/>
        </w:rPr>
        <w:t>ESA UNCLASSIFIED - Releasable to the Public CD 7% CWO 40% CWTB 1% CWFB 1% NCWFB 3% NCWO 48% LEO compliances (Payloads, EOL 1990, m &gt; 1000 kg)</w:t>
      </w:r>
    </w:p>
    <w:p>
      <w:pPr>
        <w:pStyle w:val="DocBody"/>
      </w:pPr>
      <w:r>
        <w:rPr>
          <w:rFonts w:ascii="Times New Roman" w:hAnsi="Times New Roman" w:eastAsia="宋体"/>
          <w:sz w:val="24"/>
        </w:rPr>
        <w:t>(a) 1990 CD 13% CWO 25% CWTB 1% CWFB 1% NCWFB 6% NCWO 53% LEO compliances (Payloads, EOL 2000, m &gt; 1000 kg)</w:t>
      </w:r>
    </w:p>
    <w:p>
      <w:pPr>
        <w:pStyle w:val="DocBody"/>
      </w:pPr>
      <w:r>
        <w:rPr>
          <w:rFonts w:ascii="Times New Roman" w:hAnsi="Times New Roman" w:eastAsia="宋体"/>
          <w:sz w:val="24"/>
        </w:rPr>
        <w:t>(b) 2000 CD 16% CWO 21% CWTB 2% CWFB 2% NCWFB 6% NCWO 52% LEO compliances (Payloads, EOL 2010, m &gt; 1000 kg)</w:t>
      </w:r>
    </w:p>
    <w:p>
      <w:pPr>
        <w:pStyle w:val="DocBody"/>
      </w:pPr>
      <w:r>
        <w:rPr>
          <w:rFonts w:ascii="Times New Roman" w:hAnsi="Times New Roman" w:eastAsia="宋体"/>
          <w:sz w:val="24"/>
        </w:rPr>
        <w:t>(c) 2010 CD 9% CWO 24% CWTB 3% CWFB 4% NCWFB 7% NCWO 52% LEO compliances (Payloads, EOL 2020, m &gt; 1000 kg)</w:t>
      </w:r>
    </w:p>
    <w:p>
      <w:pPr>
        <w:pStyle w:val="DocBody"/>
      </w:pPr>
      <w:r>
        <w:rPr>
          <w:rFonts w:ascii="Times New Roman" w:hAnsi="Times New Roman" w:eastAsia="宋体"/>
          <w:sz w:val="24"/>
        </w:rPr>
        <w:t>(d) 2020 Figure 6.33: Breakdown per decade of observed behavioural classes for payloads with a mass above 1000.0 kg for a lifetime limit of 5 years.</w:t>
      </w:r>
    </w:p>
    <w:p>
      <w:pPr>
        <w:pStyle w:val="DocBody"/>
      </w:pPr>
      <w:r>
        <w:rPr>
          <w:rFonts w:ascii="Times New Roman" w:hAnsi="Times New Roman" w:eastAsia="宋体"/>
          <w:sz w:val="24"/>
        </w:rPr>
        <w:t>Page 133/151</w:t>
      </w:r>
    </w:p>
    <w:p>
      <w:pPr>
        <w:pStyle w:val="DocBody"/>
      </w:pPr>
      <w:r>
        <w:rPr>
          <w:rFonts w:ascii="Times New Roman" w:hAnsi="Times New Roman" w:eastAsia="宋体"/>
          <w:sz w:val="24"/>
        </w:rPr>
        <w:t>ESA UNCLASSIFIED - Releasable to the Public 6.1.4. Robustness of the evaluation of compliance shares in LEO The following analysis shows how the compliance classification has changed over the different editions of the report, considering that each edition is based on a current best-estimate of the residual orbital lifetime and reclas- sification can take place. Fig. 6.34 shows the share of successful re-/de-orbit attempts for payloads according to the different report editions. As mentioned in Section 6.1, in case of payload objects, as in the case in Fig. 6.34, at least one calendar year without orbit control actions needs to pass for an object to be classified as reaching end-of-life, so the report issued in a given year covers up to the end of two years before the release year (e.g.</w:t>
      </w:r>
    </w:p>
    <w:p>
      <w:pPr>
        <w:pStyle w:val="DocBody"/>
      </w:pPr>
      <w:r>
        <w:rPr>
          <w:rFonts w:ascii="Times New Roman" w:hAnsi="Times New Roman" w:eastAsia="宋体"/>
          <w:sz w:val="24"/>
        </w:rPr>
        <w:t>the report issued 2017 covers until the end of 2015). Note that for this visualisation (and for the purpose of the comparison), re-orbits are still considered as successful attempts.</w:t>
      </w:r>
    </w:p>
    <w:p>
      <w:pPr>
        <w:pStyle w:val="DocBody"/>
      </w:pPr>
      <w:r>
        <w:rPr>
          <w:rFonts w:ascii="Times New Roman" w:hAnsi="Times New Roman" w:eastAsia="宋体"/>
          <w:sz w:val="24"/>
        </w:rPr>
        <w:t>EOL year Compliance rate excl. naturally compliant and CD Successful re-/de-orbit attempts for Payloads Report edition Figure 6.34: Successful re-/de-orbit attempts for payloads according to the different report editions, for a lifetime limit of 25 years.</w:t>
      </w:r>
    </w:p>
    <w:p>
      <w:pPr>
        <w:pStyle w:val="DocBody"/>
      </w:pPr>
      <w:r>
        <w:rPr>
          <w:rFonts w:ascii="Times New Roman" w:hAnsi="Times New Roman" w:eastAsia="宋体"/>
          <w:sz w:val="24"/>
        </w:rPr>
        <w:t>Page 134/151</w:t>
      </w:r>
    </w:p>
    <w:p>
      <w:pPr>
        <w:pStyle w:val="DocBody"/>
      </w:pPr>
      <w:r>
        <w:rPr>
          <w:rFonts w:ascii="Times New Roman" w:hAnsi="Times New Roman" w:eastAsia="宋体"/>
          <w:sz w:val="24"/>
        </w:rPr>
        <w:t>ESA UNCLASSIFIED - Releasable to the Public 6.2. End-Of-Life Operations in Geostationary Orbit Unlike in LEO, no natural sink mechanism is available for the GEO protected region by which objects could leave.</w:t>
      </w:r>
    </w:p>
    <w:p>
      <w:pPr>
        <w:pStyle w:val="DocBody"/>
      </w:pPr>
      <w:r>
        <w:rPr>
          <w:rFonts w:ascii="Times New Roman" w:hAnsi="Times New Roman" w:eastAsia="宋体"/>
          <w:sz w:val="24"/>
        </w:rPr>
        <w:t>The solar radiation pressure on the objects will also make long term predictions subject to non-negligible uncer- tainties. A payload or rocket body operating in the GEO Protected Region, with either a permanent or periodic presence, shall be manoeuvred in a controlled manner during the disposal phase to an orbit that lies entirely out- side the GEO Protected Region. There are different ways of ensuring that this condition is met. For example, the launch procedure for Rocket Bodies can be adapted to ensure that the release of the payloads no longer takes place directly within the geostationary orbit but below. In this case, the payload has to climb the last part into GEOIADC but the launcher remains on a GTO trajectory that does not intersect the GEO protected region. For payloads within the GEO protected region, the mitigation measure has been refined, i.e. the so called IADC for- mulation [8], to ensure that a disposal occurs in a graveyard orbit with minimal interference. At least one of the following two conditions should be met:</w:t>
      </w:r>
    </w:p>
    <w:p>
      <w:pPr>
        <w:pStyle w:val="DocBody"/>
      </w:pPr>
      <w:r>
        <w:rPr>
          <w:rFonts w:ascii="Times New Roman" w:hAnsi="Times New Roman" w:eastAsia="宋体"/>
          <w:sz w:val="24"/>
        </w:rPr>
        <w:t>• The orbit has an initial eccentricity less than 0.003 and a minimum perigee altitude ∆H (in km) above the geostationary altitude, in accordance with equation:</w:t>
      </w:r>
    </w:p>
    <w:p>
      <w:pPr>
        <w:pStyle w:val="DocBody"/>
      </w:pPr>
      <w:r>
        <w:rPr>
          <w:rFonts w:ascii="Times New Roman" w:hAnsi="Times New Roman" w:eastAsia="宋体"/>
          <w:sz w:val="24"/>
        </w:rPr>
        <w:t>∆H = 235 + (1000CrA/m);</w:t>
      </w:r>
    </w:p>
    <w:p>
      <w:pPr>
        <w:pStyle w:val="DocBody"/>
      </w:pPr>
      <w:r>
        <w:rPr>
          <w:rFonts w:ascii="Times New Roman" w:hAnsi="Times New Roman" w:eastAsia="宋体"/>
          <w:sz w:val="24"/>
        </w:rPr>
        <w:t>where Cr is the solar radiation pressure coefficient (dimensionless);</w:t>
      </w:r>
    </w:p>
    <w:p>
      <w:pPr>
        <w:pStyle w:val="DocBody"/>
      </w:pPr>
      <w:r>
        <w:rPr>
          <w:rFonts w:ascii="Times New Roman" w:hAnsi="Times New Roman" w:eastAsia="宋体"/>
          <w:sz w:val="24"/>
        </w:rPr>
        <w:t>A/m is the ratio of the cross-section area (in m2) to dry mass (in kg) of the payload.</w:t>
      </w:r>
    </w:p>
    <w:p>
      <w:pPr>
        <w:pStyle w:val="DocBody"/>
      </w:pPr>
      <w:r>
        <w:rPr>
          <w:rFonts w:ascii="Times New Roman" w:hAnsi="Times New Roman" w:eastAsia="宋体"/>
          <w:sz w:val="24"/>
        </w:rPr>
        <w:t>• The orbit has a perigee altitude sufficiently above the geostationary altitude that long-term perturbation forces do not cause the payload to enter the GEO Protected Region within 100 years.</w:t>
      </w:r>
    </w:p>
    <w:p>
      <w:pPr>
        <w:pStyle w:val="DocBody"/>
      </w:pPr>
      <w:r>
        <w:rPr>
          <w:rFonts w:ascii="Times New Roman" w:hAnsi="Times New Roman" w:eastAsia="宋体"/>
          <w:sz w:val="24"/>
        </w:rPr>
        <w:t>In summary, clearance of the GEO protected region by payloads will be presented as Successful Attempt, i.e.</w:t>
      </w:r>
    </w:p>
    <w:p>
      <w:pPr>
        <w:pStyle w:val="DocBody"/>
      </w:pPr>
      <w:r>
        <w:rPr>
          <w:rFonts w:ascii="Times New Roman" w:hAnsi="Times New Roman" w:eastAsia="宋体"/>
          <w:sz w:val="24"/>
        </w:rPr>
        <w:t>the payload clears GEOIADC in-line with the formulation above, Insufficient Attempt when the payloads attempt to clear the GEOIADC but does not reach the criteria in the IADC formulation, and No Attempt otherwise. An in-depth overview of the status of objects in GEOIADC and description of the summarised results shown here is available via [31].</w:t>
      </w:r>
    </w:p>
    <w:p>
      <w:pPr>
        <w:pStyle w:val="DocBody"/>
      </w:pPr>
      <w:r>
        <w:rPr>
          <w:rFonts w:ascii="Times New Roman" w:hAnsi="Times New Roman" w:eastAsia="宋体"/>
          <w:sz w:val="24"/>
        </w:rPr>
        <w:t>For the rocket bodies delivering payloads in or near the GEO protected region, the long-term disposal orbits are influenced by a variety of perturbations potentially including Luni-Solar, solar radiation pressure, gravitational res- onances, and atmospheric drag. This implies that long-term, i.e. over 100 years [9], clearance of both protected regions by these rocket bodies is only predictable as a stochastic estimate. To assess the adherence by rocket bodies to the disposal guidelines in a first approximation, we list the amount of rocket bodies predicted to cross one or both of the protected regions within the next 100 years after launch, as a function of the total number of rocket bodies that launch payload objects with a destination orbit in GEO. In addition, for those objects crossing the LEO protected region, an object is marked as LEO-crossing if it crosses LEO and the permanence time in the LEO region is longer than 25 years. Objects for which no orbital data is available are marked as Not classified.</w:t>
      </w:r>
    </w:p>
    <w:p>
      <w:pPr>
        <w:pStyle w:val="DocBody"/>
      </w:pPr>
      <w:r>
        <w:rPr>
          <w:rFonts w:ascii="Times New Roman" w:hAnsi="Times New Roman" w:eastAsia="宋体"/>
          <w:sz w:val="24"/>
        </w:rPr>
        <w:t>Page 135/151</w:t>
      </w:r>
    </w:p>
    <w:p>
      <w:pPr>
        <w:pStyle w:val="DocBody"/>
      </w:pPr>
      <w:r>
        <w:rPr>
          <w:rFonts w:ascii="Times New Roman" w:hAnsi="Times New Roman" w:eastAsia="宋体"/>
          <w:sz w:val="24"/>
        </w:rPr>
        <w:t>ESA UNCLASSIFIED - Releasable to the Public Launch Year Number of Objects [-] Classification of Objects near the Geosynchronous Ring Objects under control Objects in drift orbit Objects in libration E-W and N-S controlled 19.1% (357)</w:t>
      </w:r>
    </w:p>
    <w:p>
      <w:pPr>
        <w:pStyle w:val="DocBody"/>
      </w:pPr>
      <w:r>
        <w:rPr>
          <w:rFonts w:ascii="Times New Roman" w:hAnsi="Times New Roman" w:eastAsia="宋体"/>
          <w:sz w:val="24"/>
        </w:rPr>
        <w:t>E-W controlled only 10.2% (191)</w:t>
      </w:r>
    </w:p>
    <w:p>
      <w:pPr>
        <w:pStyle w:val="DocBody"/>
      </w:pPr>
      <w:r>
        <w:rPr>
          <w:rFonts w:ascii="Times New Roman" w:hAnsi="Times New Roman" w:eastAsia="宋体"/>
          <w:sz w:val="24"/>
        </w:rPr>
        <w:t>Drift controlled 1.8% (33)</w:t>
      </w:r>
    </w:p>
    <w:p>
      <w:pPr>
        <w:pStyle w:val="DocBody"/>
      </w:pPr>
      <w:r>
        <w:rPr>
          <w:rFonts w:ascii="Times New Roman" w:hAnsi="Times New Roman" w:eastAsia="宋体"/>
          <w:sz w:val="24"/>
        </w:rPr>
        <w:t>Drifting 56.6% (1057)</w:t>
      </w:r>
    </w:p>
    <w:p>
      <w:pPr>
        <w:pStyle w:val="DocBody"/>
      </w:pPr>
      <w:r>
        <w:rPr>
          <w:rFonts w:ascii="Times New Roman" w:hAnsi="Times New Roman" w:eastAsia="宋体"/>
          <w:sz w:val="24"/>
        </w:rPr>
        <w:t>Librating around 75E 6.8% (128)</w:t>
      </w:r>
    </w:p>
    <w:p>
      <w:pPr>
        <w:pStyle w:val="DocBody"/>
      </w:pPr>
      <w:r>
        <w:rPr>
          <w:rFonts w:ascii="Times New Roman" w:hAnsi="Times New Roman" w:eastAsia="宋体"/>
          <w:sz w:val="24"/>
        </w:rPr>
        <w:t>Librating around 105W 2.7% (50)</w:t>
      </w:r>
    </w:p>
    <w:p>
      <w:pPr>
        <w:pStyle w:val="DocBody"/>
      </w:pPr>
      <w:r>
        <w:rPr>
          <w:rFonts w:ascii="Times New Roman" w:hAnsi="Times New Roman" w:eastAsia="宋体"/>
          <w:sz w:val="24"/>
        </w:rPr>
        <w:t>Librating around both points 1.2% (23)</w:t>
      </w:r>
    </w:p>
    <w:p>
      <w:pPr>
        <w:pStyle w:val="DocBody"/>
      </w:pPr>
      <w:r>
        <w:rPr>
          <w:rFonts w:ascii="Times New Roman" w:hAnsi="Times New Roman" w:eastAsia="宋体"/>
          <w:sz w:val="24"/>
        </w:rPr>
        <w:t>Highly inclined 1.4% (27)</w:t>
      </w:r>
    </w:p>
    <w:p>
      <w:pPr>
        <w:pStyle w:val="DocBody"/>
      </w:pPr>
      <w:r>
        <w:rPr>
          <w:rFonts w:ascii="Times New Roman" w:hAnsi="Times New Roman" w:eastAsia="宋体"/>
          <w:sz w:val="24"/>
        </w:rPr>
        <w:t>Indeterminate 0.2% (3)</w:t>
      </w:r>
    </w:p>
    <w:p>
      <w:pPr>
        <w:pStyle w:val="DocBody"/>
      </w:pPr>
      <w:r>
        <w:rPr>
          <w:rFonts w:ascii="Times New Roman" w:hAnsi="Times New Roman" w:eastAsia="宋体"/>
          <w:sz w:val="24"/>
        </w:rPr>
        <w:t>Classification of Objects near the Geosynchronous Ring Figure 6.35: Orbital evolution status of payloads near the Geostationary orbit during 2025.</w:t>
      </w:r>
    </w:p>
    <w:p>
      <w:pPr>
        <w:pStyle w:val="DocBody"/>
      </w:pPr>
      <w:r>
        <w:rPr>
          <w:rFonts w:ascii="Times New Roman" w:hAnsi="Times New Roman" w:eastAsia="宋体"/>
          <w:sz w:val="24"/>
        </w:rPr>
        <w:t>Page 136/151</w:t>
      </w:r>
    </w:p>
    <w:p>
      <w:pPr>
        <w:pStyle w:val="DocBody"/>
      </w:pPr>
      <w:r>
        <w:rPr>
          <w:rFonts w:ascii="Times New Roman" w:hAnsi="Times New Roman" w:eastAsia="宋体"/>
          <w:sz w:val="24"/>
        </w:rPr>
        <w:t>ESA UNCLASSIFIED - Releasable to the Public End-of-Life Year Count [-] Payload Clearance near GEOIADC Successful Attempt Insufficient Attempt No Attempt (a) Absolute clearance near GEOIADC.</w:t>
      </w:r>
    </w:p>
    <w:p>
      <w:pPr>
        <w:pStyle w:val="DocBody"/>
      </w:pPr>
      <w:r>
        <w:rPr>
          <w:rFonts w:ascii="Times New Roman" w:hAnsi="Times New Roman" w:eastAsia="宋体"/>
          <w:sz w:val="24"/>
        </w:rPr>
        <w:t>End-of-Life Year Count [%] Payload Clearance near GEOIADC Successful Attempt Insufficient Attempt No Attempt (b) Relative clearance near GEOIADC.</w:t>
      </w:r>
    </w:p>
    <w:p>
      <w:pPr>
        <w:pStyle w:val="DocBody"/>
      </w:pPr>
      <w:r>
        <w:rPr>
          <w:rFonts w:ascii="Times New Roman" w:hAnsi="Times New Roman" w:eastAsia="宋体"/>
          <w:sz w:val="24"/>
        </w:rPr>
        <w:t>Figure 6.36: Trend of adherence to the disposal guideline in GEOIADC.</w:t>
      </w:r>
    </w:p>
    <w:p>
      <w:pPr>
        <w:pStyle w:val="DocBody"/>
      </w:pPr>
      <w:r>
        <w:rPr>
          <w:rFonts w:ascii="Times New Roman" w:hAnsi="Times New Roman" w:eastAsia="宋体"/>
          <w:sz w:val="24"/>
        </w:rPr>
        <w:t>Page 137/151</w:t>
      </w:r>
    </w:p>
    <w:p>
      <w:pPr>
        <w:pStyle w:val="DocBody"/>
      </w:pPr>
      <w:r>
        <w:rPr>
          <w:rFonts w:ascii="Times New Roman" w:hAnsi="Times New Roman" w:eastAsia="宋体"/>
          <w:sz w:val="24"/>
        </w:rPr>
        <w:t>ESA UNCLASSIFIED - Releasable to the Public End-of-Life Year Mass [tonnes] Payload Clearance near GEOIADC Successful Attempt Insufficient Attempt No Attempt (a) Absolute mass clearance near GEOIADC.</w:t>
      </w:r>
    </w:p>
    <w:p>
      <w:pPr>
        <w:pStyle w:val="DocBody"/>
      </w:pPr>
      <w:r>
        <w:rPr>
          <w:rFonts w:ascii="Times New Roman" w:hAnsi="Times New Roman" w:eastAsia="宋体"/>
          <w:sz w:val="24"/>
        </w:rPr>
        <w:t>End-of-Life Year Mass [%] Payload Clearance near GEOIADC Successful Attempt Insufficient Attempt No Attempt (b) Relative mass clearance near GEOIADC.</w:t>
      </w:r>
    </w:p>
    <w:p>
      <w:pPr>
        <w:pStyle w:val="DocBody"/>
      </w:pPr>
      <w:r>
        <w:rPr>
          <w:rFonts w:ascii="Times New Roman" w:hAnsi="Times New Roman" w:eastAsia="宋体"/>
          <w:sz w:val="24"/>
        </w:rPr>
        <w:t>Figure 6.37: Mass trend of adherence to the disposal guideline in GEOIADC.</w:t>
      </w:r>
    </w:p>
    <w:p>
      <w:pPr>
        <w:pStyle w:val="DocBody"/>
      </w:pPr>
      <w:r>
        <w:rPr>
          <w:rFonts w:ascii="Times New Roman" w:hAnsi="Times New Roman" w:eastAsia="宋体"/>
          <w:sz w:val="24"/>
        </w:rPr>
        <w:t>Page 138/151</w:t>
      </w:r>
    </w:p>
    <w:p>
      <w:pPr>
        <w:pStyle w:val="DocBody"/>
      </w:pPr>
      <w:r>
        <w:rPr>
          <w:rFonts w:ascii="Times New Roman" w:hAnsi="Times New Roman" w:eastAsia="宋体"/>
          <w:sz w:val="24"/>
        </w:rPr>
        <w:t>ESA UNCLASSIFIED - Releasable to the Public Launch year Number of RBs Compliant GEO and LEO crossing GEO crossing LEO crossing Not classified (a) Absolute clearance near GEOIADC.</w:t>
      </w:r>
    </w:p>
    <w:p>
      <w:pPr>
        <w:pStyle w:val="DocBody"/>
      </w:pPr>
      <w:r>
        <w:rPr>
          <w:rFonts w:ascii="Times New Roman" w:hAnsi="Times New Roman" w:eastAsia="宋体"/>
          <w:sz w:val="24"/>
        </w:rPr>
        <w:t>Launch year Share of RBs [%] Compliant GEO and LEO crossing GEO crossing LEO crossing Not classified (b) Relative clearance near GEOIADC.</w:t>
      </w:r>
    </w:p>
    <w:p>
      <w:pPr>
        <w:pStyle w:val="DocBody"/>
      </w:pPr>
      <w:r>
        <w:rPr>
          <w:rFonts w:ascii="Times New Roman" w:hAnsi="Times New Roman" w:eastAsia="宋体"/>
          <w:sz w:val="24"/>
        </w:rPr>
        <w:t>Figure 6.38: Trend of adherence to the disposal guideline for rocket bodies used to insert satellites in GEOIADC.</w:t>
      </w:r>
    </w:p>
    <w:p>
      <w:pPr>
        <w:pStyle w:val="DocBody"/>
      </w:pPr>
      <w:r>
        <w:rPr>
          <w:rFonts w:ascii="Times New Roman" w:hAnsi="Times New Roman" w:eastAsia="宋体"/>
          <w:sz w:val="24"/>
        </w:rPr>
        <w:t>Page 139/151</w:t>
      </w:r>
    </w:p>
    <w:p>
      <w:pPr>
        <w:pStyle w:val="DocBody"/>
      </w:pPr>
      <w:r>
        <w:rPr>
          <w:rFonts w:ascii="Times New Roman" w:hAnsi="Times New Roman" w:eastAsia="宋体"/>
          <w:sz w:val="24"/>
        </w:rPr>
        <w:t>ESA UNCLASSIFIED - Releasable to the Public 6.3. End-Of-Life Operations in MEO Compared to the LEOIADC and GEOIADC regions, MEO contains relatively fewer objects in a larger volume of space.</w:t>
      </w:r>
    </w:p>
    <w:p>
      <w:pPr>
        <w:pStyle w:val="DocBody"/>
      </w:pPr>
      <w:r>
        <w:rPr>
          <w:rFonts w:ascii="Times New Roman" w:hAnsi="Times New Roman" w:eastAsia="宋体"/>
          <w:sz w:val="24"/>
        </w:rPr>
        <w:t>Notwithstanding the resulting lower space debris density, the region is of importance for global navigation and communication constellations, and crossed by space objects with large eccentricity and semi-major axis orbits.</w:t>
      </w:r>
    </w:p>
    <w:p>
      <w:pPr>
        <w:pStyle w:val="DocBody"/>
      </w:pPr>
      <w:r>
        <w:rPr>
          <w:rFonts w:ascii="Times New Roman" w:hAnsi="Times New Roman" w:eastAsia="宋体"/>
          <w:sz w:val="24"/>
        </w:rPr>
        <w:t>Space debris mitigation guidelines call for the avoidance of space debris dense regions by means of targeted disposals, even outside the protected regions [14]. With this perspective in mind, it is instructive to show the orbital disposal behaviour of Payload objects in this region.</w:t>
      </w:r>
    </w:p>
    <w:p>
      <w:pPr>
        <w:pStyle w:val="DocBody"/>
      </w:pPr>
      <w:r>
        <w:rPr>
          <w:rFonts w:ascii="Times New Roman" w:hAnsi="Times New Roman" w:eastAsia="宋体"/>
          <w:sz w:val="24"/>
        </w:rPr>
        <w:t>Page 140/151</w:t>
      </w:r>
    </w:p>
    <w:p>
      <w:pPr>
        <w:pStyle w:val="DocBody"/>
      </w:pPr>
      <w:r>
        <w:rPr>
          <w:rFonts w:ascii="Times New Roman" w:hAnsi="Times New Roman" w:eastAsia="宋体"/>
          <w:sz w:val="24"/>
        </w:rPr>
        <w:t>ESA UNCLASSIFIED - Releasable to the Public 10000 15000 20000 25000 Mean altitude [km] Inclination [deg] Active Inactive (a) MEO region 18000 19000 20000 21000 22000 23000 24000 25000 Mean altitude [km] Inclination [deg] Active Inactive (b) GNSS constellations Figure 6.39: Distribution of payloads in MEO in mean altitude and inclination, distinguishing by activity status (symbols) and constellation (colour).</w:t>
      </w:r>
    </w:p>
    <w:p>
      <w:pPr>
        <w:pStyle w:val="DocBody"/>
      </w:pPr>
      <w:r>
        <w:rPr>
          <w:rFonts w:ascii="Times New Roman" w:hAnsi="Times New Roman" w:eastAsia="宋体"/>
          <w:sz w:val="24"/>
        </w:rPr>
        <w:t>Page 141/151</w:t>
      </w:r>
    </w:p>
    <w:p>
      <w:pPr>
        <w:pStyle w:val="DocBody"/>
      </w:pPr>
      <w:r>
        <w:rPr>
          <w:rFonts w:ascii="Times New Roman" w:hAnsi="Times New Roman" w:eastAsia="宋体"/>
          <w:sz w:val="24"/>
        </w:rPr>
        <w:t>ESA UNCLASSIFIED - Releasable to the Public</w:t>
      </w:r>
    </w:p>
    <w:p>
      <w:pPr>
        <w:pStyle w:val="DocBody"/>
        <w:ind w:left="765"/>
      </w:pPr>
      <w:r>
        <w:rPr>
          <w:rFonts w:ascii="Times New Roman" w:hAnsi="Times New Roman" w:eastAsia="宋体"/>
          <w:sz w:val="24"/>
        </w:rPr>
        <w:t>ENVIRONMENT METRICS 7.1. Environmental Index in 2025 The effect of adherence to space debris mitigation guidelines and regulations on a global level has a direct influence on the avoidance of the Kessler syndrome in Low Earth Orbit. In order to quantify the relation between them, the concept of an environment index is introduced via a general risk metric. The risk associated to an event is traditionally computed as Risk = Probability × Severity.</w:t>
      </w:r>
    </w:p>
    <w:p>
      <w:pPr>
        <w:pStyle w:val="DocBody"/>
      </w:pPr>
      <w:r>
        <w:rPr>
          <w:rFonts w:ascii="Times New Roman" w:hAnsi="Times New Roman" w:eastAsia="宋体"/>
          <w:sz w:val="24"/>
        </w:rPr>
        <w:t>This definition can be applied to space objects to measure the fragmentation risk associated to them and use this as a metric of their potential contribution to the space debris environment. The term probability represents the probability of a catastrophic collision, which is dependent on the flux of debris able to trigger a collision and the cross-sectional area of the object. The flux values are obtained from MASTER-8 [32] considering for each object the last available orbit in DISCOS. The physical properties and the activity status of the objects are also retrieved from DISCOS. The term severity measures the effect of such a fragmentation on operational spacecraft. This is done by simulating the generation of the cloud with the NASA breakup model [33] and modelling the evolution of its density over time under the effect of atmospheric drag. A representative set of target spacecraft is defined as proxy of the population of operational satellites. For each of these target spacecraft, the resulting cumulative collision probability over 25 years due to the fragment cloud is computed and their sum is used as a severity measure.</w:t>
      </w:r>
    </w:p>
    <w:p>
      <w:pPr>
        <w:pStyle w:val="DocBody"/>
      </w:pPr>
      <w:r>
        <w:rPr>
          <w:rFonts w:ascii="Times New Roman" w:hAnsi="Times New Roman" w:eastAsia="宋体"/>
          <w:sz w:val="24"/>
        </w:rPr>
        <w:t>The risk is evaluated along the mission profile of an object, simulating its orbit evolution over 100 years. For active and manoeuvrable objects, the implementation of a Post-Mission Disposal (PMD) manoeuvre and its estimated success rate are considered when computing the trajectory evolution. More details on the approach can be found in [5]. The risk metric can be used to compare objects or missions against each other, and the cumulated risk taken by all objects in space at a given time, and their behaviour in the future, thus introduces the notion of capacity of the environment.</w:t>
      </w:r>
    </w:p>
    <w:p>
      <w:pPr>
        <w:pStyle w:val="DocBody"/>
      </w:pPr>
      <w:r>
        <w:rPr>
          <w:rFonts w:ascii="Times New Roman" w:hAnsi="Times New Roman" w:eastAsia="宋体"/>
          <w:sz w:val="24"/>
        </w:rPr>
        <w:t>Fig. 7.1 shows the distribution, in mean altitude and inclination, of the analysed objects in LEO. The colour of the marker indicates the category of the objects, i.e. whether it is a rocket body, an inactive payload, an active one or a constellation. The size of the marker indicates the debris index value and an aggregated score is shown for constellations. The values are obtained assuming a 90% PMD success rate for active objects. Areas with high risk concentration can be observed around 850 km of mean altitude and 70-80 degrees in inclination. Fig. 7.2 shows the distribution of the total index among object categories: By far, most of the risk is associated to inactive objects (96%), with the largest contribution coming from spent rocket bodies.</w:t>
      </w:r>
    </w:p>
    <w:p>
      <w:pPr>
        <w:pStyle w:val="DocBody"/>
      </w:pPr>
      <w:r>
        <w:rPr>
          <w:rFonts w:ascii="Times New Roman" w:hAnsi="Times New Roman" w:eastAsia="宋体"/>
          <w:sz w:val="24"/>
        </w:rPr>
        <w:t>Page 142/151</w:t>
      </w:r>
    </w:p>
    <w:p>
      <w:pPr>
        <w:pStyle w:val="DocBody"/>
      </w:pPr>
      <w:r>
        <w:rPr>
          <w:rFonts w:ascii="Times New Roman" w:hAnsi="Times New Roman" w:eastAsia="宋体"/>
          <w:sz w:val="24"/>
        </w:rPr>
        <w:t>ESA UNCLASSIFIED - Releasable to the Public Mean altitude [km] Inclination [deg] Active Payload Constellation Inactive Payload Rocket Body Figure 7.1: Index value for objects in LEO. The size of the marker is proportional to the debris index of the object or constellation.</w:t>
      </w:r>
    </w:p>
    <w:p>
      <w:pPr>
        <w:pStyle w:val="DocBody"/>
      </w:pPr>
      <w:r>
        <w:rPr>
          <w:rFonts w:ascii="Times New Roman" w:hAnsi="Times New Roman" w:eastAsia="宋体"/>
          <w:sz w:val="24"/>
        </w:rPr>
        <w:t>Active Payload 2% Constellation 3% Inactive Payload 30% Rocket Body 65% Figure 7.2: Distribution of the total index among object categories.</w:t>
      </w:r>
    </w:p>
    <w:p>
      <w:pPr>
        <w:pStyle w:val="DocBody"/>
      </w:pPr>
      <w:r>
        <w:rPr>
          <w:rFonts w:ascii="Times New Roman" w:hAnsi="Times New Roman" w:eastAsia="宋体"/>
          <w:sz w:val="24"/>
        </w:rPr>
        <w:t>Page 143/151</w:t>
      </w:r>
    </w:p>
    <w:p>
      <w:pPr>
        <w:pStyle w:val="DocBody"/>
      </w:pPr>
      <w:r>
        <w:rPr>
          <w:rFonts w:ascii="Times New Roman" w:hAnsi="Times New Roman" w:eastAsia="宋体"/>
          <w:sz w:val="24"/>
        </w:rPr>
        <w:t>ESA UNCLASSIFIED - Releasable to the Public 7.2. Environment evolution The simulation of the future evolution of the debris population can be used to assess the efficacy of proposed mitigation actions and of current behaviours. In particular, two scenarios are presented in this section:</w:t>
      </w:r>
    </w:p>
    <w:p>
      <w:pPr>
        <w:pStyle w:val="DocBody"/>
      </w:pPr>
      <w:r>
        <w:rPr>
          <w:rFonts w:ascii="Times New Roman" w:hAnsi="Times New Roman" w:eastAsia="宋体"/>
          <w:sz w:val="24"/>
        </w:rPr>
        <w:t>• A defined extrapolation (Extr) of the current behaviour in terms of launch traffic, explosion rates, and disposal success rates;</w:t>
      </w:r>
    </w:p>
    <w:p>
      <w:pPr>
        <w:pStyle w:val="DocBody"/>
      </w:pPr>
      <w:r>
        <w:rPr>
          <w:rFonts w:ascii="Times New Roman" w:hAnsi="Times New Roman" w:eastAsia="宋体"/>
          <w:sz w:val="24"/>
        </w:rPr>
        <w:t>• No future launches (NFL), where it is assumed that no launch takes place after 2025.</w:t>
      </w:r>
    </w:p>
    <w:p>
      <w:pPr>
        <w:pStyle w:val="DocBody"/>
      </w:pPr>
      <w:r>
        <w:rPr>
          <w:rFonts w:ascii="Times New Roman" w:hAnsi="Times New Roman" w:eastAsia="宋体"/>
          <w:sz w:val="24"/>
        </w:rPr>
        <w:t>The definition of trends in launch traffic, explosion rates, and disposal success rates is based on the data available in DISCOS and on the analysis contained in this report. DELTA-4 [34] was used to simulate the evolution of the environment over 200 years, performing 100 Monte Carlo runs per scenario. The parameters for the scenario definition are summarised hereafter.</w:t>
      </w:r>
    </w:p>
    <w:p>
      <w:pPr>
        <w:pStyle w:val="DocBody"/>
      </w:pPr>
      <w:r>
        <w:rPr>
          <w:rFonts w:ascii="Times New Roman" w:hAnsi="Times New Roman" w:eastAsia="宋体"/>
          <w:sz w:val="24"/>
        </w:rPr>
        <w:t>For both scenarios, the reference population used for the analysis is an extraction of the DISCOS population at the reference epoch (please note that in this section, results are currently provided at a reference epoch of 1st January 2025, and will be updated in a subsequent release later in 2026 to reflect ongoing analyses and improvements).</w:t>
      </w:r>
    </w:p>
    <w:p>
      <w:pPr>
        <w:pStyle w:val="DocBody"/>
      </w:pPr>
      <w:r>
        <w:rPr>
          <w:rFonts w:ascii="Times New Roman" w:hAnsi="Times New Roman" w:eastAsia="宋体"/>
          <w:sz w:val="24"/>
        </w:rPr>
        <w:t>For each object, physical characteristics such as mass, cross-sectional area, and orbital parameters are retrieved, while for Rocket Bodies and Payloads, launch information is also stored. For Payloads specifically, it is also stored in which orbital region they are active and whether they belong to a constellation, following the definitions in Section 1.1.</w:t>
      </w:r>
    </w:p>
    <w:p>
      <w:pPr>
        <w:pStyle w:val="DocBody"/>
      </w:pPr>
      <w:r>
        <w:rPr>
          <w:rFonts w:ascii="Times New Roman" w:hAnsi="Times New Roman" w:eastAsia="宋体"/>
          <w:sz w:val="24"/>
        </w:rPr>
        <w:t>The annual explosion rate is taken from statistics on non-system related fragmentations over the last 18 years (Table 5.2). In the No future launches scenario, we assume a linear decline in the explosion rate, reaching zero after the first 18 years. No explosion event is simulated after this period, as Fig. 5.8 shows that 95% of non-system- related fragmentation events occur within 18 years of launch, as described in Section 5.2.</w:t>
      </w:r>
    </w:p>
    <w:p>
      <w:pPr>
        <w:pStyle w:val="DocBody"/>
      </w:pPr>
      <w:r>
        <w:rPr>
          <w:rFonts w:ascii="Times New Roman" w:hAnsi="Times New Roman" w:eastAsia="宋体"/>
          <w:sz w:val="24"/>
        </w:rPr>
        <w:t>For the extrapolation scenario, a launch traffic model is also needed as input for the simulations. This was obtained by repeating the launch traffic between 2017 and 2025, discounting the contribution from constellations. For each constellation, in-orbit or planned (according to the definition given in Section 1.1), a model of deployment and replenishment was defined using publicly available data. For these constellation Payloads, a capability to successfully perform collision avoidance manoeuvres is assumed for objects with propulsion for as long as they are active in the simulation.</w:t>
      </w:r>
    </w:p>
    <w:p>
      <w:pPr>
        <w:pStyle w:val="DocBody"/>
      </w:pPr>
      <w:r>
        <w:rPr>
          <w:rFonts w:ascii="Times New Roman" w:hAnsi="Times New Roman" w:eastAsia="宋体"/>
          <w:sz w:val="24"/>
        </w:rPr>
        <w:t>A fixed operational lifetime of eight years is assumed for Payloads not belonging to a constellation instead of the values derived in this report, in line with current long-term space debris environment modelling practices. Spe- cific values are used for Payloads belonging to constellations, based on the available information on the current constellation designs where possible. Post-mission disposal success rates are derived from the observed values reported in Section 6, considering the performance of objects with End-Of-Life equal or later than 2017. In par- ticular, the post-mission disposal success rate is set to 70% for rocket bodies and 15% for payloads, to reflect the slow but upwards trend in compliance in combination with the shifting traffic towards destination orbits with lifetimes below 25 years. For constellation Payloads, specific values for the post-mission disposal success rate and lifetime are again taken depending on currently available information, else are assumed to be 90% and 25 years respectively. These baseline values reflect the bare minimum identified in [14], whereas in practice, far higher rates of compliance would need to be observed over time to limit the long-term growth of the space debris population.</w:t>
      </w:r>
    </w:p>
    <w:p>
      <w:pPr>
        <w:pStyle w:val="DocBody"/>
      </w:pPr>
      <w:r>
        <w:rPr>
          <w:rFonts w:ascii="Times New Roman" w:hAnsi="Times New Roman" w:eastAsia="宋体"/>
          <w:sz w:val="24"/>
        </w:rPr>
        <w:t>The evolution of the number of objects larger than 10 cm and the cumulative number of catastrophic collisions, i.e.</w:t>
      </w:r>
    </w:p>
    <w:p>
      <w:pPr>
        <w:pStyle w:val="DocBody"/>
      </w:pPr>
      <w:r>
        <w:rPr>
          <w:rFonts w:ascii="Times New Roman" w:hAnsi="Times New Roman" w:eastAsia="宋体"/>
          <w:sz w:val="24"/>
        </w:rPr>
        <w:t>collisions leading to the complete destruction of target and impactor, are shown in Fig. 7.3 and Fig. 7.4: the bold line for each scenario represents the mean value over all the Monte Carlo runs, while the lighter-coloured lines indicate the outcome of each individual run. This representation was selected to visualise the variability across the Page 144/151</w:t>
      </w:r>
    </w:p>
    <w:p>
      <w:pPr>
        <w:pStyle w:val="DocBody"/>
      </w:pPr>
      <w:r>
        <w:rPr>
          <w:rFonts w:ascii="Times New Roman" w:hAnsi="Times New Roman" w:eastAsia="宋体"/>
          <w:sz w:val="24"/>
        </w:rPr>
        <w:t>ESA UNCLASSIFIED - Releasable to the Public single runs without introducing standard deviation bands as they may be not representative of the result distribution [35].</w:t>
      </w:r>
    </w:p>
    <w:p>
      <w:pPr>
        <w:pStyle w:val="DocBody"/>
      </w:pPr>
      <w:r>
        <w:rPr>
          <w:rFonts w:ascii="Times New Roman" w:hAnsi="Times New Roman" w:eastAsia="宋体"/>
          <w:sz w:val="24"/>
        </w:rPr>
        <w:t>The results from the evaluation of the scenario indicated that even when spaceflight is completely halted today, the amount of space debris objects in Low Earth Orbit is likely to increase. The extrapolation of our current behaviour, which assumes the continuation of explosion in orbits at current rates, adherence by constellations to at least the minimum desirable post-mission disposal success rates, and continuation of the currently estimated post-mission disposal success rates for all other objects, leads to an unstable environment with collision rates increasing exponentially. While a shift in launch traffic to orbits with low orbital decay as observed in Section 2.7 improves the situation [36], the implementation of all space debris mitigation strategies are necessary to avoid an adverse future.</w:t>
      </w:r>
    </w:p>
    <w:p>
      <w:pPr>
        <w:pStyle w:val="DocBody"/>
      </w:pPr>
      <w:r>
        <w:rPr>
          <w:rFonts w:ascii="Times New Roman" w:hAnsi="Times New Roman" w:eastAsia="宋体"/>
          <w:sz w:val="24"/>
        </w:rPr>
        <w:t>Establishing the space debris growth rates based on the status of annual environment snapshots provides an estimate for the consequences of the current levels of global space debris mitigation. To analyse trends in the pre- dicted environment evolution, additional scenarios can be simulated using different starting epochs, while adopting the logic laid out above for what concerns deriving space traffic settings for the model.</w:t>
      </w:r>
    </w:p>
    <w:p>
      <w:pPr>
        <w:pStyle w:val="DocBody"/>
      </w:pPr>
      <w:r>
        <w:rPr>
          <w:rFonts w:ascii="Times New Roman" w:hAnsi="Times New Roman" w:eastAsia="宋体"/>
          <w:sz w:val="24"/>
        </w:rPr>
        <w:t>In particular, in addition to the starting points generated from past and current editions of the report, other two reference epochs (at 2014 and 2005) were defined, for which the corresponding launch traffic, explosion rate, and disposal rates were extracted from the data in DISCOS. The years 2014 and 2005 are not chosen arbitrarily, but respectively correspond to the last year before the fundamental change in launch traffic (due to the increase in usage of small satellites) and the adoption of the IADC mitigation guidelines in national practices [37].</w:t>
      </w:r>
    </w:p>
    <w:p>
      <w:pPr>
        <w:pStyle w:val="DocBody"/>
      </w:pPr>
      <w:r>
        <w:rPr>
          <w:rFonts w:ascii="Times New Roman" w:hAnsi="Times New Roman" w:eastAsia="宋体"/>
          <w:sz w:val="24"/>
        </w:rPr>
        <w:t>The number of objects larger than 10 cm in the final population and the final cumulative number of catastrophic collisions at the end of the simulation are shown in Fig. 7.5 and Fig. 7.6, where red is used for the extrapolation sce- narios and dark blue for no further launches. For each simulation, this end date is 200 years after the starting point.</w:t>
      </w:r>
    </w:p>
    <w:p>
      <w:pPr>
        <w:pStyle w:val="DocBody"/>
      </w:pPr>
      <w:r>
        <w:rPr>
          <w:rFonts w:ascii="Times New Roman" w:hAnsi="Times New Roman" w:eastAsia="宋体"/>
          <w:sz w:val="24"/>
        </w:rPr>
        <w:t>A further scenario is included, in green, representing the target environment. Any target environment is a subjec- tive choice, but to facilitate a transparent evaluation of global steps towards space sustainability, a good candidate can be the scenario reflected largely in most space debris mitigation standards world-wide. This corresponds to a high-level implementation of the IADC guidelines [38] (in particular a 90% success rate of 25-year PMD) based on observed launch traffic at 2014, and can be considered a baseline, or orbital sustainability threshold, for measuring the long-term sustainability of the space environment as a whole. In Fig. 7.7, the same scenarios are evaluated by the risk index introduced in Section 7.1. In this approach, a clear analogy can be drawn to climate science, where the Paris Agreement established the 1.5 ◦C global average temperature threshold with respect to pre-industrial levels as the acceptable limit on global warming.</w:t>
      </w:r>
    </w:p>
    <w:p>
      <w:pPr>
        <w:pStyle w:val="DocBody"/>
      </w:pPr>
      <w:r>
        <w:rPr>
          <w:rFonts w:ascii="Times New Roman" w:hAnsi="Times New Roman" w:eastAsia="宋体"/>
          <w:sz w:val="24"/>
        </w:rPr>
        <w:t>Boxplots are used to visualise the spread of results over the runs: the box covers the range between the first and the third quartile, with the horizontal line within the box indicating the median; the whiskers indicate the distance of 1.5 the interquartile range in both directions and any datapoint outside this range is considered an outlier and indicated with a small dot. For Fig. 7.5, the number of objects at each starting epoch is further denoted by a grey triangle. It is important to note that in all extrapolation scenarios the simulated space debris environment continues to deteriorate. Under the current extrapolation conditions, the amount of catastrophic collision could rise quickly. Even under the no further launches scenarios, the amount of space debris objects is observed to increase in all cases. With respect to the target environment, the level of risk associated with the extrapolation scenario is predicted to be 4 times greater than the acceptable threshold for long-term sustainability.</w:t>
      </w:r>
    </w:p>
    <w:p>
      <w:pPr>
        <w:pStyle w:val="DocBody"/>
      </w:pPr>
      <w:r>
        <w:rPr>
          <w:rFonts w:ascii="Times New Roman" w:hAnsi="Times New Roman" w:eastAsia="宋体"/>
          <w:sz w:val="24"/>
        </w:rPr>
        <w:t>Page 145/151</w:t>
      </w:r>
    </w:p>
    <w:p>
      <w:pPr>
        <w:pStyle w:val="DocBody"/>
      </w:pPr>
      <w:r>
        <w:rPr>
          <w:rFonts w:ascii="Times New Roman" w:hAnsi="Times New Roman" w:eastAsia="宋体"/>
          <w:sz w:val="24"/>
        </w:rPr>
        <w:t>ESA UNCLASSIFIED - Releasable to the Public Year 50000 100000 150000 200000 Objects &gt;10cm in LEO 2025,No further launches 2025,Extrapolation Figure 7.3: Number of objects in LEOIADC in the simulated scenarios of long-term evolution of the environment.</w:t>
      </w:r>
    </w:p>
    <w:p>
      <w:pPr>
        <w:pStyle w:val="DocBody"/>
      </w:pPr>
      <w:r>
        <w:rPr>
          <w:rFonts w:ascii="Times New Roman" w:hAnsi="Times New Roman" w:eastAsia="宋体"/>
          <w:sz w:val="24"/>
        </w:rPr>
        <w:t>Year Cumulative number of catastrophic collisions 2025,No further launches 2025,Extrapolation Figure 7.4: Number of cumulative collisions in LEOIADC in the simulated scenarios of long-term evolution of the environment.</w:t>
      </w:r>
    </w:p>
    <w:p>
      <w:pPr>
        <w:pStyle w:val="DocBody"/>
      </w:pPr>
      <w:r>
        <w:rPr>
          <w:rFonts w:ascii="Times New Roman" w:hAnsi="Times New Roman" w:eastAsia="宋体"/>
          <w:sz w:val="24"/>
        </w:rPr>
        <w:t>Page 146/151</w:t>
      </w:r>
    </w:p>
    <w:p>
      <w:pPr>
        <w:pStyle w:val="DocBody"/>
      </w:pPr>
      <w:r>
        <w:rPr>
          <w:rFonts w:ascii="Times New Roman" w:hAnsi="Times New Roman" w:eastAsia="宋体"/>
          <w:sz w:val="24"/>
        </w:rPr>
        <w:t>ESA UNCLASSIFIED - Releasable to the Public Starting year 50000 100000 150000 200000 Objects &gt;10cm in the final population No further launches Extrapolation Orbital sustainability threshold Figure 7.5: Number of objects in LEOIADC in the simulated scenarios of long-term evolution of the environment.</w:t>
      </w:r>
    </w:p>
    <w:p>
      <w:pPr>
        <w:pStyle w:val="DocBody"/>
      </w:pPr>
      <w:r>
        <w:rPr>
          <w:rFonts w:ascii="Times New Roman" w:hAnsi="Times New Roman" w:eastAsia="宋体"/>
          <w:sz w:val="24"/>
        </w:rPr>
        <w:t>The number of objects at each starting epoch is denoted by a grey triangle.</w:t>
      </w:r>
    </w:p>
    <w:p>
      <w:pPr>
        <w:pStyle w:val="DocBody"/>
      </w:pPr>
      <w:r>
        <w:rPr>
          <w:rFonts w:ascii="Times New Roman" w:hAnsi="Times New Roman" w:eastAsia="宋体"/>
          <w:sz w:val="24"/>
        </w:rPr>
        <w:t>Starting year Cumulative number of catastrophic collisions No further launches Extrapolation Orbital sustainability threshold Figure 7.6: Number of cumulative collisions in LEOIADC in the simulated scenarios of long-term evolution of the environment.</w:t>
      </w:r>
    </w:p>
    <w:p>
      <w:pPr>
        <w:pStyle w:val="DocBody"/>
      </w:pPr>
      <w:r>
        <w:rPr>
          <w:rFonts w:ascii="Times New Roman" w:hAnsi="Times New Roman" w:eastAsia="宋体"/>
          <w:sz w:val="24"/>
        </w:rPr>
        <w:t>Page 147/151</w:t>
      </w:r>
    </w:p>
    <w:p>
      <w:pPr>
        <w:pStyle w:val="DocBody"/>
      </w:pPr>
      <w:r>
        <w:rPr>
          <w:rFonts w:ascii="Times New Roman" w:hAnsi="Times New Roman" w:eastAsia="宋体"/>
          <w:sz w:val="24"/>
        </w:rPr>
        <w:t>ESA UNCLASSIFIED - Releasable to the Public Starting year 0.0 0.5 1.0 1.5 2.0 2.5 Final index Extrapolation No further launches Orbital sustainability threshold Figure 7.7: Index values in LEOIADC in the simulated scenarios of long-term evolution of the environment.</w:t>
      </w:r>
    </w:p>
    <w:p>
      <w:pPr>
        <w:pStyle w:val="DocBody"/>
      </w:pPr>
      <w:r>
        <w:rPr>
          <w:rFonts w:ascii="Times New Roman" w:hAnsi="Times New Roman" w:eastAsia="宋体"/>
          <w:sz w:val="24"/>
        </w:rPr>
        <w:t>Page 148/151</w:t>
      </w:r>
    </w:p>
    <w:p>
      <w:pPr>
        <w:pStyle w:val="DocBody"/>
      </w:pPr>
      <w:r>
        <w:rPr>
          <w:rFonts w:ascii="Times New Roman" w:hAnsi="Times New Roman" w:eastAsia="宋体"/>
          <w:sz w:val="24"/>
        </w:rPr>
        <w:t>ESA UNCLASSIFIED - Releasable to the Public References [1] United Nations. Guidelines for the long-term sustainability of outer space activities (A/AC.105/C.1/L.366), 2019.</w:t>
      </w:r>
    </w:p>
    <w:p>
      <w:pPr>
        <w:pStyle w:val="DocBody"/>
      </w:pPr>
      <w:r>
        <w:rPr>
          <w:rFonts w:ascii="Times New Roman" w:hAnsi="Times New Roman" w:eastAsia="宋体"/>
          <w:sz w:val="24"/>
        </w:rPr>
        <w:t>[2] Inter-Agency Space Debris Coordination Committee. Space Debris Mitigation Guidelines, IADC-02-01, Revision 4, 2025.</w:t>
      </w:r>
    </w:p>
    <w:p>
      <w:pPr>
        <w:pStyle w:val="DocBody"/>
      </w:pPr>
      <w:r>
        <w:rPr>
          <w:rFonts w:ascii="Times New Roman" w:hAnsi="Times New Roman" w:eastAsia="宋体"/>
          <w:sz w:val="24"/>
        </w:rPr>
        <w:t>[3] European Space Agency. ESA Space Debris Mitigation Requirements, ESSB-ST-U-007, Issue 1.</w:t>
      </w:r>
    </w:p>
    <w:p>
      <w:pPr>
        <w:pStyle w:val="DocBody"/>
      </w:pPr>
      <w:r>
        <w:rPr>
          <w:rFonts w:ascii="Times New Roman" w:hAnsi="Times New Roman" w:eastAsia="宋体"/>
          <w:sz w:val="24"/>
        </w:rPr>
        <w:t>https://technology.esa.int/upload/media/ ESA-Space-Debris-Mitigation-Requirements-ESSB-ST-U-007-Issue1.pdf, 2023.</w:t>
      </w:r>
    </w:p>
    <w:p>
      <w:pPr>
        <w:pStyle w:val="DocBody"/>
      </w:pPr>
      <w:r>
        <w:rPr>
          <w:rFonts w:ascii="Times New Roman" w:hAnsi="Times New Roman" w:eastAsia="宋体"/>
          <w:sz w:val="24"/>
        </w:rPr>
        <w:t>[4] European Space Agency. ESA Space Debris Mitigation Policy, ESA/ADMIN/IPOL(2023)1.</w:t>
      </w:r>
    </w:p>
    <w:p>
      <w:pPr>
        <w:pStyle w:val="DocBody"/>
      </w:pPr>
      <w:r>
        <w:rPr>
          <w:rFonts w:ascii="Times New Roman" w:hAnsi="Times New Roman" w:eastAsia="宋体"/>
          <w:sz w:val="24"/>
        </w:rPr>
        <w:t>https://technology.esa.int/upload/media/ ESA-ADMIN-IPOL-2023-1-Space-Debris-Mitigation-Policy-Final.pdf, 2023.</w:t>
      </w:r>
    </w:p>
    <w:p>
      <w:pPr>
        <w:pStyle w:val="DocBody"/>
      </w:pPr>
      <w:r>
        <w:rPr>
          <w:rFonts w:ascii="Times New Roman" w:hAnsi="Times New Roman" w:eastAsia="宋体"/>
          <w:sz w:val="24"/>
        </w:rPr>
        <w:t>[5] F. Letizia, S. Lemmens, B. Bastida Virgili, and H. Krag. Application of a debris index for global evaluation of mitigation strategies. Acta Astronautica, 161:348–362, 2019.</w:t>
      </w:r>
    </w:p>
    <w:p>
      <w:pPr>
        <w:pStyle w:val="DocBody"/>
      </w:pPr>
      <w:r>
        <w:rPr>
          <w:rFonts w:ascii="Times New Roman" w:hAnsi="Times New Roman" w:eastAsia="宋体"/>
          <w:sz w:val="24"/>
        </w:rPr>
        <w:t>[6] D. J. Kessler and B. G. Cour-Palais. Collision frequency of artificial satellites: The creation of a debris belt.</w:t>
      </w:r>
    </w:p>
    <w:p>
      <w:pPr>
        <w:pStyle w:val="DocBody"/>
      </w:pPr>
      <w:r>
        <w:rPr>
          <w:rFonts w:ascii="Times New Roman" w:hAnsi="Times New Roman" w:eastAsia="宋体"/>
          <w:sz w:val="24"/>
        </w:rPr>
        <w:t>Journal of Geophysical Research, page 2637–2646, 1978.</w:t>
      </w:r>
    </w:p>
    <w:p>
      <w:pPr>
        <w:pStyle w:val="DocBody"/>
      </w:pPr>
      <w:r>
        <w:rPr>
          <w:rFonts w:ascii="Times New Roman" w:hAnsi="Times New Roman" w:eastAsia="宋体"/>
          <w:sz w:val="24"/>
        </w:rPr>
        <w:t>[7] United Nations. Convention on International Liability for Damage Caused by Space Objects, 1972.</w:t>
      </w:r>
    </w:p>
    <w:p>
      <w:pPr>
        <w:pStyle w:val="DocBody"/>
      </w:pPr>
      <w:r>
        <w:rPr>
          <w:rFonts w:ascii="Times New Roman" w:hAnsi="Times New Roman" w:eastAsia="宋体"/>
          <w:sz w:val="24"/>
        </w:rPr>
        <w:t>[8] Inter-Agency Space Debris Coordination Committee. Space Debris Mitigation Guidelines, 2002.</w:t>
      </w:r>
    </w:p>
    <w:p>
      <w:pPr>
        <w:pStyle w:val="DocBody"/>
      </w:pPr>
      <w:r>
        <w:rPr>
          <w:rFonts w:ascii="Times New Roman" w:hAnsi="Times New Roman" w:eastAsia="宋体"/>
          <w:sz w:val="24"/>
        </w:rPr>
        <w:t>[9] International Standards Organisation. Space systems - Space debris mitigation requirements, ISO TC 20/SC 14 24113:2019, 2019.</w:t>
      </w:r>
    </w:p>
    <w:p>
      <w:pPr>
        <w:pStyle w:val="DocBody"/>
      </w:pPr>
      <w:r>
        <w:rPr>
          <w:rFonts w:ascii="Times New Roman" w:hAnsi="Times New Roman" w:eastAsia="宋体"/>
          <w:sz w:val="24"/>
        </w:rPr>
        <w:t>[10] European Space Agency. Database and information system characterising objects in space.</w:t>
      </w:r>
    </w:p>
    <w:p>
      <w:pPr>
        <w:pStyle w:val="DocBody"/>
      </w:pPr>
      <w:r>
        <w:rPr>
          <w:rFonts w:ascii="Times New Roman" w:hAnsi="Times New Roman" w:eastAsia="宋体"/>
          <w:sz w:val="24"/>
        </w:rPr>
        <w:t>https://discosweb.esoc.esa.int/, 2021. Accessed: 2026-01-01.</w:t>
      </w:r>
    </w:p>
    <w:p>
      <w:pPr>
        <w:pStyle w:val="DocBody"/>
      </w:pPr>
      <w:r>
        <w:rPr>
          <w:rFonts w:ascii="Times New Roman" w:hAnsi="Times New Roman" w:eastAsia="宋体"/>
          <w:sz w:val="24"/>
        </w:rPr>
        <w:t>[11] T.S. Kelso. CelesTrak. https://celestrak.com/.</w:t>
      </w:r>
    </w:p>
    <w:p>
      <w:pPr>
        <w:pStyle w:val="DocBody"/>
      </w:pPr>
      <w:r>
        <w:rPr>
          <w:rFonts w:ascii="Times New Roman" w:hAnsi="Times New Roman" w:eastAsia="宋体"/>
          <w:sz w:val="24"/>
        </w:rPr>
        <w:t>[12] Union of Concerned Scientists. Satellite Database.</w:t>
      </w:r>
    </w:p>
    <w:p>
      <w:pPr>
        <w:pStyle w:val="DocBody"/>
      </w:pPr>
      <w:r>
        <w:rPr>
          <w:rFonts w:ascii="Times New Roman" w:hAnsi="Times New Roman" w:eastAsia="宋体"/>
          <w:sz w:val="24"/>
        </w:rPr>
        <w:t>https://www.ucsusa.org/resources/satellite-database.</w:t>
      </w:r>
    </w:p>
    <w:p>
      <w:pPr>
        <w:pStyle w:val="DocBody"/>
      </w:pPr>
      <w:r>
        <w:rPr>
          <w:rFonts w:ascii="Times New Roman" w:hAnsi="Times New Roman" w:eastAsia="宋体"/>
          <w:sz w:val="24"/>
        </w:rPr>
        <w:t>[13] International Standards Organisation. Space systems - Estimation of orbit lifetimes, ISO TC 20/SC 14 27852:2016, 2016.</w:t>
      </w:r>
    </w:p>
    <w:p>
      <w:pPr>
        <w:pStyle w:val="DocBody"/>
      </w:pPr>
      <w:r>
        <w:rPr>
          <w:rFonts w:ascii="Times New Roman" w:hAnsi="Times New Roman" w:eastAsia="宋体"/>
          <w:sz w:val="24"/>
        </w:rPr>
        <w:t>[14] Inter-Agency Space Debris Coordination Committee. Space Debris Mitigation Guidelines, IADC-02-01, Revision 3, 2021.</w:t>
      </w:r>
    </w:p>
    <w:p>
      <w:pPr>
        <w:pStyle w:val="DocBody"/>
      </w:pPr>
      <w:r>
        <w:rPr>
          <w:rFonts w:ascii="Times New Roman" w:hAnsi="Times New Roman" w:eastAsia="宋体"/>
          <w:sz w:val="24"/>
        </w:rPr>
        <w:t>[15] European Space Agency. ESA Re-entry Safety Requirements, ESSB-ST-U-004, Issue 1.</w:t>
      </w:r>
    </w:p>
    <w:p>
      <w:pPr>
        <w:pStyle w:val="DocBody"/>
      </w:pPr>
      <w:r>
        <w:rPr>
          <w:rFonts w:ascii="Times New Roman" w:hAnsi="Times New Roman" w:eastAsia="宋体"/>
          <w:sz w:val="24"/>
        </w:rPr>
        <w:t>https://technology.esa.int/upload/media/ESSB-ST-U-004-Issue1-4December2017-.pdf, 2017.</w:t>
      </w:r>
    </w:p>
    <w:p>
      <w:pPr>
        <w:pStyle w:val="DocBody"/>
      </w:pPr>
      <w:r>
        <w:rPr>
          <w:rFonts w:ascii="Times New Roman" w:hAnsi="Times New Roman" w:eastAsia="宋体"/>
          <w:sz w:val="24"/>
        </w:rPr>
        <w:t>[16] European Space Agency. ESA Space Debris Mitigation Compliance Verification Guidelines, ESSB-HB-U-002, Issue 3, Revision 1. https://esamultimedia.esa.int/docs/spacesafety/ESA_Space_ Debris_Mitigation_Compliance_Verification_Guidelines.pdf, 2025.</w:t>
      </w:r>
    </w:p>
    <w:p>
      <w:pPr>
        <w:pStyle w:val="DocBody"/>
      </w:pPr>
      <w:r>
        <w:rPr>
          <w:rFonts w:ascii="Times New Roman" w:hAnsi="Times New Roman" w:eastAsia="宋体"/>
          <w:sz w:val="24"/>
        </w:rPr>
        <w:t>[17] European Space Agency. ESA’s Re-entry Predictions. https://reentry.esoc.esa.int/home,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[18] S. Lemmens and E. Stevenson. On-ground Risk Estimation for Uncontrolled Re-entries over an Oblate Earth. [In preparation], 2026.</w:t>
      </w:r>
    </w:p>
    <w:p>
      <w:pPr>
        <w:pStyle w:val="DocBody"/>
      </w:pPr>
      <w:r>
        <w:rPr>
          <w:rFonts w:ascii="Times New Roman" w:hAnsi="Times New Roman" w:eastAsia="宋体"/>
          <w:sz w:val="24"/>
        </w:rPr>
        <w:t>Page 149/151</w:t>
      </w:r>
    </w:p>
    <w:p>
      <w:pPr>
        <w:pStyle w:val="DocBody"/>
      </w:pPr>
      <w:r>
        <w:rPr>
          <w:rFonts w:ascii="Times New Roman" w:hAnsi="Times New Roman" w:eastAsia="宋体"/>
          <w:sz w:val="24"/>
        </w:rPr>
        <w:t>ESA UNCLASSIFIED - Releasable to the Public [19] United Nations Office for Outer Space Affairs. United Nations Register of Objects Launched into Outer Space. http://www.unoosa.org/oosa/en/spaceobjectregister/index.html.</w:t>
      </w:r>
    </w:p>
    <w:p>
      <w:pPr>
        <w:pStyle w:val="DocBody"/>
      </w:pPr>
      <w:r>
        <w:rPr>
          <w:rFonts w:ascii="Times New Roman" w:hAnsi="Times New Roman" w:eastAsia="宋体"/>
          <w:sz w:val="24"/>
        </w:rPr>
        <w:t>[20] United Nations. Convention on Registration of Objects Launched into Outer Space, 1974.</w:t>
      </w:r>
    </w:p>
    <w:p>
      <w:pPr>
        <w:pStyle w:val="DocBody"/>
      </w:pPr>
      <w:r>
        <w:rPr>
          <w:rFonts w:ascii="Times New Roman" w:hAnsi="Times New Roman" w:eastAsia="宋体"/>
          <w:sz w:val="24"/>
        </w:rPr>
        <w:t>[21] European Space Agency. ESA’s Fragmentation Database. https://fragmentation.esoc.esa.int/, 2026.</w:t>
      </w:r>
    </w:p>
    <w:p>
      <w:pPr>
        <w:pStyle w:val="DocBody"/>
      </w:pPr>
      <w:r>
        <w:rPr>
          <w:rFonts w:ascii="Times New Roman" w:hAnsi="Times New Roman" w:eastAsia="宋体"/>
          <w:sz w:val="24"/>
        </w:rPr>
        <w:t>Accessed: 2026-01-01.</w:t>
      </w:r>
    </w:p>
    <w:p>
      <w:pPr>
        <w:pStyle w:val="DocBody"/>
      </w:pPr>
      <w:r>
        <w:rPr>
          <w:rFonts w:ascii="Times New Roman" w:hAnsi="Times New Roman" w:eastAsia="宋体"/>
          <w:sz w:val="24"/>
        </w:rPr>
        <w:t>[22] K. Merz, B. Bastida Virgili, V. Braun, T. Flohrer, Q. Funke, H. Krag, S. Lemmens, and J. Siminski. Current collision avoidance service by ESA’s space debris office. 7th European Conference on Space Debris, Proceedings of the conference, 2017.</w:t>
      </w:r>
    </w:p>
    <w:p>
      <w:pPr>
        <w:pStyle w:val="DocBody"/>
      </w:pPr>
      <w:r>
        <w:rPr>
          <w:rFonts w:ascii="Times New Roman" w:hAnsi="Times New Roman" w:eastAsia="宋体"/>
          <w:sz w:val="24"/>
        </w:rPr>
        <w:t>[23] United States Space Force’s 18th Space Control Squadron. Space-track.</w:t>
      </w:r>
    </w:p>
    <w:p>
      <w:pPr>
        <w:pStyle w:val="DocBody"/>
      </w:pPr>
      <w:r>
        <w:rPr>
          <w:rFonts w:ascii="Times New Roman" w:hAnsi="Times New Roman" w:eastAsia="宋体"/>
          <w:sz w:val="24"/>
        </w:rPr>
        <w:t>https://www.space-track.org/, 2021. Accessed: 2026-01-01.</w:t>
      </w:r>
    </w:p>
    <w:p>
      <w:pPr>
        <w:pStyle w:val="DocBody"/>
      </w:pPr>
      <w:r>
        <w:rPr>
          <w:rFonts w:ascii="Times New Roman" w:hAnsi="Times New Roman" w:eastAsia="宋体"/>
          <w:sz w:val="24"/>
        </w:rPr>
        <w:t>[24] K. T. Alfriend, M. R. Akella, J. Frisbee, J. L. Foster, D. J. Lee, and M. Wilkins. Probability of collision error analysis. Space Debris, 1(1):21–35, 1999.</w:t>
      </w:r>
    </w:p>
    <w:p>
      <w:pPr>
        <w:pStyle w:val="DocBody"/>
      </w:pPr>
      <w:r>
        <w:rPr>
          <w:rFonts w:ascii="Times New Roman" w:hAnsi="Times New Roman" w:eastAsia="宋体"/>
          <w:sz w:val="24"/>
        </w:rPr>
        <w:t>[25] ESA Space Debris Office. Assessment of Risk Event Statistics (ARES).</w:t>
      </w:r>
    </w:p>
    <w:p>
      <w:pPr>
        <w:pStyle w:val="DocBody"/>
      </w:pPr>
      <w:r>
        <w:rPr>
          <w:rFonts w:ascii="Times New Roman" w:hAnsi="Times New Roman" w:eastAsia="宋体"/>
          <w:sz w:val="24"/>
        </w:rPr>
        <w:t>https://sdup.esoc.esa.int/drama/downloads/documentation/Technical-Note-ARES.pdf, 2019.</w:t>
      </w:r>
    </w:p>
    <w:p>
      <w:pPr>
        <w:pStyle w:val="DocBody"/>
      </w:pPr>
      <w:r>
        <w:rPr>
          <w:rFonts w:ascii="Times New Roman" w:hAnsi="Times New Roman" w:eastAsia="宋体"/>
          <w:sz w:val="24"/>
        </w:rPr>
        <w:t>[26] C. Wiedemann, E. Gamper, A. Horstmann, V. Braun, and E. Stoll. Release of liquid metal droplets from Cosmos 1818 and 1867. 67th International Astronautical Congress, Proceedings of the conference, 2016.</w:t>
      </w:r>
    </w:p>
    <w:p>
      <w:pPr>
        <w:pStyle w:val="DocBody"/>
      </w:pPr>
      <w:r>
        <w:rPr>
          <w:rFonts w:ascii="Times New Roman" w:hAnsi="Times New Roman" w:eastAsia="宋体"/>
          <w:sz w:val="24"/>
        </w:rPr>
        <w:t>[27] S. Flegel, J. Gelhaus, M. Möckel, C. Wiedemann, and D Kempf. Maintenance of the ESA MASTER Model.</w:t>
      </w:r>
    </w:p>
    <w:p>
      <w:pPr>
        <w:pStyle w:val="DocBody"/>
      </w:pPr>
      <w:r>
        <w:rPr>
          <w:rFonts w:ascii="Times New Roman" w:hAnsi="Times New Roman" w:eastAsia="宋体"/>
          <w:sz w:val="24"/>
        </w:rPr>
        <w:t>Final Report of ESA contract 21705/D/HK, 2010.</w:t>
      </w:r>
    </w:p>
    <w:p>
      <w:pPr>
        <w:pStyle w:val="DocBody"/>
      </w:pPr>
      <w:r>
        <w:rPr>
          <w:rFonts w:ascii="Times New Roman" w:hAnsi="Times New Roman" w:eastAsia="宋体"/>
          <w:sz w:val="24"/>
        </w:rPr>
        <w:t>[28] S. Lemmens and H. Krag. Two-line-elements-based maneuver detection methods for satellites in low earth orbit. Journal of Guidance, Control, and Dynamics, 37(3):860–868, 2014.</w:t>
      </w:r>
    </w:p>
    <w:p>
      <w:pPr>
        <w:pStyle w:val="DocBody"/>
      </w:pPr>
      <w:r>
        <w:rPr>
          <w:rFonts w:ascii="Times New Roman" w:hAnsi="Times New Roman" w:eastAsia="宋体"/>
          <w:sz w:val="24"/>
        </w:rPr>
        <w:t>[29] R. Mugellesi-Dow, D. J. Kerridge, T. D. G. Clark, and A. W. P. Thompson. Solmag: an operational system for prediction of solar and geomagnetic activity indices. 1st European Conference on Space Debris, Proceedings of the conference, 1993.</w:t>
      </w:r>
    </w:p>
    <w:p>
      <w:pPr>
        <w:pStyle w:val="DocBody"/>
      </w:pPr>
      <w:r>
        <w:rPr>
          <w:rFonts w:ascii="Times New Roman" w:hAnsi="Times New Roman" w:eastAsia="宋体"/>
          <w:sz w:val="24"/>
        </w:rPr>
        <w:t>[30] S. Lemmens, B. Bastida Virgili, V. Braun, T. Flohrer, Q. Funke, H. Krag, F. Mclean, and K. Merz. From End-of-Life to Impact on Ground: An Overview of ESA’s Tools and Techniques to Predict Re-entries from the Operational Orbit to the Earth’s Surface. 6th International Conference on Astrodynamics Tools and Techniques, Proceedings of the conference, 2016.</w:t>
      </w:r>
    </w:p>
    <w:p>
      <w:pPr>
        <w:pStyle w:val="DocBody"/>
      </w:pPr>
      <w:r>
        <w:rPr>
          <w:rFonts w:ascii="Times New Roman" w:hAnsi="Times New Roman" w:eastAsia="宋体"/>
          <w:sz w:val="24"/>
        </w:rPr>
        <w:t>[31] ESA Space Debris Office. Classification of Geosynchronous Objects. Issue 28.</w:t>
      </w:r>
    </w:p>
    <w:p>
      <w:pPr>
        <w:pStyle w:val="DocBody"/>
      </w:pPr>
      <w:r>
        <w:rPr>
          <w:rFonts w:ascii="Times New Roman" w:hAnsi="Times New Roman" w:eastAsia="宋体"/>
          <w:sz w:val="24"/>
        </w:rPr>
        <w:t>GEN-DB-LOG-00290-OPS-SD, ESA/ESOC, Darmstadt, Germany, 2026.</w:t>
      </w:r>
    </w:p>
    <w:p>
      <w:pPr>
        <w:pStyle w:val="DocBody"/>
      </w:pPr>
      <w:r>
        <w:rPr>
          <w:rFonts w:ascii="Times New Roman" w:hAnsi="Times New Roman" w:eastAsia="宋体"/>
          <w:sz w:val="24"/>
        </w:rPr>
        <w:t>[32] C. Wiedemann, A. Horstmann, S. Hesselbach, V. Braun, H. Krag, S. Flegel, M. Oswald, and E. Stoll.</w:t>
      </w:r>
    </w:p>
    <w:p>
      <w:pPr>
        <w:pStyle w:val="DocBody"/>
      </w:pPr>
      <w:r>
        <w:rPr>
          <w:rFonts w:ascii="Times New Roman" w:hAnsi="Times New Roman" w:eastAsia="宋体"/>
          <w:sz w:val="24"/>
        </w:rPr>
        <w:t>Particle flux analysis with the updated MASTER model. 67th International Astronautical Congres, Proceedings of the conference, 2018.</w:t>
      </w:r>
    </w:p>
    <w:p>
      <w:pPr>
        <w:pStyle w:val="DocBody"/>
      </w:pPr>
      <w:r>
        <w:rPr>
          <w:rFonts w:ascii="Times New Roman" w:hAnsi="Times New Roman" w:eastAsia="宋体"/>
          <w:sz w:val="24"/>
        </w:rPr>
        <w:t>[33] N. L. Johnson and P. H. Krisko. NASA’s new breakup model of EVOLVE 4.0. Advances in Space Research, 28(9):1377–1384, 2001.</w:t>
      </w:r>
    </w:p>
    <w:p>
      <w:pPr>
        <w:pStyle w:val="DocBody"/>
      </w:pPr>
      <w:r>
        <w:rPr>
          <w:rFonts w:ascii="Times New Roman" w:hAnsi="Times New Roman" w:eastAsia="宋体"/>
          <w:sz w:val="24"/>
        </w:rPr>
        <w:t>[34] A. Horstmann, S. Hesselbach, C. Wiedemann, S. Flegel, and M. Oswald. Enhancement of S/C Fragmentation and Environment Evolution Models. Final Report of ESA contract 4000115973/15/D/SR, 2020.</w:t>
      </w:r>
    </w:p>
    <w:p>
      <w:pPr>
        <w:pStyle w:val="DocBody"/>
      </w:pPr>
      <w:r>
        <w:rPr>
          <w:rFonts w:ascii="Times New Roman" w:hAnsi="Times New Roman" w:eastAsia="宋体"/>
          <w:sz w:val="24"/>
        </w:rPr>
        <w:t>[35] A. A. Lidtke, H. G. Lewis, and R. Armellin. Statistical analysis of the inherent variability in the results of evolutionary debris models. Advances in Space Research, 59(7):1698–1714, 2017.</w:t>
      </w:r>
    </w:p>
    <w:p>
      <w:pPr>
        <w:pStyle w:val="DocBody"/>
      </w:pPr>
      <w:r>
        <w:rPr>
          <w:rFonts w:ascii="Times New Roman" w:hAnsi="Times New Roman" w:eastAsia="宋体"/>
          <w:sz w:val="24"/>
        </w:rPr>
        <w:t>Page 150/151</w:t>
      </w:r>
    </w:p>
    <w:p>
      <w:pPr>
        <w:pStyle w:val="DocBody"/>
      </w:pPr>
      <w:r>
        <w:rPr>
          <w:rFonts w:ascii="Times New Roman" w:hAnsi="Times New Roman" w:eastAsia="宋体"/>
          <w:sz w:val="24"/>
        </w:rPr>
        <w:t>ESA UNCLASSIFIED - Releasable to the Public [36] H.G Lewis. Evaluation of debris mitigation options for a large constellation. Journal of Space Safety Engineering, 7:192–197, 2020.</w:t>
      </w:r>
    </w:p>
    <w:p>
      <w:pPr>
        <w:pStyle w:val="DocBody"/>
      </w:pPr>
      <w:r>
        <w:rPr>
          <w:rFonts w:ascii="Times New Roman" w:hAnsi="Times New Roman" w:eastAsia="宋体"/>
          <w:sz w:val="24"/>
        </w:rPr>
        <w:t>[37] F. Letizia, B. Bastida Virgili, and S. Lemmens. Assessment of orbital capacity thresholds through long-term simulations of the debris environment. Advances in Space Research, 72(7):2552–2569, 2023.</w:t>
      </w:r>
    </w:p>
    <w:p>
      <w:pPr>
        <w:pStyle w:val="DocBody"/>
      </w:pPr>
      <w:r>
        <w:rPr>
          <w:rFonts w:ascii="Times New Roman" w:hAnsi="Times New Roman" w:eastAsia="宋体"/>
          <w:sz w:val="24"/>
        </w:rPr>
        <w:t>[38] Inter-Agency Space Debris Coordination Committee. Space Debris Mitigation Guidelines, IADC-02-01, Revision 1, 2007.</w:t>
      </w:r>
    </w:p>
    <w:p>
      <w:pPr>
        <w:pStyle w:val="DocBody"/>
      </w:pPr>
      <w:r>
        <w:rPr>
          <w:rFonts w:ascii="Times New Roman" w:hAnsi="Times New Roman" w:eastAsia="宋体"/>
          <w:sz w:val="24"/>
        </w:rPr>
        <w:t>Page 151/151</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ou to share our website content via your social media accounts and allow us to measure and improve the performance of our website.</w:t>
      </w:r>
    </w:p>
    <w:p>
      <w:pPr>
        <w:pStyle w:val="DocBody"/>
      </w:pPr>
      <w:hyperlink r:id="rId12">
        <w:r>
          <w:rPr>
            <w:rFonts w:ascii="Times New Roman" w:hAnsi="Times New Roman" w:eastAsia="宋体"/>
            <w:color w:val="0563C1"/>
            <w:sz w:val="24"/>
            <w:u w:val="single"/>
          </w:rPr>
          <w:t>Accept all cookies</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Accept only essential cookies</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See our Cookie Notice</w:t>
        </w:r>
      </w:hyperlink>
    </w:p>
    <w:p>
      <w:pPr>
        <w:pStyle w:val="DocBody"/>
      </w:pPr>
      <w:hyperlink r:id="rId15">
        <w:r>
          <w:rPr>
            <w:rFonts w:ascii="Times New Roman" w:hAnsi="Times New Roman" w:eastAsia="宋体"/>
            <w:color w:val="0563C1"/>
            <w:sz w:val="24"/>
            <w:u w:val="single"/>
          </w:rPr>
          <w:t>ESA Home</w:t>
        </w:r>
      </w:hyperlink>
      <w:r>
        <w:rPr>
          <w:rFonts w:ascii="Times New Roman" w:hAnsi="Times New Roman" w:eastAsia="宋体"/>
          <w:sz w:val="24"/>
        </w:rPr>
        <w:t xml:space="preserve"> About ESA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Space in Member States Science &amp; Exploration Space Safety Applications Enabling &amp; Support </w:t>
      </w:r>
      <w:hyperlink r:id="rId17">
        <w:r>
          <w:rPr>
            <w:rFonts w:ascii="Times New Roman" w:hAnsi="Times New Roman" w:eastAsia="宋体"/>
            <w:color w:val="0563C1"/>
            <w:sz w:val="24"/>
            <w:u w:val="single"/>
          </w:rPr>
          <w:t>ESA Web TV</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Videos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Images</w:t>
        </w:r>
      </w:hyperlink>
    </w:p>
    <w:p>
      <w:pPr>
        <w:pStyle w:val="DocH1"/>
      </w:pPr>
      <w:r>
        <w:rPr>
          <w:rFonts w:ascii="Times New Roman" w:hAnsi="Times New Roman" w:eastAsia="宋体"/>
          <w:sz w:val="24"/>
        </w:rPr>
        <w:t>About ESA</w:t>
      </w:r>
    </w:p>
    <w:p>
      <w:pPr>
        <w:pStyle w:val="DocBody"/>
      </w:pPr>
      <w:r>
        <w:rPr>
          <w:rFonts w:ascii="Times New Roman" w:hAnsi="Times New Roman" w:eastAsia="宋体"/>
          <w:sz w:val="24"/>
        </w:rPr>
        <w:t>The European Space Agency (ESA) is Europe’s gateway to space. Its mission is to shape the development of Europe’s space capability and ensure that investment in space continues to deliver benefits to the citizens of Europe and the world.</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2818372"/>
            <wp:docPr id="1" name="Picture 1"/>
            <wp:cNvGraphicFramePr>
              <a:graphicFrameLocks noChangeAspect="1"/>
            </wp:cNvGraphicFramePr>
            <a:graphic>
              <a:graphicData uri="http://schemas.openxmlformats.org/drawingml/2006/picture">
                <pic:pic>
                  <pic:nvPicPr>
                    <pic:cNvPr id="0" name="eec5eee70cfb72a3.jpg"/>
                    <pic:cNvPicPr/>
                  </pic:nvPicPr>
                  <pic:blipFill>
                    <a:blip r:embed="rId20"/>
                    <a:stretch>
                      <a:fillRect/>
                    </a:stretch>
                  </pic:blipFill>
                  <pic:spPr>
                    <a:xfrm>
                      <a:off x="0" y="0"/>
                      <a:ext cx="5400000" cy="2818372"/>
                    </a:xfrm>
                    <a:prstGeom prst="rect"/>
                  </pic:spPr>
                </pic:pic>
              </a:graphicData>
            </a:graphic>
          </wp:inline>
        </w:drawing>
      </w:r>
    </w:p>
    <w:p>
      <w:pPr>
        <w:jc w:val="center"/>
      </w:pPr>
      <w:r>
        <w:drawing>
          <wp:inline xmlns:a="http://schemas.openxmlformats.org/drawingml/2006/main" xmlns:pic="http://schemas.openxmlformats.org/drawingml/2006/picture">
            <wp:extent cx="4597200" cy="3174862"/>
            <wp:docPr id="2" name="Picture 2"/>
            <wp:cNvGraphicFramePr>
              <a:graphicFrameLocks noChangeAspect="1"/>
            </wp:cNvGraphicFramePr>
            <a:graphic>
              <a:graphicData uri="http://schemas.openxmlformats.org/drawingml/2006/picture">
                <pic:pic>
                  <pic:nvPicPr>
                    <pic:cNvPr id="0" name="877e165136b83e26.jpg"/>
                    <pic:cNvPicPr/>
                  </pic:nvPicPr>
                  <pic:blipFill>
                    <a:blip r:embed="rId21"/>
                    <a:stretch>
                      <a:fillRect/>
                    </a:stretch>
                  </pic:blipFill>
                  <pic:spPr>
                    <a:xfrm>
                      <a:off x="0" y="0"/>
                      <a:ext cx="4597200" cy="3174862"/>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 name="Picture 3"/>
            <wp:cNvGraphicFramePr>
              <a:graphicFrameLocks noChangeAspect="1"/>
            </wp:cNvGraphicFramePr>
            <a:graphic>
              <a:graphicData uri="http://schemas.openxmlformats.org/drawingml/2006/picture">
                <pic:pic>
                  <pic:nvPicPr>
                    <pic:cNvPr id="0" name="4f77b0c13c379211.jpg"/>
                    <pic:cNvPicPr/>
                  </pic:nvPicPr>
                  <pic:blipFill>
                    <a:blip r:embed="rId2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2818800" cy="1587162"/>
            <wp:docPr id="4" name="Picture 4"/>
            <wp:cNvGraphicFramePr>
              <a:graphicFrameLocks noChangeAspect="1"/>
            </wp:cNvGraphicFramePr>
            <a:graphic>
              <a:graphicData uri="http://schemas.openxmlformats.org/drawingml/2006/picture">
                <pic:pic>
                  <pic:nvPicPr>
                    <pic:cNvPr id="0" name="50a9aac538987889.png"/>
                    <pic:cNvPicPr/>
                  </pic:nvPicPr>
                  <pic:blipFill>
                    <a:blip r:embed="rId23"/>
                    <a:stretch>
                      <a:fillRect/>
                    </a:stretch>
                  </pic:blipFill>
                  <pic:spPr>
                    <a:xfrm>
                      <a:off x="0" y="0"/>
                      <a:ext cx="2818800" cy="1587162"/>
                    </a:xfrm>
                    <a:prstGeom prst="rect"/>
                  </pic:spPr>
                </pic:pic>
              </a:graphicData>
            </a:graphic>
          </wp:inline>
        </w:drawing>
      </w:r>
    </w:p>
    <w:p>
      <w:pPr>
        <w:jc w:val="center"/>
      </w:pPr>
      <w:r>
        <w:drawing>
          <wp:inline xmlns:a="http://schemas.openxmlformats.org/drawingml/2006/main" xmlns:pic="http://schemas.openxmlformats.org/drawingml/2006/picture">
            <wp:extent cx="3808800" cy="3250176"/>
            <wp:docPr id="5" name="Picture 5"/>
            <wp:cNvGraphicFramePr>
              <a:graphicFrameLocks noChangeAspect="1"/>
            </wp:cNvGraphicFramePr>
            <a:graphic>
              <a:graphicData uri="http://schemas.openxmlformats.org/drawingml/2006/picture">
                <pic:pic>
                  <pic:nvPicPr>
                    <pic:cNvPr id="0" name="a206377b4d349034.jpg"/>
                    <pic:cNvPicPr/>
                  </pic:nvPicPr>
                  <pic:blipFill>
                    <a:blip r:embed="rId24"/>
                    <a:stretch>
                      <a:fillRect/>
                    </a:stretch>
                  </pic:blipFill>
                  <pic:spPr>
                    <a:xfrm>
                      <a:off x="0" y="0"/>
                      <a:ext cx="3808800" cy="3250176"/>
                    </a:xfrm>
                    <a:prstGeom prst="rect"/>
                  </pic:spPr>
                </pic:pic>
              </a:graphicData>
            </a:graphic>
          </wp:inline>
        </w:drawing>
      </w:r>
    </w:p>
    <w:p>
      <w:pPr>
        <w:jc w:val="center"/>
      </w:pPr>
      <w:r>
        <w:drawing>
          <wp:inline xmlns:a="http://schemas.openxmlformats.org/drawingml/2006/main" xmlns:pic="http://schemas.openxmlformats.org/drawingml/2006/picture">
            <wp:extent cx="1353600" cy="762162"/>
            <wp:docPr id="6" name="Picture 6"/>
            <wp:cNvGraphicFramePr>
              <a:graphicFrameLocks noChangeAspect="1"/>
            </wp:cNvGraphicFramePr>
            <a:graphic>
              <a:graphicData uri="http://schemas.openxmlformats.org/drawingml/2006/picture">
                <pic:pic>
                  <pic:nvPicPr>
                    <pic:cNvPr id="0" name="c1dabe25aacbca4d.jpg"/>
                    <pic:cNvPicPr/>
                  </pic:nvPicPr>
                  <pic:blipFill>
                    <a:blip r:embed="rId25"/>
                    <a:stretch>
                      <a:fillRect/>
                    </a:stretch>
                  </pic:blipFill>
                  <pic:spPr>
                    <a:xfrm>
                      <a:off x="0" y="0"/>
                      <a:ext cx="1353600" cy="762162"/>
                    </a:xfrm>
                    <a:prstGeom prst="rect"/>
                  </pic:spPr>
                </pic:pic>
              </a:graphicData>
            </a:graphic>
          </wp:inline>
        </w:drawing>
      </w:r>
    </w:p>
    <w:p>
      <w:pPr>
        <w:pStyle w:val="DocH1"/>
      </w:pPr>
      <w:r>
        <w:rPr>
          <w:rFonts w:ascii="Times New Roman" w:hAnsi="Times New Roman" w:eastAsia="宋体"/>
          <w:sz w:val="24"/>
        </w:rPr>
        <w:t>ESA - United space in Europe</w:t>
      </w:r>
    </w:p>
    <w:p>
      <w:pPr>
        <w:pStyle w:val="DocBody"/>
      </w:pPr>
      <w:hyperlink r:id="rId26">
        <w:r>
          <w:rPr>
            <w:rFonts w:ascii="Times New Roman" w:hAnsi="Times New Roman" w:eastAsia="宋体"/>
            <w:color w:val="0563C1"/>
            <w:sz w:val="24"/>
            <w:u w:val="single"/>
          </w:rPr>
          <w:t>This is ESA</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ESA facts</w:t>
        </w:r>
      </w:hyperlink>
      <w:r>
        <w:rPr>
          <w:rFonts w:ascii="Times New Roman" w:hAnsi="Times New Roman" w:eastAsia="宋体"/>
          <w:sz w:val="24"/>
        </w:rPr>
        <w:t xml:space="preserve"> </w:t>
      </w:r>
      <w:hyperlink r:id="rId28">
        <w:r>
          <w:rPr>
            <w:rFonts w:ascii="Times New Roman" w:hAnsi="Times New Roman" w:eastAsia="宋体"/>
            <w:color w:val="0563C1"/>
            <w:sz w:val="24"/>
            <w:u w:val="single"/>
          </w:rPr>
          <w:t>Member States &amp; Cooperating States</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Funding</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Director General</w:t>
        </w:r>
      </w:hyperlink>
      <w:r>
        <w:rPr>
          <w:rFonts w:ascii="Times New Roman" w:hAnsi="Times New Roman" w:eastAsia="宋体"/>
          <w:sz w:val="24"/>
        </w:rPr>
        <w:t xml:space="preserve"> </w:t>
      </w:r>
      <w:hyperlink r:id="rId31">
        <w:r>
          <w:rPr>
            <w:rFonts w:ascii="Times New Roman" w:hAnsi="Times New Roman" w:eastAsia="宋体"/>
            <w:color w:val="0563C1"/>
            <w:sz w:val="24"/>
            <w:u w:val="single"/>
          </w:rPr>
          <w:t>Top management</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For Member State Delegations</w:t>
        </w:r>
      </w:hyperlink>
      <w:r>
        <w:rPr>
          <w:rFonts w:ascii="Times New Roman" w:hAnsi="Times New Roman" w:eastAsia="宋体"/>
          <w:sz w:val="24"/>
        </w:rPr>
        <w:t xml:space="preserve"> </w:t>
      </w:r>
      <w:hyperlink r:id="rId33">
        <w:r>
          <w:rPr>
            <w:rFonts w:ascii="Times New Roman" w:hAnsi="Times New Roman" w:eastAsia="宋体"/>
            <w:color w:val="0563C1"/>
            <w:sz w:val="24"/>
            <w:u w:val="single"/>
          </w:rPr>
          <w:t>European vision</w:t>
        </w:r>
      </w:hyperlink>
      <w:r>
        <w:rPr>
          <w:rFonts w:ascii="Times New Roman" w:hAnsi="Times New Roman" w:eastAsia="宋体"/>
          <w:sz w:val="24"/>
        </w:rPr>
        <w:t xml:space="preserve"> </w:t>
      </w:r>
      <w:hyperlink r:id="rId34">
        <w:r>
          <w:rPr>
            <w:rFonts w:ascii="Times New Roman" w:hAnsi="Times New Roman" w:eastAsia="宋体"/>
            <w:color w:val="0563C1"/>
            <w:sz w:val="24"/>
            <w:u w:val="single"/>
          </w:rPr>
          <w:t>European Space Policy</w:t>
        </w:r>
      </w:hyperlink>
      <w:r>
        <w:rPr>
          <w:rFonts w:ascii="Times New Roman" w:hAnsi="Times New Roman" w:eastAsia="宋体"/>
          <w:sz w:val="24"/>
        </w:rPr>
        <w:t xml:space="preserve"> </w:t>
      </w:r>
      <w:hyperlink r:id="rId35">
        <w:r>
          <w:rPr>
            <w:rFonts w:ascii="Times New Roman" w:hAnsi="Times New Roman" w:eastAsia="宋体"/>
            <w:color w:val="0563C1"/>
            <w:sz w:val="24"/>
            <w:u w:val="single"/>
          </w:rPr>
          <w:t>ESA &amp; EU</w:t>
        </w:r>
      </w:hyperlink>
      <w:r>
        <w:rPr>
          <w:rFonts w:ascii="Times New Roman" w:hAnsi="Times New Roman" w:eastAsia="宋体"/>
          <w:sz w:val="24"/>
        </w:rPr>
        <w:t xml:space="preserve"> </w:t>
      </w:r>
      <w:hyperlink r:id="rId36">
        <w:r>
          <w:rPr>
            <w:rFonts w:ascii="Times New Roman" w:hAnsi="Times New Roman" w:eastAsia="宋体"/>
            <w:color w:val="0563C1"/>
            <w:sz w:val="24"/>
            <w:u w:val="single"/>
          </w:rPr>
          <w:t>Space Councils</w:t>
        </w:r>
      </w:hyperlink>
      <w:r>
        <w:rPr>
          <w:rFonts w:ascii="Times New Roman" w:hAnsi="Times New Roman" w:eastAsia="宋体"/>
          <w:sz w:val="24"/>
        </w:rPr>
        <w:t xml:space="preserve"> </w:t>
      </w:r>
      <w:hyperlink r:id="rId37">
        <w:r>
          <w:rPr>
            <w:rFonts w:ascii="Times New Roman" w:hAnsi="Times New Roman" w:eastAsia="宋体"/>
            <w:color w:val="0563C1"/>
            <w:sz w:val="24"/>
            <w:u w:val="single"/>
          </w:rPr>
          <w:t>Responsibility &amp; Sustainability</w:t>
        </w:r>
      </w:hyperlink>
      <w:r>
        <w:rPr>
          <w:rFonts w:ascii="Times New Roman" w:hAnsi="Times New Roman" w:eastAsia="宋体"/>
          <w:sz w:val="24"/>
        </w:rPr>
        <w:t xml:space="preserve"> </w:t>
      </w:r>
      <w:hyperlink r:id="rId38">
        <w:r>
          <w:rPr>
            <w:rFonts w:ascii="Times New Roman" w:hAnsi="Times New Roman" w:eastAsia="宋体"/>
            <w:color w:val="0563C1"/>
            <w:sz w:val="24"/>
            <w:u w:val="single"/>
          </w:rPr>
          <w:t>Annual Report</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Calendar of meetings</w:t>
        </w:r>
      </w:hyperlink>
      <w:r>
        <w:rPr>
          <w:rFonts w:ascii="Times New Roman" w:hAnsi="Times New Roman" w:eastAsia="宋体"/>
          <w:sz w:val="24"/>
        </w:rPr>
        <w:t xml:space="preserve"> </w:t>
      </w:r>
      <w:hyperlink r:id="rId40">
        <w:r>
          <w:rPr>
            <w:rFonts w:ascii="Times New Roman" w:hAnsi="Times New Roman" w:eastAsia="宋体"/>
            <w:color w:val="0563C1"/>
            <w:sz w:val="24"/>
            <w:u w:val="single"/>
          </w:rPr>
          <w:t>Corporate news</w:t>
        </w:r>
      </w:hyperlink>
    </w:p>
    <w:p>
      <w:pPr>
        <w:pStyle w:val="DocH1"/>
      </w:pPr>
      <w:r>
        <w:rPr>
          <w:rFonts w:ascii="Times New Roman" w:hAnsi="Times New Roman" w:eastAsia="宋体"/>
          <w:sz w:val="24"/>
        </w:rPr>
        <w:t>Establishments &amp; sites</w:t>
      </w:r>
    </w:p>
    <w:p>
      <w:pPr>
        <w:pStyle w:val="DocBody"/>
      </w:pPr>
      <w:hyperlink r:id="rId41">
        <w:r>
          <w:rPr>
            <w:rFonts w:ascii="Times New Roman" w:hAnsi="Times New Roman" w:eastAsia="宋体"/>
            <w:color w:val="0563C1"/>
            <w:sz w:val="24"/>
            <w:u w:val="single"/>
          </w:rPr>
          <w:t>ESA Headquarters</w:t>
        </w:r>
      </w:hyperlink>
      <w:r>
        <w:rPr>
          <w:rFonts w:ascii="Times New Roman" w:hAnsi="Times New Roman" w:eastAsia="宋体"/>
          <w:sz w:val="24"/>
        </w:rPr>
        <w:t xml:space="preserve"> </w:t>
      </w:r>
      <w:hyperlink r:id="rId42">
        <w:r>
          <w:rPr>
            <w:rFonts w:ascii="Times New Roman" w:hAnsi="Times New Roman" w:eastAsia="宋体"/>
            <w:color w:val="0563C1"/>
            <w:sz w:val="24"/>
            <w:u w:val="single"/>
          </w:rPr>
          <w:t>ESA ESTEC</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ESA ESOC</w:t>
        </w:r>
      </w:hyperlink>
      <w:r>
        <w:rPr>
          <w:rFonts w:ascii="Times New Roman" w:hAnsi="Times New Roman" w:eastAsia="宋体"/>
          <w:sz w:val="24"/>
        </w:rPr>
        <w:t xml:space="preserve"> </w:t>
      </w:r>
      <w:hyperlink r:id="rId44">
        <w:r>
          <w:rPr>
            <w:rFonts w:ascii="Times New Roman" w:hAnsi="Times New Roman" w:eastAsia="宋体"/>
            <w:color w:val="0563C1"/>
            <w:sz w:val="24"/>
            <w:u w:val="single"/>
          </w:rPr>
          <w:t>ESA ESRIN</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ESA EAC</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ESA ESAC</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ESA ESEC</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ESA ECSAT</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Brussels Office</w:t>
        </w:r>
      </w:hyperlink>
      <w:r>
        <w:rPr>
          <w:rFonts w:ascii="Times New Roman" w:hAnsi="Times New Roman" w:eastAsia="宋体"/>
          <w:sz w:val="24"/>
        </w:rPr>
        <w:t xml:space="preserve"> </w:t>
      </w:r>
      <w:hyperlink r:id="rId51">
        <w:r>
          <w:rPr>
            <w:rFonts w:ascii="Times New Roman" w:hAnsi="Times New Roman" w:eastAsia="宋体"/>
            <w:color w:val="0563C1"/>
            <w:sz w:val="24"/>
            <w:u w:val="single"/>
          </w:rPr>
          <w:t>Washington Office</w:t>
        </w:r>
      </w:hyperlink>
    </w:p>
    <w:p>
      <w:pPr>
        <w:pStyle w:val="DocH1"/>
      </w:pPr>
      <w:r>
        <w:rPr>
          <w:rFonts w:ascii="Times New Roman" w:hAnsi="Times New Roman" w:eastAsia="宋体"/>
          <w:sz w:val="24"/>
        </w:rPr>
        <w:t>Working with ESA</w:t>
      </w:r>
    </w:p>
    <w:p>
      <w:pPr>
        <w:pStyle w:val="DocBody"/>
      </w:pPr>
      <w:hyperlink r:id="rId52">
        <w:r>
          <w:rPr>
            <w:rFonts w:ascii="Times New Roman" w:hAnsi="Times New Roman" w:eastAsia="宋体"/>
            <w:color w:val="0563C1"/>
            <w:sz w:val="24"/>
            <w:u w:val="single"/>
          </w:rPr>
          <w:t>Business with ESA</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54">
        <w:r>
          <w:rPr>
            <w:rFonts w:ascii="Times New Roman" w:hAnsi="Times New Roman" w:eastAsia="宋体"/>
            <w:color w:val="0563C1"/>
            <w:sz w:val="24"/>
            <w:u w:val="single"/>
          </w:rPr>
          <w:t>Law at ESA</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 xml:space="preserve">Careers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Cyber resilience at ESA</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IT at ESA</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Newsroom</w:t>
        </w:r>
      </w:hyperlink>
      <w:r>
        <w:rPr>
          <w:rFonts w:ascii="Times New Roman" w:hAnsi="Times New Roman" w:eastAsia="宋体"/>
          <w:sz w:val="24"/>
        </w:rPr>
        <w:t xml:space="preserve"> </w:t>
      </w:r>
      <w:hyperlink r:id="rId58">
        <w:r>
          <w:rPr>
            <w:rFonts w:ascii="Times New Roman" w:hAnsi="Times New Roman" w:eastAsia="宋体"/>
            <w:color w:val="0563C1"/>
            <w:sz w:val="24"/>
            <w:u w:val="single"/>
          </w:rPr>
          <w:t>Partnerships</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Merchandising Licence</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Education</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62">
        <w:r>
          <w:rPr>
            <w:rFonts w:ascii="Times New Roman" w:hAnsi="Times New Roman" w:eastAsia="宋体"/>
            <w:color w:val="0563C1"/>
            <w:sz w:val="24"/>
            <w:u w:val="single"/>
          </w:rPr>
          <w:t>Integrity and Reporting</w:t>
        </w:r>
      </w:hyperlink>
      <w:r>
        <w:rPr>
          <w:rFonts w:ascii="Times New Roman" w:hAnsi="Times New Roman" w:eastAsia="宋体"/>
          <w:sz w:val="24"/>
        </w:rPr>
        <w:t xml:space="preserve"> </w:t>
      </w:r>
      <w:hyperlink r:id="rId63">
        <w:r>
          <w:rPr>
            <w:rFonts w:ascii="Times New Roman" w:hAnsi="Times New Roman" w:eastAsia="宋体"/>
            <w:color w:val="0563C1"/>
            <w:sz w:val="24"/>
            <w:u w:val="single"/>
          </w:rPr>
          <w:t>Administrative Tribunal</w:t>
        </w:r>
      </w:hyperlink>
      <w:r>
        <w:rPr>
          <w:rFonts w:ascii="Times New Roman" w:hAnsi="Times New Roman" w:eastAsia="宋体"/>
          <w:sz w:val="24"/>
        </w:rPr>
        <w:t xml:space="preserve"> </w:t>
      </w:r>
      <w:hyperlink r:id="rId64">
        <w:r>
          <w:rPr>
            <w:rFonts w:ascii="Times New Roman" w:hAnsi="Times New Roman" w:eastAsia="宋体"/>
            <w:color w:val="0563C1"/>
            <w:sz w:val="24"/>
            <w:u w:val="single"/>
          </w:rPr>
          <w:t>Health and Safety</w:t>
        </w:r>
      </w:hyperlink>
    </w:p>
    <w:p>
      <w:pPr>
        <w:pStyle w:val="DocH1"/>
      </w:pPr>
      <w:r>
        <w:rPr>
          <w:rFonts w:ascii="Times New Roman" w:hAnsi="Times New Roman" w:eastAsia="宋体"/>
          <w:sz w:val="24"/>
        </w:rPr>
        <w:t>More about ESA</w:t>
      </w:r>
    </w:p>
    <w:p>
      <w:pPr>
        <w:pStyle w:val="DocBody"/>
      </w:pPr>
      <w:hyperlink r:id="rId65">
        <w:r>
          <w:rPr>
            <w:rFonts w:ascii="Times New Roman" w:hAnsi="Times New Roman" w:eastAsia="宋体"/>
            <w:color w:val="0563C1"/>
            <w:sz w:val="24"/>
            <w:u w:val="single"/>
          </w:rPr>
          <w:t>History</w:t>
        </w:r>
      </w:hyperlink>
      <w:r>
        <w:rPr>
          <w:rFonts w:ascii="Times New Roman" w:hAnsi="Times New Roman" w:eastAsia="宋体"/>
          <w:sz w:val="24"/>
        </w:rPr>
        <w:t xml:space="preserve"> </w:t>
      </w:r>
      <w:hyperlink r:id="rId66">
        <w:r>
          <w:rPr>
            <w:rFonts w:ascii="Times New Roman" w:hAnsi="Times New Roman" w:eastAsia="宋体"/>
            <w:color w:val="0563C1"/>
            <w:sz w:val="24"/>
            <w:u w:val="single"/>
          </w:rPr>
          <w:t>ESA Historical Archives</w:t>
        </w:r>
      </w:hyperlink>
      <w:r>
        <w:rPr>
          <w:rFonts w:ascii="Times New Roman" w:hAnsi="Times New Roman" w:eastAsia="宋体"/>
          <w:sz w:val="24"/>
        </w:rPr>
        <w:t xml:space="preserve"> </w:t>
      </w:r>
      <w:hyperlink r:id="rId67">
        <w:r>
          <w:rPr>
            <w:rFonts w:ascii="Times New Roman" w:hAnsi="Times New Roman" w:eastAsia="宋体"/>
            <w:color w:val="0563C1"/>
            <w:sz w:val="24"/>
            <w:u w:val="single"/>
          </w:rPr>
          <w:t>Exhibitions</w:t>
        </w:r>
      </w:hyperlink>
      <w:r>
        <w:rPr>
          <w:rFonts w:ascii="Times New Roman" w:hAnsi="Times New Roman" w:eastAsia="宋体"/>
          <w:sz w:val="24"/>
        </w:rPr>
        <w:t xml:space="preserve"> </w:t>
      </w:r>
      <w:hyperlink r:id="rId68">
        <w:r>
          <w:rPr>
            <w:rFonts w:ascii="Times New Roman" w:hAnsi="Times New Roman" w:eastAsia="宋体"/>
            <w:color w:val="0563C1"/>
            <w:sz w:val="24"/>
            <w:u w:val="single"/>
          </w:rPr>
          <w:t>Publications</w:t>
        </w:r>
      </w:hyperlink>
      <w:r>
        <w:rPr>
          <w:rFonts w:ascii="Times New Roman" w:hAnsi="Times New Roman" w:eastAsia="宋体"/>
          <w:sz w:val="24"/>
        </w:rPr>
        <w:t xml:space="preserve"> </w:t>
      </w:r>
      <w:hyperlink r:id="rId69">
        <w:r>
          <w:rPr>
            <w:rFonts w:ascii="Times New Roman" w:hAnsi="Times New Roman" w:eastAsia="宋体"/>
            <w:color w:val="0563C1"/>
            <w:sz w:val="24"/>
            <w:u w:val="single"/>
          </w:rPr>
          <w:t>Art &amp; Culture</w:t>
        </w:r>
      </w:hyperlink>
      <w:r>
        <w:rPr>
          <w:rFonts w:ascii="Times New Roman" w:hAnsi="Times New Roman" w:eastAsia="宋体"/>
          <w:sz w:val="24"/>
        </w:rPr>
        <w:t xml:space="preserve"> </w:t>
      </w:r>
      <w:hyperlink r:id="rId70">
        <w:r>
          <w:rPr>
            <w:rFonts w:ascii="Times New Roman" w:hAnsi="Times New Roman" w:eastAsia="宋体"/>
            <w:color w:val="0563C1"/>
            <w:sz w:val="24"/>
            <w:u w:val="single"/>
          </w:rPr>
          <w:t>ESA Merchandise</w:t>
        </w:r>
      </w:hyperlink>
      <w:r>
        <w:rPr>
          <w:rFonts w:ascii="Times New Roman" w:hAnsi="Times New Roman" w:eastAsia="宋体"/>
          <w:sz w:val="24"/>
        </w:rPr>
        <w:t xml:space="preserve"> </w:t>
      </w:r>
      <w:hyperlink r:id="rId71">
        <w:r>
          <w:rPr>
            <w:rFonts w:ascii="Times New Roman" w:hAnsi="Times New Roman" w:eastAsia="宋体"/>
            <w:color w:val="0563C1"/>
            <w:sz w:val="24"/>
            <w:u w:val="single"/>
          </w:rPr>
          <w:t>Kids</w:t>
        </w:r>
      </w:hyperlink>
      <w:r>
        <w:rPr>
          <w:rFonts w:ascii="Times New Roman" w:hAnsi="Times New Roman" w:eastAsia="宋体"/>
          <w:sz w:val="24"/>
        </w:rPr>
        <w:t xml:space="preserve"> </w:t>
      </w:r>
      <w:hyperlink r:id="rId72">
        <w:r>
          <w:rPr>
            <w:rFonts w:ascii="Times New Roman" w:hAnsi="Times New Roman" w:eastAsia="宋体"/>
            <w:color w:val="0563C1"/>
            <w:sz w:val="24"/>
            <w:u w:val="single"/>
          </w:rPr>
          <w:t>Diversity</w:t>
        </w:r>
      </w:hyperlink>
      <w:r>
        <w:rPr>
          <w:rFonts w:ascii="Times New Roman" w:hAnsi="Times New Roman" w:eastAsia="宋体"/>
          <w:sz w:val="24"/>
        </w:rPr>
        <w:t xml:space="preserve"> </w:t>
      </w:r>
      <w:hyperlink r:id="rId73">
        <w:r>
          <w:rPr>
            <w:rFonts w:ascii="Times New Roman" w:hAnsi="Times New Roman" w:eastAsia="宋体"/>
            <w:color w:val="0563C1"/>
            <w:sz w:val="24"/>
            <w:u w:val="single"/>
          </w:rPr>
          <w:t>ESA Brand Centre</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7" name="Picture 7"/>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8" name="Picture 8"/>
            <wp:cNvGraphicFramePr>
              <a:graphicFrameLocks noChangeAspect="1"/>
            </wp:cNvGraphicFramePr>
            <a:graphic>
              <a:graphicData uri="http://schemas.openxmlformats.org/drawingml/2006/picture">
                <pic:pic>
                  <pic:nvPicPr>
                    <pic:cNvPr id="0" name="156a267c878fced3.png"/>
                    <pic:cNvPicPr/>
                  </pic:nvPicPr>
                  <pic:blipFill>
                    <a:blip r:embed="rId7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1202400" cy="761013"/>
            <wp:docPr id="9" name="Picture 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图9  Cluster satellite reentering Earth's atmosphere</w:t>
      </w:r>
    </w:p>
    <w:p>
      <w:pPr>
        <w:jc w:val="center"/>
      </w:pPr>
      <w:r>
        <w:drawing>
          <wp:inline xmlns:a="http://schemas.openxmlformats.org/drawingml/2006/main" xmlns:pic="http://schemas.openxmlformats.org/drawingml/2006/picture">
            <wp:extent cx="1522800" cy="1522800"/>
            <wp:docPr id="10" name="Picture 10"/>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pStyle w:val="DocH1"/>
      </w:pPr>
      <w:r>
        <w:rPr>
          <w:rFonts w:ascii="Times New Roman" w:hAnsi="Times New Roman" w:eastAsia="宋体"/>
          <w:sz w:val="24"/>
        </w:rPr>
        <w:t>Space in Member States</w:t>
      </w:r>
    </w:p>
    <w:p>
      <w:pPr>
        <w:pStyle w:val="DocBody"/>
      </w:pPr>
      <w:r>
        <w:rPr>
          <w:rFonts w:ascii="Times New Roman" w:hAnsi="Times New Roman" w:eastAsia="宋体"/>
          <w:sz w:val="24"/>
        </w:rPr>
        <w:t>Find out more about space activities in our 23 Member States, and understand how ESA works together with their national agencies, institutions and organisations.</w:t>
      </w:r>
    </w:p>
    <w:p>
      <w:pPr>
        <w:jc w:val="center"/>
      </w:pPr>
      <w:r>
        <w:drawing>
          <wp:inline xmlns:a="http://schemas.openxmlformats.org/drawingml/2006/main" xmlns:pic="http://schemas.openxmlformats.org/drawingml/2006/picture">
            <wp:extent cx="687600" cy="687600"/>
            <wp:docPr id="11" name="Picture 11"/>
            <wp:cNvGraphicFramePr>
              <a:graphicFrameLocks noChangeAspect="1"/>
            </wp:cNvGraphicFramePr>
            <a:graphic>
              <a:graphicData uri="http://schemas.openxmlformats.org/drawingml/2006/picture">
                <pic:pic>
                  <pic:nvPicPr>
                    <pic:cNvPr id="0" name="fdb7e7f2e89177b1.png"/>
                    <pic:cNvPicPr/>
                  </pic:nvPicPr>
                  <pic:blipFill>
                    <a:blip r:embed="rId78"/>
                    <a:stretch>
                      <a:fillRect/>
                    </a:stretch>
                  </pic:blipFill>
                  <pic:spPr>
                    <a:xfrm>
                      <a:off x="0" y="0"/>
                      <a:ext cx="687600" cy="687600"/>
                    </a:xfrm>
                    <a:prstGeom prst="rect"/>
                  </pic:spPr>
                </pic:pic>
              </a:graphicData>
            </a:graphic>
          </wp:inline>
        </w:drawing>
      </w:r>
    </w:p>
    <w:p>
      <w:pPr>
        <w:pStyle w:val="DocCaption"/>
      </w:pPr>
      <w:r>
        <w:t>图11  Germany</w:t>
      </w:r>
    </w:p>
    <w:p>
      <w:pPr>
        <w:jc w:val="center"/>
      </w:pPr>
      <w:r>
        <w:drawing>
          <wp:inline xmlns:a="http://schemas.openxmlformats.org/drawingml/2006/main" xmlns:pic="http://schemas.openxmlformats.org/drawingml/2006/picture">
            <wp:extent cx="687600" cy="687600"/>
            <wp:docPr id="12" name="Picture 12"/>
            <wp:cNvGraphicFramePr>
              <a:graphicFrameLocks noChangeAspect="1"/>
            </wp:cNvGraphicFramePr>
            <a:graphic>
              <a:graphicData uri="http://schemas.openxmlformats.org/drawingml/2006/picture">
                <pic:pic>
                  <pic:nvPicPr>
                    <pic:cNvPr id="0" name="92fb6ac5cfe144fa.png"/>
                    <pic:cNvPicPr/>
                  </pic:nvPicPr>
                  <pic:blipFill>
                    <a:blip r:embed="rId79"/>
                    <a:stretch>
                      <a:fillRect/>
                    </a:stretch>
                  </pic:blipFill>
                  <pic:spPr>
                    <a:xfrm>
                      <a:off x="0" y="0"/>
                      <a:ext cx="687600" cy="687600"/>
                    </a:xfrm>
                    <a:prstGeom prst="rect"/>
                  </pic:spPr>
                </pic:pic>
              </a:graphicData>
            </a:graphic>
          </wp:inline>
        </w:drawing>
      </w:r>
    </w:p>
    <w:p>
      <w:pPr>
        <w:pStyle w:val="DocCaption"/>
      </w:pPr>
      <w:r>
        <w:t>图12  Austria</w:t>
      </w:r>
    </w:p>
    <w:p>
      <w:pPr>
        <w:jc w:val="center"/>
      </w:pPr>
      <w:r>
        <w:drawing>
          <wp:inline xmlns:a="http://schemas.openxmlformats.org/drawingml/2006/main" xmlns:pic="http://schemas.openxmlformats.org/drawingml/2006/picture">
            <wp:extent cx="687600" cy="687600"/>
            <wp:docPr id="13" name="Picture 13"/>
            <wp:cNvGraphicFramePr>
              <a:graphicFrameLocks noChangeAspect="1"/>
            </wp:cNvGraphicFramePr>
            <a:graphic>
              <a:graphicData uri="http://schemas.openxmlformats.org/drawingml/2006/picture">
                <pic:pic>
                  <pic:nvPicPr>
                    <pic:cNvPr id="0" name="9026296861c44aee.png"/>
                    <pic:cNvPicPr/>
                  </pic:nvPicPr>
                  <pic:blipFill>
                    <a:blip r:embed="rId80"/>
                    <a:stretch>
                      <a:fillRect/>
                    </a:stretch>
                  </pic:blipFill>
                  <pic:spPr>
                    <a:xfrm>
                      <a:off x="0" y="0"/>
                      <a:ext cx="687600" cy="687600"/>
                    </a:xfrm>
                    <a:prstGeom prst="rect"/>
                  </pic:spPr>
                </pic:pic>
              </a:graphicData>
            </a:graphic>
          </wp:inline>
        </w:drawing>
      </w:r>
    </w:p>
    <w:p>
      <w:pPr>
        <w:pStyle w:val="DocCaption"/>
      </w:pPr>
      <w:r>
        <w:t>图13  Belgium</w:t>
      </w:r>
    </w:p>
    <w:p>
      <w:pPr>
        <w:jc w:val="center"/>
      </w:pPr>
      <w:r>
        <w:drawing>
          <wp:inline xmlns:a="http://schemas.openxmlformats.org/drawingml/2006/main" xmlns:pic="http://schemas.openxmlformats.org/drawingml/2006/picture">
            <wp:extent cx="687600" cy="687600"/>
            <wp:docPr id="14" name="Picture 14"/>
            <wp:cNvGraphicFramePr>
              <a:graphicFrameLocks noChangeAspect="1"/>
            </wp:cNvGraphicFramePr>
            <a:graphic>
              <a:graphicData uri="http://schemas.openxmlformats.org/drawingml/2006/picture">
                <pic:pic>
                  <pic:nvPicPr>
                    <pic:cNvPr id="0" name="0764714b004f3dcb.png"/>
                    <pic:cNvPicPr/>
                  </pic:nvPicPr>
                  <pic:blipFill>
                    <a:blip r:embed="rId81"/>
                    <a:stretch>
                      <a:fillRect/>
                    </a:stretch>
                  </pic:blipFill>
                  <pic:spPr>
                    <a:xfrm>
                      <a:off x="0" y="0"/>
                      <a:ext cx="687600" cy="687600"/>
                    </a:xfrm>
                    <a:prstGeom prst="rect"/>
                  </pic:spPr>
                </pic:pic>
              </a:graphicData>
            </a:graphic>
          </wp:inline>
        </w:drawing>
      </w:r>
    </w:p>
    <w:p>
      <w:pPr>
        <w:pStyle w:val="DocCaption"/>
      </w:pPr>
      <w:r>
        <w:t>图14  Denmark</w:t>
      </w:r>
    </w:p>
    <w:p>
      <w:pPr>
        <w:jc w:val="center"/>
      </w:pPr>
      <w:r>
        <w:drawing>
          <wp:inline xmlns:a="http://schemas.openxmlformats.org/drawingml/2006/main" xmlns:pic="http://schemas.openxmlformats.org/drawingml/2006/picture">
            <wp:extent cx="687600" cy="687600"/>
            <wp:docPr id="15" name="Picture 15"/>
            <wp:cNvGraphicFramePr>
              <a:graphicFrameLocks noChangeAspect="1"/>
            </wp:cNvGraphicFramePr>
            <a:graphic>
              <a:graphicData uri="http://schemas.openxmlformats.org/drawingml/2006/picture">
                <pic:pic>
                  <pic:nvPicPr>
                    <pic:cNvPr id="0" name="700cca28e96f8ab5.png"/>
                    <pic:cNvPicPr/>
                  </pic:nvPicPr>
                  <pic:blipFill>
                    <a:blip r:embed="rId82"/>
                    <a:stretch>
                      <a:fillRect/>
                    </a:stretch>
                  </pic:blipFill>
                  <pic:spPr>
                    <a:xfrm>
                      <a:off x="0" y="0"/>
                      <a:ext cx="687600" cy="687600"/>
                    </a:xfrm>
                    <a:prstGeom prst="rect"/>
                  </pic:spPr>
                </pic:pic>
              </a:graphicData>
            </a:graphic>
          </wp:inline>
        </w:drawing>
      </w:r>
    </w:p>
    <w:p>
      <w:pPr>
        <w:pStyle w:val="DocCaption"/>
      </w:pPr>
      <w:r>
        <w:t>图15  Spain</w:t>
      </w:r>
    </w:p>
    <w:p>
      <w:pPr>
        <w:jc w:val="center"/>
      </w:pPr>
      <w:r>
        <w:drawing>
          <wp:inline xmlns:a="http://schemas.openxmlformats.org/drawingml/2006/main" xmlns:pic="http://schemas.openxmlformats.org/drawingml/2006/picture">
            <wp:extent cx="687600" cy="687600"/>
            <wp:docPr id="16" name="Picture 16"/>
            <wp:cNvGraphicFramePr>
              <a:graphicFrameLocks noChangeAspect="1"/>
            </wp:cNvGraphicFramePr>
            <a:graphic>
              <a:graphicData uri="http://schemas.openxmlformats.org/drawingml/2006/picture">
                <pic:pic>
                  <pic:nvPicPr>
                    <pic:cNvPr id="0" name="9c8cc5731275f711.png"/>
                    <pic:cNvPicPr/>
                  </pic:nvPicPr>
                  <pic:blipFill>
                    <a:blip r:embed="rId83"/>
                    <a:stretch>
                      <a:fillRect/>
                    </a:stretch>
                  </pic:blipFill>
                  <pic:spPr>
                    <a:xfrm>
                      <a:off x="0" y="0"/>
                      <a:ext cx="687600" cy="687600"/>
                    </a:xfrm>
                    <a:prstGeom prst="rect"/>
                  </pic:spPr>
                </pic:pic>
              </a:graphicData>
            </a:graphic>
          </wp:inline>
        </w:drawing>
      </w:r>
    </w:p>
    <w:p>
      <w:pPr>
        <w:pStyle w:val="DocCaption"/>
      </w:pPr>
      <w:r>
        <w:t>图16  Estonia</w:t>
      </w:r>
    </w:p>
    <w:p>
      <w:pPr>
        <w:jc w:val="center"/>
      </w:pPr>
      <w:r>
        <w:drawing>
          <wp:inline xmlns:a="http://schemas.openxmlformats.org/drawingml/2006/main" xmlns:pic="http://schemas.openxmlformats.org/drawingml/2006/picture">
            <wp:extent cx="687600" cy="687600"/>
            <wp:docPr id="17" name="Picture 17"/>
            <wp:cNvGraphicFramePr>
              <a:graphicFrameLocks noChangeAspect="1"/>
            </wp:cNvGraphicFramePr>
            <a:graphic>
              <a:graphicData uri="http://schemas.openxmlformats.org/drawingml/2006/picture">
                <pic:pic>
                  <pic:nvPicPr>
                    <pic:cNvPr id="0" name="92a581ab741aa864.png"/>
                    <pic:cNvPicPr/>
                  </pic:nvPicPr>
                  <pic:blipFill>
                    <a:blip r:embed="rId84"/>
                    <a:stretch>
                      <a:fillRect/>
                    </a:stretch>
                  </pic:blipFill>
                  <pic:spPr>
                    <a:xfrm>
                      <a:off x="0" y="0"/>
                      <a:ext cx="687600" cy="687600"/>
                    </a:xfrm>
                    <a:prstGeom prst="rect"/>
                  </pic:spPr>
                </pic:pic>
              </a:graphicData>
            </a:graphic>
          </wp:inline>
        </w:drawing>
      </w:r>
    </w:p>
    <w:p>
      <w:pPr>
        <w:pStyle w:val="DocCaption"/>
      </w:pPr>
      <w:r>
        <w:t>图17  Finland</w:t>
      </w:r>
    </w:p>
    <w:p>
      <w:pPr>
        <w:jc w:val="center"/>
      </w:pPr>
      <w:r>
        <w:drawing>
          <wp:inline xmlns:a="http://schemas.openxmlformats.org/drawingml/2006/main" xmlns:pic="http://schemas.openxmlformats.org/drawingml/2006/picture">
            <wp:extent cx="687600" cy="687600"/>
            <wp:docPr id="18" name="Picture 18"/>
            <wp:cNvGraphicFramePr>
              <a:graphicFrameLocks noChangeAspect="1"/>
            </wp:cNvGraphicFramePr>
            <a:graphic>
              <a:graphicData uri="http://schemas.openxmlformats.org/drawingml/2006/picture">
                <pic:pic>
                  <pic:nvPicPr>
                    <pic:cNvPr id="0" name="a6ff0699264f73e3.png"/>
                    <pic:cNvPicPr/>
                  </pic:nvPicPr>
                  <pic:blipFill>
                    <a:blip r:embed="rId85"/>
                    <a:stretch>
                      <a:fillRect/>
                    </a:stretch>
                  </pic:blipFill>
                  <pic:spPr>
                    <a:xfrm>
                      <a:off x="0" y="0"/>
                      <a:ext cx="687600" cy="687600"/>
                    </a:xfrm>
                    <a:prstGeom prst="rect"/>
                  </pic:spPr>
                </pic:pic>
              </a:graphicData>
            </a:graphic>
          </wp:inline>
        </w:drawing>
      </w:r>
    </w:p>
    <w:p>
      <w:pPr>
        <w:pStyle w:val="DocCaption"/>
      </w:pPr>
      <w:r>
        <w:t>图18  France</w:t>
      </w:r>
    </w:p>
    <w:p>
      <w:pPr>
        <w:jc w:val="center"/>
      </w:pPr>
      <w:r>
        <w:drawing>
          <wp:inline xmlns:a="http://schemas.openxmlformats.org/drawingml/2006/main" xmlns:pic="http://schemas.openxmlformats.org/drawingml/2006/picture">
            <wp:extent cx="687600" cy="687600"/>
            <wp:docPr id="19" name="Picture 19"/>
            <wp:cNvGraphicFramePr>
              <a:graphicFrameLocks noChangeAspect="1"/>
            </wp:cNvGraphicFramePr>
            <a:graphic>
              <a:graphicData uri="http://schemas.openxmlformats.org/drawingml/2006/picture">
                <pic:pic>
                  <pic:nvPicPr>
                    <pic:cNvPr id="0" name="1c30b5a95d1c0e5e.png"/>
                    <pic:cNvPicPr/>
                  </pic:nvPicPr>
                  <pic:blipFill>
                    <a:blip r:embed="rId86"/>
                    <a:stretch>
                      <a:fillRect/>
                    </a:stretch>
                  </pic:blipFill>
                  <pic:spPr>
                    <a:xfrm>
                      <a:off x="0" y="0"/>
                      <a:ext cx="687600" cy="687600"/>
                    </a:xfrm>
                    <a:prstGeom prst="rect"/>
                  </pic:spPr>
                </pic:pic>
              </a:graphicData>
            </a:graphic>
          </wp:inline>
        </w:drawing>
      </w:r>
    </w:p>
    <w:p>
      <w:pPr>
        <w:pStyle w:val="DocCaption"/>
      </w:pPr>
      <w:r>
        <w:t>图19  Greece</w:t>
      </w:r>
    </w:p>
    <w:p>
      <w:pPr>
        <w:jc w:val="center"/>
      </w:pPr>
      <w:r>
        <w:drawing>
          <wp:inline xmlns:a="http://schemas.openxmlformats.org/drawingml/2006/main" xmlns:pic="http://schemas.openxmlformats.org/drawingml/2006/picture">
            <wp:extent cx="687600" cy="687600"/>
            <wp:docPr id="20" name="Picture 20"/>
            <wp:cNvGraphicFramePr>
              <a:graphicFrameLocks noChangeAspect="1"/>
            </wp:cNvGraphicFramePr>
            <a:graphic>
              <a:graphicData uri="http://schemas.openxmlformats.org/drawingml/2006/picture">
                <pic:pic>
                  <pic:nvPicPr>
                    <pic:cNvPr id="0" name="31ec412112bb84ba.png"/>
                    <pic:cNvPicPr/>
                  </pic:nvPicPr>
                  <pic:blipFill>
                    <a:blip r:embed="rId87"/>
                    <a:stretch>
                      <a:fillRect/>
                    </a:stretch>
                  </pic:blipFill>
                  <pic:spPr>
                    <a:xfrm>
                      <a:off x="0" y="0"/>
                      <a:ext cx="687600" cy="687600"/>
                    </a:xfrm>
                    <a:prstGeom prst="rect"/>
                  </pic:spPr>
                </pic:pic>
              </a:graphicData>
            </a:graphic>
          </wp:inline>
        </w:drawing>
      </w:r>
    </w:p>
    <w:p>
      <w:pPr>
        <w:pStyle w:val="DocCaption"/>
      </w:pPr>
      <w:r>
        <w:t>图20  Hungary</w:t>
      </w:r>
    </w:p>
    <w:p>
      <w:pPr>
        <w:jc w:val="center"/>
      </w:pPr>
      <w:r>
        <w:drawing>
          <wp:inline xmlns:a="http://schemas.openxmlformats.org/drawingml/2006/main" xmlns:pic="http://schemas.openxmlformats.org/drawingml/2006/picture">
            <wp:extent cx="687600" cy="687600"/>
            <wp:docPr id="21" name="Picture 21"/>
            <wp:cNvGraphicFramePr>
              <a:graphicFrameLocks noChangeAspect="1"/>
            </wp:cNvGraphicFramePr>
            <a:graphic>
              <a:graphicData uri="http://schemas.openxmlformats.org/drawingml/2006/picture">
                <pic:pic>
                  <pic:nvPicPr>
                    <pic:cNvPr id="0" name="02f1b8863216c38f.png"/>
                    <pic:cNvPicPr/>
                  </pic:nvPicPr>
                  <pic:blipFill>
                    <a:blip r:embed="rId88"/>
                    <a:stretch>
                      <a:fillRect/>
                    </a:stretch>
                  </pic:blipFill>
                  <pic:spPr>
                    <a:xfrm>
                      <a:off x="0" y="0"/>
                      <a:ext cx="687600" cy="687600"/>
                    </a:xfrm>
                    <a:prstGeom prst="rect"/>
                  </pic:spPr>
                </pic:pic>
              </a:graphicData>
            </a:graphic>
          </wp:inline>
        </w:drawing>
      </w:r>
    </w:p>
    <w:p>
      <w:pPr>
        <w:pStyle w:val="DocCaption"/>
      </w:pPr>
      <w:r>
        <w:t>图21  Ireland</w:t>
      </w:r>
    </w:p>
    <w:p>
      <w:pPr>
        <w:jc w:val="center"/>
      </w:pPr>
      <w:r>
        <w:drawing>
          <wp:inline xmlns:a="http://schemas.openxmlformats.org/drawingml/2006/main" xmlns:pic="http://schemas.openxmlformats.org/drawingml/2006/picture">
            <wp:extent cx="687600" cy="687600"/>
            <wp:docPr id="22" name="Picture 22"/>
            <wp:cNvGraphicFramePr>
              <a:graphicFrameLocks noChangeAspect="1"/>
            </wp:cNvGraphicFramePr>
            <a:graphic>
              <a:graphicData uri="http://schemas.openxmlformats.org/drawingml/2006/picture">
                <pic:pic>
                  <pic:nvPicPr>
                    <pic:cNvPr id="0" name="3395bc2733e30e10.png"/>
                    <pic:cNvPicPr/>
                  </pic:nvPicPr>
                  <pic:blipFill>
                    <a:blip r:embed="rId89"/>
                    <a:stretch>
                      <a:fillRect/>
                    </a:stretch>
                  </pic:blipFill>
                  <pic:spPr>
                    <a:xfrm>
                      <a:off x="0" y="0"/>
                      <a:ext cx="687600" cy="687600"/>
                    </a:xfrm>
                    <a:prstGeom prst="rect"/>
                  </pic:spPr>
                </pic:pic>
              </a:graphicData>
            </a:graphic>
          </wp:inline>
        </w:drawing>
      </w:r>
    </w:p>
    <w:p>
      <w:pPr>
        <w:pStyle w:val="DocCaption"/>
      </w:pPr>
      <w:r>
        <w:t>图22  Italy</w:t>
      </w:r>
    </w:p>
    <w:p>
      <w:pPr>
        <w:jc w:val="center"/>
      </w:pPr>
      <w:r>
        <w:drawing>
          <wp:inline xmlns:a="http://schemas.openxmlformats.org/drawingml/2006/main" xmlns:pic="http://schemas.openxmlformats.org/drawingml/2006/picture">
            <wp:extent cx="687600" cy="687600"/>
            <wp:docPr id="23" name="Picture 23"/>
            <wp:cNvGraphicFramePr>
              <a:graphicFrameLocks noChangeAspect="1"/>
            </wp:cNvGraphicFramePr>
            <a:graphic>
              <a:graphicData uri="http://schemas.openxmlformats.org/drawingml/2006/picture">
                <pic:pic>
                  <pic:nvPicPr>
                    <pic:cNvPr id="0" name="70d00116a809f8d9.png"/>
                    <pic:cNvPicPr/>
                  </pic:nvPicPr>
                  <pic:blipFill>
                    <a:blip r:embed="rId90"/>
                    <a:stretch>
                      <a:fillRect/>
                    </a:stretch>
                  </pic:blipFill>
                  <pic:spPr>
                    <a:xfrm>
                      <a:off x="0" y="0"/>
                      <a:ext cx="687600" cy="687600"/>
                    </a:xfrm>
                    <a:prstGeom prst="rect"/>
                  </pic:spPr>
                </pic:pic>
              </a:graphicData>
            </a:graphic>
          </wp:inline>
        </w:drawing>
      </w:r>
    </w:p>
    <w:p>
      <w:pPr>
        <w:pStyle w:val="DocCaption"/>
      </w:pPr>
      <w:r>
        <w:t>图23  Luxembourg</w:t>
      </w:r>
    </w:p>
    <w:p>
      <w:pPr>
        <w:jc w:val="center"/>
      </w:pPr>
      <w:r>
        <w:drawing>
          <wp:inline xmlns:a="http://schemas.openxmlformats.org/drawingml/2006/main" xmlns:pic="http://schemas.openxmlformats.org/drawingml/2006/picture">
            <wp:extent cx="687600" cy="687600"/>
            <wp:docPr id="24" name="Picture 24"/>
            <wp:cNvGraphicFramePr>
              <a:graphicFrameLocks noChangeAspect="1"/>
            </wp:cNvGraphicFramePr>
            <a:graphic>
              <a:graphicData uri="http://schemas.openxmlformats.org/drawingml/2006/picture">
                <pic:pic>
                  <pic:nvPicPr>
                    <pic:cNvPr id="0" name="8b7efb05580c03e8.png"/>
                    <pic:cNvPicPr/>
                  </pic:nvPicPr>
                  <pic:blipFill>
                    <a:blip r:embed="rId91"/>
                    <a:stretch>
                      <a:fillRect/>
                    </a:stretch>
                  </pic:blipFill>
                  <pic:spPr>
                    <a:xfrm>
                      <a:off x="0" y="0"/>
                      <a:ext cx="687600" cy="687600"/>
                    </a:xfrm>
                    <a:prstGeom prst="rect"/>
                  </pic:spPr>
                </pic:pic>
              </a:graphicData>
            </a:graphic>
          </wp:inline>
        </w:drawing>
      </w:r>
    </w:p>
    <w:p>
      <w:pPr>
        <w:pStyle w:val="DocCaption"/>
      </w:pPr>
      <w:r>
        <w:t>图24  Norway</w:t>
      </w:r>
    </w:p>
    <w:p>
      <w:pPr>
        <w:jc w:val="center"/>
      </w:pPr>
      <w:r>
        <w:drawing>
          <wp:inline xmlns:a="http://schemas.openxmlformats.org/drawingml/2006/main" xmlns:pic="http://schemas.openxmlformats.org/drawingml/2006/picture">
            <wp:extent cx="687600" cy="687600"/>
            <wp:docPr id="25" name="Picture 25"/>
            <wp:cNvGraphicFramePr>
              <a:graphicFrameLocks noChangeAspect="1"/>
            </wp:cNvGraphicFramePr>
            <a:graphic>
              <a:graphicData uri="http://schemas.openxmlformats.org/drawingml/2006/picture">
                <pic:pic>
                  <pic:nvPicPr>
                    <pic:cNvPr id="0" name="2cafe5ce78d5ce93.png"/>
                    <pic:cNvPicPr/>
                  </pic:nvPicPr>
                  <pic:blipFill>
                    <a:blip r:embed="rId92"/>
                    <a:stretch>
                      <a:fillRect/>
                    </a:stretch>
                  </pic:blipFill>
                  <pic:spPr>
                    <a:xfrm>
                      <a:off x="0" y="0"/>
                      <a:ext cx="687600" cy="687600"/>
                    </a:xfrm>
                    <a:prstGeom prst="rect"/>
                  </pic:spPr>
                </pic:pic>
              </a:graphicData>
            </a:graphic>
          </wp:inline>
        </w:drawing>
      </w:r>
    </w:p>
    <w:p>
      <w:pPr>
        <w:pStyle w:val="DocCaption"/>
      </w:pPr>
      <w:r>
        <w:t>图25  The Netherlands</w:t>
      </w:r>
    </w:p>
    <w:p>
      <w:pPr>
        <w:jc w:val="center"/>
      </w:pPr>
      <w:r>
        <w:drawing>
          <wp:inline xmlns:a="http://schemas.openxmlformats.org/drawingml/2006/main" xmlns:pic="http://schemas.openxmlformats.org/drawingml/2006/picture">
            <wp:extent cx="687600" cy="687600"/>
            <wp:docPr id="26" name="Picture 26"/>
            <wp:cNvGraphicFramePr>
              <a:graphicFrameLocks noChangeAspect="1"/>
            </wp:cNvGraphicFramePr>
            <a:graphic>
              <a:graphicData uri="http://schemas.openxmlformats.org/drawingml/2006/picture">
                <pic:pic>
                  <pic:nvPicPr>
                    <pic:cNvPr id="0" name="af834b1fb2597e8a.png"/>
                    <pic:cNvPicPr/>
                  </pic:nvPicPr>
                  <pic:blipFill>
                    <a:blip r:embed="rId93"/>
                    <a:stretch>
                      <a:fillRect/>
                    </a:stretch>
                  </pic:blipFill>
                  <pic:spPr>
                    <a:xfrm>
                      <a:off x="0" y="0"/>
                      <a:ext cx="687600" cy="687600"/>
                    </a:xfrm>
                    <a:prstGeom prst="rect"/>
                  </pic:spPr>
                </pic:pic>
              </a:graphicData>
            </a:graphic>
          </wp:inline>
        </w:drawing>
      </w:r>
    </w:p>
    <w:p>
      <w:pPr>
        <w:pStyle w:val="DocCaption"/>
      </w:pPr>
      <w:r>
        <w:t>图26  Poland</w:t>
      </w:r>
    </w:p>
    <w:p>
      <w:pPr>
        <w:jc w:val="center"/>
      </w:pPr>
      <w:r>
        <w:drawing>
          <wp:inline xmlns:a="http://schemas.openxmlformats.org/drawingml/2006/main" xmlns:pic="http://schemas.openxmlformats.org/drawingml/2006/picture">
            <wp:extent cx="687600" cy="687600"/>
            <wp:docPr id="27" name="Picture 27"/>
            <wp:cNvGraphicFramePr>
              <a:graphicFrameLocks noChangeAspect="1"/>
            </wp:cNvGraphicFramePr>
            <a:graphic>
              <a:graphicData uri="http://schemas.openxmlformats.org/drawingml/2006/picture">
                <pic:pic>
                  <pic:nvPicPr>
                    <pic:cNvPr id="0" name="eb28a3f863e40b40.png"/>
                    <pic:cNvPicPr/>
                  </pic:nvPicPr>
                  <pic:blipFill>
                    <a:blip r:embed="rId94"/>
                    <a:stretch>
                      <a:fillRect/>
                    </a:stretch>
                  </pic:blipFill>
                  <pic:spPr>
                    <a:xfrm>
                      <a:off x="0" y="0"/>
                      <a:ext cx="687600" cy="687600"/>
                    </a:xfrm>
                    <a:prstGeom prst="rect"/>
                  </pic:spPr>
                </pic:pic>
              </a:graphicData>
            </a:graphic>
          </wp:inline>
        </w:drawing>
      </w:r>
    </w:p>
    <w:p>
      <w:pPr>
        <w:pStyle w:val="DocCaption"/>
      </w:pPr>
      <w:r>
        <w:t>图27  Portugal</w:t>
      </w:r>
    </w:p>
    <w:p>
      <w:pPr>
        <w:jc w:val="center"/>
      </w:pPr>
      <w:r>
        <w:drawing>
          <wp:inline xmlns:a="http://schemas.openxmlformats.org/drawingml/2006/main" xmlns:pic="http://schemas.openxmlformats.org/drawingml/2006/picture">
            <wp:extent cx="687600" cy="687600"/>
            <wp:docPr id="28" name="Picture 28"/>
            <wp:cNvGraphicFramePr>
              <a:graphicFrameLocks noChangeAspect="1"/>
            </wp:cNvGraphicFramePr>
            <a:graphic>
              <a:graphicData uri="http://schemas.openxmlformats.org/drawingml/2006/picture">
                <pic:pic>
                  <pic:nvPicPr>
                    <pic:cNvPr id="0" name="1c797b982d5e1739.png"/>
                    <pic:cNvPicPr/>
                  </pic:nvPicPr>
                  <pic:blipFill>
                    <a:blip r:embed="rId95"/>
                    <a:stretch>
                      <a:fillRect/>
                    </a:stretch>
                  </pic:blipFill>
                  <pic:spPr>
                    <a:xfrm>
                      <a:off x="0" y="0"/>
                      <a:ext cx="687600" cy="687600"/>
                    </a:xfrm>
                    <a:prstGeom prst="rect"/>
                  </pic:spPr>
                </pic:pic>
              </a:graphicData>
            </a:graphic>
          </wp:inline>
        </w:drawing>
      </w:r>
    </w:p>
    <w:p>
      <w:pPr>
        <w:pStyle w:val="DocCaption"/>
      </w:pPr>
      <w:r>
        <w:t>图28  Czechia</w:t>
      </w:r>
    </w:p>
    <w:p>
      <w:pPr>
        <w:jc w:val="center"/>
      </w:pPr>
      <w:r>
        <w:drawing>
          <wp:inline xmlns:a="http://schemas.openxmlformats.org/drawingml/2006/main" xmlns:pic="http://schemas.openxmlformats.org/drawingml/2006/picture">
            <wp:extent cx="687600" cy="687600"/>
            <wp:docPr id="29" name="Picture 29"/>
            <wp:cNvGraphicFramePr>
              <a:graphicFrameLocks noChangeAspect="1"/>
            </wp:cNvGraphicFramePr>
            <a:graphic>
              <a:graphicData uri="http://schemas.openxmlformats.org/drawingml/2006/picture">
                <pic:pic>
                  <pic:nvPicPr>
                    <pic:cNvPr id="0" name="dd146d6547edca06.png"/>
                    <pic:cNvPicPr/>
                  </pic:nvPicPr>
                  <pic:blipFill>
                    <a:blip r:embed="rId96"/>
                    <a:stretch>
                      <a:fillRect/>
                    </a:stretch>
                  </pic:blipFill>
                  <pic:spPr>
                    <a:xfrm>
                      <a:off x="0" y="0"/>
                      <a:ext cx="687600" cy="687600"/>
                    </a:xfrm>
                    <a:prstGeom prst="rect"/>
                  </pic:spPr>
                </pic:pic>
              </a:graphicData>
            </a:graphic>
          </wp:inline>
        </w:drawing>
      </w:r>
    </w:p>
    <w:p>
      <w:pPr>
        <w:pStyle w:val="DocCaption"/>
      </w:pPr>
      <w:r>
        <w:t>图29  Romania</w:t>
      </w:r>
    </w:p>
    <w:p>
      <w:pPr>
        <w:jc w:val="center"/>
      </w:pPr>
      <w:r>
        <w:drawing>
          <wp:inline xmlns:a="http://schemas.openxmlformats.org/drawingml/2006/main" xmlns:pic="http://schemas.openxmlformats.org/drawingml/2006/picture">
            <wp:extent cx="687600" cy="687600"/>
            <wp:docPr id="30" name="Picture 30"/>
            <wp:cNvGraphicFramePr>
              <a:graphicFrameLocks noChangeAspect="1"/>
            </wp:cNvGraphicFramePr>
            <a:graphic>
              <a:graphicData uri="http://schemas.openxmlformats.org/drawingml/2006/picture">
                <pic:pic>
                  <pic:nvPicPr>
                    <pic:cNvPr id="0" name="9bb16af629f98a9c.png"/>
                    <pic:cNvPicPr/>
                  </pic:nvPicPr>
                  <pic:blipFill>
                    <a:blip r:embed="rId97"/>
                    <a:stretch>
                      <a:fillRect/>
                    </a:stretch>
                  </pic:blipFill>
                  <pic:spPr>
                    <a:xfrm>
                      <a:off x="0" y="0"/>
                      <a:ext cx="687600" cy="687600"/>
                    </a:xfrm>
                    <a:prstGeom prst="rect"/>
                  </pic:spPr>
                </pic:pic>
              </a:graphicData>
            </a:graphic>
          </wp:inline>
        </w:drawing>
      </w:r>
    </w:p>
    <w:p>
      <w:pPr>
        <w:pStyle w:val="DocCaption"/>
      </w:pPr>
      <w:r>
        <w:t>图30  United Kingdom</w:t>
      </w:r>
    </w:p>
    <w:p>
      <w:pPr>
        <w:jc w:val="center"/>
      </w:pPr>
      <w:r>
        <w:drawing>
          <wp:inline xmlns:a="http://schemas.openxmlformats.org/drawingml/2006/main" xmlns:pic="http://schemas.openxmlformats.org/drawingml/2006/picture">
            <wp:extent cx="219600" cy="219600"/>
            <wp:docPr id="31" name="Picture 31"/>
            <wp:cNvGraphicFramePr>
              <a:graphicFrameLocks noChangeAspect="1"/>
            </wp:cNvGraphicFramePr>
            <a:graphic>
              <a:graphicData uri="http://schemas.openxmlformats.org/drawingml/2006/picture">
                <pic:pic>
                  <pic:nvPicPr>
                    <pic:cNvPr id="0" name="2dc3356b5463d292.png"/>
                    <pic:cNvPicPr/>
                  </pic:nvPicPr>
                  <pic:blipFill>
                    <a:blip r:embed="rId98"/>
                    <a:stretch>
                      <a:fillRect/>
                    </a:stretch>
                  </pic:blipFill>
                  <pic:spPr>
                    <a:xfrm>
                      <a:off x="0" y="0"/>
                      <a:ext cx="219600" cy="219600"/>
                    </a:xfrm>
                    <a:prstGeom prst="rect"/>
                  </pic:spPr>
                </pic:pic>
              </a:graphicData>
            </a:graphic>
          </wp:inline>
        </w:drawing>
      </w:r>
    </w:p>
    <w:p>
      <w:pPr>
        <w:pStyle w:val="DocCaption"/>
      </w:pPr>
      <w:r>
        <w:t>图31  Slovenia</w:t>
      </w:r>
    </w:p>
    <w:p>
      <w:pPr>
        <w:jc w:val="center"/>
      </w:pPr>
      <w:r>
        <w:drawing>
          <wp:inline xmlns:a="http://schemas.openxmlformats.org/drawingml/2006/main" xmlns:pic="http://schemas.openxmlformats.org/drawingml/2006/picture">
            <wp:extent cx="687600" cy="687600"/>
            <wp:docPr id="32" name="Picture 32"/>
            <wp:cNvGraphicFramePr>
              <a:graphicFrameLocks noChangeAspect="1"/>
            </wp:cNvGraphicFramePr>
            <a:graphic>
              <a:graphicData uri="http://schemas.openxmlformats.org/drawingml/2006/picture">
                <pic:pic>
                  <pic:nvPicPr>
                    <pic:cNvPr id="0" name="3bab26837665117f.png"/>
                    <pic:cNvPicPr/>
                  </pic:nvPicPr>
                  <pic:blipFill>
                    <a:blip r:embed="rId99"/>
                    <a:stretch>
                      <a:fillRect/>
                    </a:stretch>
                  </pic:blipFill>
                  <pic:spPr>
                    <a:xfrm>
                      <a:off x="0" y="0"/>
                      <a:ext cx="687600" cy="687600"/>
                    </a:xfrm>
                    <a:prstGeom prst="rect"/>
                  </pic:spPr>
                </pic:pic>
              </a:graphicData>
            </a:graphic>
          </wp:inline>
        </w:drawing>
      </w:r>
    </w:p>
    <w:p>
      <w:pPr>
        <w:pStyle w:val="DocCaption"/>
      </w:pPr>
      <w:r>
        <w:t>图32  Sweden</w:t>
      </w:r>
    </w:p>
    <w:p>
      <w:pPr>
        <w:jc w:val="center"/>
      </w:pPr>
      <w:r>
        <w:drawing>
          <wp:inline xmlns:a="http://schemas.openxmlformats.org/drawingml/2006/main" xmlns:pic="http://schemas.openxmlformats.org/drawingml/2006/picture">
            <wp:extent cx="687600" cy="687600"/>
            <wp:docPr id="33" name="Picture 33"/>
            <wp:cNvGraphicFramePr>
              <a:graphicFrameLocks noChangeAspect="1"/>
            </wp:cNvGraphicFramePr>
            <a:graphic>
              <a:graphicData uri="http://schemas.openxmlformats.org/drawingml/2006/picture">
                <pic:pic>
                  <pic:nvPicPr>
                    <pic:cNvPr id="0" name="4c63bc90611fb16d.png"/>
                    <pic:cNvPicPr/>
                  </pic:nvPicPr>
                  <pic:blipFill>
                    <a:blip r:embed="rId100"/>
                    <a:stretch>
                      <a:fillRect/>
                    </a:stretch>
                  </pic:blipFill>
                  <pic:spPr>
                    <a:xfrm>
                      <a:off x="0" y="0"/>
                      <a:ext cx="687600" cy="687600"/>
                    </a:xfrm>
                    <a:prstGeom prst="rect"/>
                  </pic:spPr>
                </pic:pic>
              </a:graphicData>
            </a:graphic>
          </wp:inline>
        </w:drawing>
      </w:r>
    </w:p>
    <w:p>
      <w:pPr>
        <w:pStyle w:val="DocCaption"/>
      </w:pPr>
      <w:r>
        <w:t>图33  Switzerland</w:t>
      </w:r>
    </w:p>
    <w:p>
      <w:pPr>
        <w:pStyle w:val="DocH1"/>
      </w:pPr>
      <w:hyperlink r:id="rId101">
        <w:r>
          <w:rPr>
            <w:rFonts w:ascii="Times New Roman" w:hAnsi="Times New Roman" w:eastAsia="宋体"/>
            <w:color w:val="0563C1"/>
            <w:sz w:val="24"/>
            <w:u w:val="single"/>
          </w:rPr>
          <w:t>Science &amp; Exploration</w:t>
        </w:r>
      </w:hyperlink>
    </w:p>
    <w:p>
      <w:pPr>
        <w:pStyle w:val="DocBody"/>
      </w:pPr>
      <w:r>
        <w:rPr>
          <w:rFonts w:ascii="Times New Roman" w:hAnsi="Times New Roman" w:eastAsia="宋体"/>
          <w:sz w:val="24"/>
        </w:rPr>
        <w:t xml:space="preserve">Exploring our Solar System and unlocking the secrets of the Universe </w:t>
      </w:r>
      <w:hyperlink r:id="rId101">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Programmes</w:t>
      </w:r>
    </w:p>
    <w:p>
      <w:pPr>
        <w:pStyle w:val="DocBody"/>
      </w:pPr>
      <w:hyperlink r:id="rId102">
        <w:r>
          <w:rPr>
            <w:rFonts w:ascii="Times New Roman" w:hAnsi="Times New Roman" w:eastAsia="宋体"/>
            <w:color w:val="0563C1"/>
            <w:sz w:val="24"/>
            <w:u w:val="single"/>
          </w:rPr>
          <w:t>Space Science</w:t>
        </w:r>
      </w:hyperlink>
      <w:r>
        <w:rPr>
          <w:rFonts w:ascii="Times New Roman" w:hAnsi="Times New Roman" w:eastAsia="宋体"/>
          <w:sz w:val="24"/>
        </w:rPr>
        <w:t xml:space="preserve"> </w:t>
      </w:r>
      <w:hyperlink r:id="rId103">
        <w:r>
          <w:rPr>
            <w:rFonts w:ascii="Times New Roman" w:hAnsi="Times New Roman" w:eastAsia="宋体"/>
            <w:color w:val="0563C1"/>
            <w:sz w:val="24"/>
            <w:u w:val="single"/>
          </w:rPr>
          <w:t>Human and Robotic Exploration</w:t>
        </w:r>
      </w:hyperlink>
    </w:p>
    <w:p>
      <w:pPr>
        <w:pStyle w:val="DocH1"/>
      </w:pPr>
      <w:r>
        <w:rPr>
          <w:rFonts w:ascii="Times New Roman" w:hAnsi="Times New Roman" w:eastAsia="宋体"/>
          <w:sz w:val="24"/>
        </w:rPr>
        <w:t>Astronauts</w:t>
      </w:r>
    </w:p>
    <w:p>
      <w:pPr>
        <w:jc w:val="center"/>
      </w:pPr>
      <w:r>
        <w:drawing>
          <wp:inline xmlns:a="http://schemas.openxmlformats.org/drawingml/2006/main" xmlns:pic="http://schemas.openxmlformats.org/drawingml/2006/picture">
            <wp:extent cx="4230000" cy="2381757"/>
            <wp:docPr id="34" name="Picture 34"/>
            <wp:cNvGraphicFramePr>
              <a:graphicFrameLocks noChangeAspect="1"/>
            </wp:cNvGraphicFramePr>
            <a:graphic>
              <a:graphicData uri="http://schemas.openxmlformats.org/drawingml/2006/picture">
                <pic:pic>
                  <pic:nvPicPr>
                    <pic:cNvPr id="0" name="c91e443d1f359e0e.png"/>
                    <pic:cNvPicPr/>
                  </pic:nvPicPr>
                  <pic:blipFill>
                    <a:blip r:embed="rId104"/>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5" name="Picture 35"/>
            <wp:cNvGraphicFramePr>
              <a:graphicFrameLocks noChangeAspect="1"/>
            </wp:cNvGraphicFramePr>
            <a:graphic>
              <a:graphicData uri="http://schemas.openxmlformats.org/drawingml/2006/picture">
                <pic:pic>
                  <pic:nvPicPr>
                    <pic:cNvPr id="0" name="79decf5fad6ba95a.png"/>
                    <pic:cNvPicPr/>
                  </pic:nvPicPr>
                  <pic:blipFill>
                    <a:blip r:embed="rId105"/>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6" name="Picture 36"/>
            <wp:cNvGraphicFramePr>
              <a:graphicFrameLocks noChangeAspect="1"/>
            </wp:cNvGraphicFramePr>
            <a:graphic>
              <a:graphicData uri="http://schemas.openxmlformats.org/drawingml/2006/picture">
                <pic:pic>
                  <pic:nvPicPr>
                    <pic:cNvPr id="0" name="fdd9e41e566d668a.png"/>
                    <pic:cNvPicPr/>
                  </pic:nvPicPr>
                  <pic:blipFill>
                    <a:blip r:embed="rId106"/>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7" name="Picture 37"/>
            <wp:cNvGraphicFramePr>
              <a:graphicFrameLocks noChangeAspect="1"/>
            </wp:cNvGraphicFramePr>
            <a:graphic>
              <a:graphicData uri="http://schemas.openxmlformats.org/drawingml/2006/picture">
                <pic:pic>
                  <pic:nvPicPr>
                    <pic:cNvPr id="0" name="53897e1ae4cfed4d.png"/>
                    <pic:cNvPicPr/>
                  </pic:nvPicPr>
                  <pic:blipFill>
                    <a:blip r:embed="rId107"/>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38" name="Picture 38"/>
            <wp:cNvGraphicFramePr>
              <a:graphicFrameLocks noChangeAspect="1"/>
            </wp:cNvGraphicFramePr>
            <a:graphic>
              <a:graphicData uri="http://schemas.openxmlformats.org/drawingml/2006/picture">
                <pic:pic>
                  <pic:nvPicPr>
                    <pic:cNvPr id="0" name="9f4a088fac81c78d.png"/>
                    <pic:cNvPicPr/>
                  </pic:nvPicPr>
                  <pic:blipFill>
                    <a:blip r:embed="rId108"/>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39" name="Picture 39"/>
            <wp:cNvGraphicFramePr>
              <a:graphicFrameLocks noChangeAspect="1"/>
            </wp:cNvGraphicFramePr>
            <a:graphic>
              <a:graphicData uri="http://schemas.openxmlformats.org/drawingml/2006/picture">
                <pic:pic>
                  <pic:nvPicPr>
                    <pic:cNvPr id="0" name="7bcadbaee19cfe23.png"/>
                    <pic:cNvPicPr/>
                  </pic:nvPicPr>
                  <pic:blipFill>
                    <a:blip r:embed="rId109"/>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0" name="Picture 40"/>
            <wp:cNvGraphicFramePr>
              <a:graphicFrameLocks noChangeAspect="1"/>
            </wp:cNvGraphicFramePr>
            <a:graphic>
              <a:graphicData uri="http://schemas.openxmlformats.org/drawingml/2006/picture">
                <pic:pic>
                  <pic:nvPicPr>
                    <pic:cNvPr id="0" name="9c03c77c93cfc94c.png"/>
                    <pic:cNvPicPr/>
                  </pic:nvPicPr>
                  <pic:blipFill>
                    <a:blip r:embed="rId110"/>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1" name="Picture 41"/>
            <wp:cNvGraphicFramePr>
              <a:graphicFrameLocks noChangeAspect="1"/>
            </wp:cNvGraphicFramePr>
            <a:graphic>
              <a:graphicData uri="http://schemas.openxmlformats.org/drawingml/2006/picture">
                <pic:pic>
                  <pic:nvPicPr>
                    <pic:cNvPr id="0" name="66bf5f1ebd76b49c.png"/>
                    <pic:cNvPicPr/>
                  </pic:nvPicPr>
                  <pic:blipFill>
                    <a:blip r:embed="rId111"/>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2" name="Picture 42"/>
            <wp:cNvGraphicFramePr>
              <a:graphicFrameLocks noChangeAspect="1"/>
            </wp:cNvGraphicFramePr>
            <a:graphic>
              <a:graphicData uri="http://schemas.openxmlformats.org/drawingml/2006/picture">
                <pic:pic>
                  <pic:nvPicPr>
                    <pic:cNvPr id="0" name="40e5bd74ff0a8264.png"/>
                    <pic:cNvPicPr/>
                  </pic:nvPicPr>
                  <pic:blipFill>
                    <a:blip r:embed="rId112"/>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5400000" cy="3040541"/>
            <wp:docPr id="43" name="Picture 43"/>
            <wp:cNvGraphicFramePr>
              <a:graphicFrameLocks noChangeAspect="1"/>
            </wp:cNvGraphicFramePr>
            <a:graphic>
              <a:graphicData uri="http://schemas.openxmlformats.org/drawingml/2006/picture">
                <pic:pic>
                  <pic:nvPicPr>
                    <pic:cNvPr id="0" name="eb89ae527ecdf77e.png"/>
                    <pic:cNvPicPr/>
                  </pic:nvPicPr>
                  <pic:blipFill>
                    <a:blip r:embed="rId113"/>
                    <a:stretch>
                      <a:fillRect/>
                    </a:stretch>
                  </pic:blipFill>
                  <pic:spPr>
                    <a:xfrm>
                      <a:off x="0" y="0"/>
                      <a:ext cx="5400000" cy="3040541"/>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44" name="Picture 44"/>
            <wp:cNvGraphicFramePr>
              <a:graphicFrameLocks noChangeAspect="1"/>
            </wp:cNvGraphicFramePr>
            <a:graphic>
              <a:graphicData uri="http://schemas.openxmlformats.org/drawingml/2006/picture">
                <pic:pic>
                  <pic:nvPicPr>
                    <pic:cNvPr id="0" name="e3544dd51d87840f.png"/>
                    <pic:cNvPicPr/>
                  </pic:nvPicPr>
                  <pic:blipFill>
                    <a:blip r:embed="rId114"/>
                    <a:stretch>
                      <a:fillRect/>
                    </a:stretch>
                  </pic:blipFill>
                  <pic:spPr>
                    <a:xfrm>
                      <a:off x="0" y="0"/>
                      <a:ext cx="4230000" cy="2381757"/>
                    </a:xfrm>
                    <a:prstGeom prst="rect"/>
                  </pic:spPr>
                </pic:pic>
              </a:graphicData>
            </a:graphic>
          </wp:inline>
        </w:drawing>
      </w:r>
    </w:p>
    <w:p>
      <w:pPr>
        <w:pStyle w:val="DocH1"/>
      </w:pPr>
      <w:r>
        <w:rPr>
          <w:rFonts w:ascii="Times New Roman" w:hAnsi="Times New Roman" w:eastAsia="宋体"/>
          <w:sz w:val="24"/>
        </w:rPr>
        <w:t>Missions</w:t>
      </w:r>
    </w:p>
    <w:p>
      <w:pPr>
        <w:pStyle w:val="DocBody"/>
      </w:pPr>
      <w:hyperlink r:id="rId115">
        <w:r>
          <w:rPr>
            <w:rFonts w:ascii="Times New Roman" w:hAnsi="Times New Roman" w:eastAsia="宋体"/>
            <w:color w:val="0563C1"/>
            <w:sz w:val="24"/>
            <w:u w:val="single"/>
          </w:rPr>
          <w:t>Juice</w:t>
        </w:r>
      </w:hyperlink>
      <w:r>
        <w:rPr>
          <w:rFonts w:ascii="Times New Roman" w:hAnsi="Times New Roman" w:eastAsia="宋体"/>
          <w:sz w:val="24"/>
        </w:rPr>
        <w:t xml:space="preserve"> </w:t>
      </w:r>
      <w:hyperlink r:id="rId116">
        <w:r>
          <w:rPr>
            <w:rFonts w:ascii="Times New Roman" w:hAnsi="Times New Roman" w:eastAsia="宋体"/>
            <w:color w:val="0563C1"/>
            <w:sz w:val="24"/>
            <w:u w:val="single"/>
          </w:rPr>
          <w:t>Euclid</w:t>
        </w:r>
      </w:hyperlink>
      <w:r>
        <w:rPr>
          <w:rFonts w:ascii="Times New Roman" w:hAnsi="Times New Roman" w:eastAsia="宋体"/>
          <w:sz w:val="24"/>
        </w:rPr>
        <w:t xml:space="preserve"> </w:t>
      </w:r>
      <w:hyperlink r:id="rId117">
        <w:r>
          <w:rPr>
            <w:rFonts w:ascii="Times New Roman" w:hAnsi="Times New Roman" w:eastAsia="宋体"/>
            <w:color w:val="0563C1"/>
            <w:sz w:val="24"/>
            <w:u w:val="single"/>
          </w:rPr>
          <w:t>Webb</w:t>
        </w:r>
      </w:hyperlink>
      <w:r>
        <w:rPr>
          <w:rFonts w:ascii="Times New Roman" w:hAnsi="Times New Roman" w:eastAsia="宋体"/>
          <w:sz w:val="24"/>
        </w:rPr>
        <w:t xml:space="preserve"> </w:t>
      </w:r>
      <w:hyperlink r:id="rId118">
        <w:r>
          <w:rPr>
            <w:rFonts w:ascii="Times New Roman" w:hAnsi="Times New Roman" w:eastAsia="宋体"/>
            <w:color w:val="0563C1"/>
            <w:sz w:val="24"/>
            <w:u w:val="single"/>
          </w:rPr>
          <w:t>Solar Orbiter</w:t>
        </w:r>
      </w:hyperlink>
      <w:r>
        <w:rPr>
          <w:rFonts w:ascii="Times New Roman" w:hAnsi="Times New Roman" w:eastAsia="宋体"/>
          <w:sz w:val="24"/>
        </w:rPr>
        <w:t xml:space="preserve">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w:t>
      </w:r>
      <w:hyperlink r:id="rId120">
        <w:r>
          <w:rPr>
            <w:rFonts w:ascii="Times New Roman" w:hAnsi="Times New Roman" w:eastAsia="宋体"/>
            <w:color w:val="0563C1"/>
            <w:sz w:val="24"/>
            <w:u w:val="single"/>
          </w:rPr>
          <w:t>Gaia</w:t>
        </w:r>
      </w:hyperlink>
      <w:r>
        <w:rPr>
          <w:rFonts w:ascii="Times New Roman" w:hAnsi="Times New Roman" w:eastAsia="宋体"/>
          <w:sz w:val="24"/>
        </w:rPr>
        <w:t xml:space="preserve"> </w:t>
      </w:r>
      <w:hyperlink r:id="rId121">
        <w:r>
          <w:rPr>
            <w:rFonts w:ascii="Times New Roman" w:hAnsi="Times New Roman" w:eastAsia="宋体"/>
            <w:color w:val="0563C1"/>
            <w:sz w:val="24"/>
            <w:u w:val="single"/>
          </w:rPr>
          <w:t>ExoMars</w:t>
        </w:r>
      </w:hyperlink>
      <w:r>
        <w:rPr>
          <w:rFonts w:ascii="Times New Roman" w:hAnsi="Times New Roman" w:eastAsia="宋体"/>
          <w:sz w:val="24"/>
        </w:rPr>
        <w:t xml:space="preserve"> </w:t>
      </w:r>
      <w:hyperlink r:id="rId122">
        <w:r>
          <w:rPr>
            <w:rFonts w:ascii="Times New Roman" w:hAnsi="Times New Roman" w:eastAsia="宋体"/>
            <w:color w:val="0563C1"/>
            <w:sz w:val="24"/>
            <w:u w:val="single"/>
          </w:rPr>
          <w:t>Cheops</w:t>
        </w:r>
      </w:hyperlink>
      <w:r>
        <w:rPr>
          <w:rFonts w:ascii="Times New Roman" w:hAnsi="Times New Roman" w:eastAsia="宋体"/>
          <w:sz w:val="24"/>
        </w:rPr>
        <w:t xml:space="preserve"> </w:t>
      </w:r>
      <w:hyperlink r:id="rId123">
        <w:r>
          <w:rPr>
            <w:rFonts w:ascii="Times New Roman" w:hAnsi="Times New Roman" w:eastAsia="宋体"/>
            <w:color w:val="0563C1"/>
            <w:sz w:val="24"/>
            <w:u w:val="single"/>
          </w:rPr>
          <w:t>Exoplanet missions</w:t>
        </w:r>
      </w:hyperlink>
      <w:r>
        <w:rPr>
          <w:rFonts w:ascii="Times New Roman" w:hAnsi="Times New Roman" w:eastAsia="宋体"/>
          <w:sz w:val="24"/>
        </w:rPr>
        <w:t xml:space="preserve"> </w:t>
      </w:r>
      <w:hyperlink r:id="rId124">
        <w:r>
          <w:rPr>
            <w:rFonts w:ascii="Times New Roman" w:hAnsi="Times New Roman" w:eastAsia="宋体"/>
            <w:color w:val="0563C1"/>
            <w:sz w:val="24"/>
            <w:u w:val="single"/>
          </w:rPr>
          <w:t>More missions</w:t>
        </w:r>
      </w:hyperlink>
    </w:p>
    <w:p>
      <w:pPr>
        <w:pStyle w:val="DocH1"/>
      </w:pPr>
      <w:r>
        <w:rPr>
          <w:rFonts w:ascii="Times New Roman" w:hAnsi="Times New Roman" w:eastAsia="宋体"/>
          <w:sz w:val="24"/>
        </w:rPr>
        <w:t>Activities</w:t>
      </w:r>
    </w:p>
    <w:p>
      <w:pPr>
        <w:pStyle w:val="DocBody"/>
      </w:pPr>
      <w:hyperlink r:id="rId125">
        <w:r>
          <w:rPr>
            <w:rFonts w:ascii="Times New Roman" w:hAnsi="Times New Roman" w:eastAsia="宋体"/>
            <w:color w:val="0563C1"/>
            <w:sz w:val="24"/>
            <w:u w:val="single"/>
          </w:rPr>
          <w:t>International Space Station</w:t>
        </w:r>
      </w:hyperlink>
      <w:r>
        <w:rPr>
          <w:rFonts w:ascii="Times New Roman" w:hAnsi="Times New Roman" w:eastAsia="宋体"/>
          <w:sz w:val="24"/>
        </w:rPr>
        <w:t xml:space="preserve"> </w:t>
      </w:r>
      <w:hyperlink r:id="rId126">
        <w:r>
          <w:rPr>
            <w:rFonts w:ascii="Times New Roman" w:hAnsi="Times New Roman" w:eastAsia="宋体"/>
            <w:color w:val="0563C1"/>
            <w:sz w:val="24"/>
            <w:u w:val="single"/>
          </w:rPr>
          <w:t>Orion service module</w:t>
        </w:r>
      </w:hyperlink>
      <w:r>
        <w:rPr>
          <w:rFonts w:ascii="Times New Roman" w:hAnsi="Times New Roman" w:eastAsia="宋体"/>
          <w:sz w:val="24"/>
        </w:rPr>
        <w:t xml:space="preserve"> </w:t>
      </w:r>
      <w:hyperlink r:id="rId127">
        <w:r>
          <w:rPr>
            <w:rFonts w:ascii="Times New Roman" w:hAnsi="Times New Roman" w:eastAsia="宋体"/>
            <w:color w:val="0563C1"/>
            <w:sz w:val="24"/>
            <w:u w:val="single"/>
          </w:rPr>
          <w:t>Gateway</w:t>
        </w:r>
      </w:hyperlink>
      <w:r>
        <w:rPr>
          <w:rFonts w:ascii="Times New Roman" w:hAnsi="Times New Roman" w:eastAsia="宋体"/>
          <w:sz w:val="24"/>
        </w:rPr>
        <w:t xml:space="preserve"> </w:t>
      </w:r>
      <w:hyperlink r:id="rId128">
        <w:r>
          <w:rPr>
            <w:rFonts w:ascii="Times New Roman" w:hAnsi="Times New Roman" w:eastAsia="宋体"/>
            <w:color w:val="0563C1"/>
            <w:sz w:val="24"/>
            <w:u w:val="single"/>
          </w:rPr>
          <w:t>Concordia</w:t>
        </w:r>
      </w:hyperlink>
      <w:r>
        <w:rPr>
          <w:rFonts w:ascii="Times New Roman" w:hAnsi="Times New Roman" w:eastAsia="宋体"/>
          <w:sz w:val="24"/>
        </w:rPr>
        <w:t xml:space="preserve"> </w:t>
      </w:r>
      <w:hyperlink r:id="rId129">
        <w:r>
          <w:rPr>
            <w:rFonts w:ascii="Times New Roman" w:hAnsi="Times New Roman" w:eastAsia="宋体"/>
            <w:color w:val="0563C1"/>
            <w:sz w:val="24"/>
            <w:u w:val="single"/>
          </w:rPr>
          <w:t>Caves &amp; Pangaea</w:t>
        </w:r>
      </w:hyperlink>
      <w:r>
        <w:rPr>
          <w:rFonts w:ascii="Times New Roman" w:hAnsi="Times New Roman" w:eastAsia="宋体"/>
          <w:sz w:val="24"/>
        </w:rPr>
        <w:t xml:space="preserve"> </w:t>
      </w:r>
      <w:hyperlink r:id="rId130">
        <w:r>
          <w:rPr>
            <w:rFonts w:ascii="Times New Roman" w:hAnsi="Times New Roman" w:eastAsia="宋体"/>
            <w:color w:val="0563C1"/>
            <w:sz w:val="24"/>
            <w:u w:val="single"/>
          </w:rPr>
          <w:t>Benefits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4762800" cy="3175200"/>
            <wp:docPr id="45" name="Picture 45"/>
            <wp:cNvGraphicFramePr>
              <a:graphicFrameLocks noChangeAspect="1"/>
            </wp:cNvGraphicFramePr>
            <a:graphic>
              <a:graphicData uri="http://schemas.openxmlformats.org/drawingml/2006/picture">
                <pic:pic>
                  <pic:nvPicPr>
                    <pic:cNvPr id="0" name="039e29dc1417a543.jpg"/>
                    <pic:cNvPicPr/>
                  </pic:nvPicPr>
                  <pic:blipFill>
                    <a:blip r:embed="rId74"/>
                    <a:stretch>
                      <a:fillRect/>
                    </a:stretch>
                  </pic:blipFill>
                  <pic:spPr>
                    <a:xfrm>
                      <a:off x="0" y="0"/>
                      <a:ext cx="4762800" cy="3175200"/>
                    </a:xfrm>
                    <a:prstGeom prst="rect"/>
                  </pic:spPr>
                </pic:pic>
              </a:graphicData>
            </a:graphic>
          </wp:inline>
        </w:drawing>
      </w:r>
    </w:p>
    <w:p>
      <w:pPr>
        <w:jc w:val="center"/>
      </w:pPr>
      <w:r>
        <w:drawing>
          <wp:inline xmlns:a="http://schemas.openxmlformats.org/drawingml/2006/main" xmlns:pic="http://schemas.openxmlformats.org/drawingml/2006/picture">
            <wp:extent cx="2833200" cy="1588117"/>
            <wp:docPr id="46" name="Picture 46"/>
            <wp:cNvGraphicFramePr>
              <a:graphicFrameLocks noChangeAspect="1"/>
            </wp:cNvGraphicFramePr>
            <a:graphic>
              <a:graphicData uri="http://schemas.openxmlformats.org/drawingml/2006/picture">
                <pic:pic>
                  <pic:nvPicPr>
                    <pic:cNvPr id="0" name="c34ff56464856ce1.png"/>
                    <pic:cNvPicPr/>
                  </pic:nvPicPr>
                  <pic:blipFill>
                    <a:blip r:embed="rId131"/>
                    <a:stretch>
                      <a:fillRect/>
                    </a:stretch>
                  </pic:blipFill>
                  <pic:spPr>
                    <a:xfrm>
                      <a:off x="0" y="0"/>
                      <a:ext cx="2833200" cy="1588117"/>
                    </a:xfrm>
                    <a:prstGeom prst="rect"/>
                  </pic:spPr>
                </pic:pic>
              </a:graphicData>
            </a:graphic>
          </wp:inline>
        </w:drawing>
      </w:r>
    </w:p>
    <w:p>
      <w:pPr>
        <w:jc w:val="center"/>
      </w:pPr>
      <w:r>
        <w:drawing>
          <wp:inline xmlns:a="http://schemas.openxmlformats.org/drawingml/2006/main" xmlns:pic="http://schemas.openxmlformats.org/drawingml/2006/picture">
            <wp:extent cx="1522800" cy="1522800"/>
            <wp:docPr id="47" name="Picture 47"/>
            <wp:cNvGraphicFramePr>
              <a:graphicFrameLocks noChangeAspect="1"/>
            </wp:cNvGraphicFramePr>
            <a:graphic>
              <a:graphicData uri="http://schemas.openxmlformats.org/drawingml/2006/picture">
                <pic:pic>
                  <pic:nvPicPr>
                    <pic:cNvPr id="0" name="bb008183d9d298e7.jpg"/>
                    <pic:cNvPicPr/>
                  </pic:nvPicPr>
                  <pic:blipFill>
                    <a:blip r:embed="rId77"/>
                    <a:stretch>
                      <a:fillRect/>
                    </a:stretch>
                  </pic:blipFill>
                  <pic:spPr>
                    <a:xfrm>
                      <a:off x="0" y="0"/>
                      <a:ext cx="1522800" cy="1522800"/>
                    </a:xfrm>
                    <a:prstGeom prst="rect"/>
                  </pic:spPr>
                </pic:pic>
              </a:graphicData>
            </a:graphic>
          </wp:inline>
        </w:drawing>
      </w:r>
    </w:p>
    <w:p>
      <w:pPr>
        <w:jc w:val="center"/>
      </w:pPr>
      <w:r>
        <w:drawing>
          <wp:inline xmlns:a="http://schemas.openxmlformats.org/drawingml/2006/main" xmlns:pic="http://schemas.openxmlformats.org/drawingml/2006/picture">
            <wp:extent cx="2858400" cy="2582088"/>
            <wp:docPr id="48" name="Picture 48"/>
            <wp:cNvGraphicFramePr>
              <a:graphicFrameLocks noChangeAspect="1"/>
            </wp:cNvGraphicFramePr>
            <a:graphic>
              <a:graphicData uri="http://schemas.openxmlformats.org/drawingml/2006/picture">
                <pic:pic>
                  <pic:nvPicPr>
                    <pic:cNvPr id="0" name="99cf7720f7ff4eec.png"/>
                    <pic:cNvPicPr/>
                  </pic:nvPicPr>
                  <pic:blipFill>
                    <a:blip r:embed="rId132"/>
                    <a:stretch>
                      <a:fillRect/>
                    </a:stretch>
                  </pic:blipFill>
                  <pic:spPr>
                    <a:xfrm>
                      <a:off x="0" y="0"/>
                      <a:ext cx="2858400" cy="2582088"/>
                    </a:xfrm>
                    <a:prstGeom prst="rect"/>
                  </pic:spPr>
                </pic:pic>
              </a:graphicData>
            </a:graphic>
          </wp:inline>
        </w:drawing>
      </w:r>
    </w:p>
    <w:p>
      <w:pPr>
        <w:pStyle w:val="DocH1"/>
      </w:pPr>
      <w:hyperlink r:id="rId133">
        <w:r>
          <w:rPr>
            <w:rFonts w:ascii="Times New Roman" w:hAnsi="Times New Roman" w:eastAsia="宋体"/>
            <w:color w:val="0563C1"/>
            <w:sz w:val="24"/>
            <w:u w:val="single"/>
          </w:rPr>
          <w:t>Space Safety</w:t>
        </w:r>
      </w:hyperlink>
    </w:p>
    <w:p>
      <w:pPr>
        <w:pStyle w:val="DocBody"/>
      </w:pPr>
      <w:r>
        <w:rPr>
          <w:rFonts w:ascii="Times New Roman" w:hAnsi="Times New Roman" w:eastAsia="宋体"/>
          <w:sz w:val="24"/>
        </w:rPr>
        <w:t xml:space="preserve">Protecting life and infrastructure on Earth and in orbit </w:t>
      </w:r>
      <w:hyperlink r:id="rId133">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About space safety</w:t>
      </w:r>
    </w:p>
    <w:p>
      <w:pPr>
        <w:pStyle w:val="DocBody"/>
      </w:pPr>
      <w:hyperlink r:id="rId134">
        <w:r>
          <w:rPr>
            <w:rFonts w:ascii="Times New Roman" w:hAnsi="Times New Roman" w:eastAsia="宋体"/>
            <w:color w:val="0563C1"/>
            <w:sz w:val="24"/>
            <w:u w:val="single"/>
          </w:rPr>
          <w:t>Protecting our Pale Blue Dot</w:t>
        </w:r>
      </w:hyperlink>
      <w:r>
        <w:rPr>
          <w:rFonts w:ascii="Times New Roman" w:hAnsi="Times New Roman" w:eastAsia="宋体"/>
          <w:sz w:val="24"/>
        </w:rPr>
        <w:t xml:space="preserve"> </w:t>
      </w:r>
      <w:hyperlink r:id="rId135">
        <w:r>
          <w:rPr>
            <w:rFonts w:ascii="Times New Roman" w:hAnsi="Times New Roman" w:eastAsia="宋体"/>
            <w:color w:val="0563C1"/>
            <w:sz w:val="24"/>
            <w:u w:val="single"/>
          </w:rPr>
          <w:t>Space Safety at ESA</w:t>
        </w:r>
      </w:hyperlink>
    </w:p>
    <w:p>
      <w:pPr>
        <w:pStyle w:val="DocH1"/>
      </w:pPr>
      <w:r>
        <w:rPr>
          <w:rFonts w:ascii="Times New Roman" w:hAnsi="Times New Roman" w:eastAsia="宋体"/>
          <w:sz w:val="24"/>
        </w:rPr>
        <w:t>Asteroids</w:t>
      </w:r>
    </w:p>
    <w:p>
      <w:pPr>
        <w:pStyle w:val="DocBody"/>
      </w:pPr>
      <w:hyperlink r:id="rId136">
        <w:r>
          <w:rPr>
            <w:rFonts w:ascii="Times New Roman" w:hAnsi="Times New Roman" w:eastAsia="宋体"/>
            <w:color w:val="0563C1"/>
            <w:sz w:val="24"/>
            <w:u w:val="single"/>
          </w:rPr>
          <w:t>Asteroids and Planetary Defence</w:t>
        </w:r>
      </w:hyperlink>
      <w:r>
        <w:rPr>
          <w:rFonts w:ascii="Times New Roman" w:hAnsi="Times New Roman" w:eastAsia="宋体"/>
          <w:sz w:val="24"/>
        </w:rPr>
        <w:t xml:space="preserve"> </w:t>
      </w:r>
      <w:hyperlink r:id="rId137">
        <w:r>
          <w:rPr>
            <w:rFonts w:ascii="Times New Roman" w:hAnsi="Times New Roman" w:eastAsia="宋体"/>
            <w:color w:val="0563C1"/>
            <w:sz w:val="24"/>
            <w:u w:val="single"/>
          </w:rPr>
          <w:t>Asteroid danger explained</w:t>
        </w:r>
      </w:hyperlink>
      <w:r>
        <w:rPr>
          <w:rFonts w:ascii="Times New Roman" w:hAnsi="Times New Roman" w:eastAsia="宋体"/>
          <w:sz w:val="24"/>
        </w:rPr>
        <w:t xml:space="preserve"> </w:t>
      </w:r>
      <w:hyperlink r:id="rId138">
        <w:r>
          <w:rPr>
            <w:rFonts w:ascii="Times New Roman" w:hAnsi="Times New Roman" w:eastAsia="宋体"/>
            <w:color w:val="0563C1"/>
            <w:sz w:val="24"/>
            <w:u w:val="single"/>
          </w:rPr>
          <w:t>Flyeye telescope: asteroid detection</w:t>
        </w:r>
      </w:hyperlink>
      <w:r>
        <w:rPr>
          <w:rFonts w:ascii="Times New Roman" w:hAnsi="Times New Roman" w:eastAsia="宋体"/>
          <w:sz w:val="24"/>
        </w:rPr>
        <w:t xml:space="preserve"> </w:t>
      </w:r>
      <w:hyperlink r:id="rId139">
        <w:r>
          <w:rPr>
            <w:rFonts w:ascii="Times New Roman" w:hAnsi="Times New Roman" w:eastAsia="宋体"/>
            <w:color w:val="0563C1"/>
            <w:sz w:val="24"/>
            <w:u w:val="single"/>
          </w:rPr>
          <w:t>Hera mission: asteroid deflection</w:t>
        </w:r>
      </w:hyperlink>
      <w:r>
        <w:rPr>
          <w:rFonts w:ascii="Times New Roman" w:hAnsi="Times New Roman" w:eastAsia="宋体"/>
          <w:sz w:val="24"/>
        </w:rPr>
        <w:t xml:space="preserve"> </w:t>
      </w:r>
      <w:hyperlink r:id="rId140">
        <w:r>
          <w:rPr>
            <w:rFonts w:ascii="Times New Roman" w:hAnsi="Times New Roman" w:eastAsia="宋体"/>
            <w:color w:val="0563C1"/>
            <w:sz w:val="24"/>
            <w:u w:val="single"/>
          </w:rPr>
          <w:t>Near-Earth Object Coordination Centre</w:t>
        </w:r>
      </w:hyperlink>
    </w:p>
    <w:p>
      <w:pPr>
        <w:pStyle w:val="DocH1"/>
      </w:pPr>
      <w:r>
        <w:rPr>
          <w:rFonts w:ascii="Times New Roman" w:hAnsi="Times New Roman" w:eastAsia="宋体"/>
          <w:sz w:val="24"/>
        </w:rPr>
        <w:t>Space junk</w:t>
      </w:r>
    </w:p>
    <w:p>
      <w:pPr>
        <w:pStyle w:val="DocBody"/>
      </w:pPr>
      <w:hyperlink r:id="rId141">
        <w:r>
          <w:rPr>
            <w:rFonts w:ascii="Times New Roman" w:hAnsi="Times New Roman" w:eastAsia="宋体"/>
            <w:color w:val="0563C1"/>
            <w:sz w:val="24"/>
            <w:u w:val="single"/>
          </w:rPr>
          <w:t>About space debris</w:t>
        </w:r>
      </w:hyperlink>
      <w:r>
        <w:rPr>
          <w:rFonts w:ascii="Times New Roman" w:hAnsi="Times New Roman" w:eastAsia="宋体"/>
          <w:sz w:val="24"/>
        </w:rPr>
        <w:t xml:space="preserve"> </w:t>
      </w:r>
      <w:hyperlink r:id="rId142">
        <w:r>
          <w:rPr>
            <w:rFonts w:ascii="Times New Roman" w:hAnsi="Times New Roman" w:eastAsia="宋体"/>
            <w:color w:val="0563C1"/>
            <w:sz w:val="24"/>
            <w:u w:val="single"/>
          </w:rPr>
          <w:t>Space debris by the numbers</w:t>
        </w:r>
      </w:hyperlink>
      <w:r>
        <w:rPr>
          <w:rFonts w:ascii="Times New Roman" w:hAnsi="Times New Roman" w:eastAsia="宋体"/>
          <w:sz w:val="24"/>
        </w:rPr>
        <w:t xml:space="preserve"> </w:t>
      </w:r>
      <w:hyperlink r:id="rId143">
        <w:r>
          <w:rPr>
            <w:rFonts w:ascii="Times New Roman" w:hAnsi="Times New Roman" w:eastAsia="宋体"/>
            <w:color w:val="0563C1"/>
            <w:sz w:val="24"/>
            <w:u w:val="single"/>
          </w:rPr>
          <w:t>Space Environment Report</w:t>
        </w:r>
      </w:hyperlink>
      <w:r>
        <w:rPr>
          <w:rFonts w:ascii="Times New Roman" w:hAnsi="Times New Roman" w:eastAsia="宋体"/>
          <w:sz w:val="24"/>
        </w:rPr>
        <w:t xml:space="preserve"> </w:t>
      </w:r>
      <w:hyperlink r:id="rId144">
        <w:r>
          <w:rPr>
            <w:rFonts w:ascii="Times New Roman" w:hAnsi="Times New Roman" w:eastAsia="宋体"/>
            <w:color w:val="0563C1"/>
            <w:sz w:val="24"/>
            <w:u w:val="single"/>
          </w:rPr>
          <w:t>In space refuelling, refurbishing and removing</w:t>
        </w:r>
      </w:hyperlink>
    </w:p>
    <w:p>
      <w:pPr>
        <w:pStyle w:val="DocH1"/>
      </w:pPr>
      <w:r>
        <w:rPr>
          <w:rFonts w:ascii="Times New Roman" w:hAnsi="Times New Roman" w:eastAsia="宋体"/>
          <w:sz w:val="24"/>
        </w:rPr>
        <w:t>Safety from space</w:t>
      </w:r>
    </w:p>
    <w:p>
      <w:pPr>
        <w:pStyle w:val="DocBody"/>
      </w:pPr>
      <w:hyperlink r:id="rId145">
        <w:r>
          <w:rPr>
            <w:rFonts w:ascii="Times New Roman" w:hAnsi="Times New Roman" w:eastAsia="宋体"/>
            <w:color w:val="0563C1"/>
            <w:sz w:val="24"/>
            <w:u w:val="single"/>
          </w:rPr>
          <w:t>Clean Space</w:t>
        </w:r>
      </w:hyperlink>
      <w:r>
        <w:rPr>
          <w:rFonts w:ascii="Times New Roman" w:hAnsi="Times New Roman" w:eastAsia="宋体"/>
          <w:sz w:val="24"/>
        </w:rPr>
        <w:t xml:space="preserve"> </w:t>
      </w:r>
      <w:hyperlink r:id="rId146">
        <w:r>
          <w:rPr>
            <w:rFonts w:ascii="Times New Roman" w:hAnsi="Times New Roman" w:eastAsia="宋体"/>
            <w:color w:val="0563C1"/>
            <w:sz w:val="24"/>
            <w:u w:val="single"/>
          </w:rPr>
          <w:t>Ecodesign</w:t>
        </w:r>
      </w:hyperlink>
      <w:r>
        <w:rPr>
          <w:rFonts w:ascii="Times New Roman" w:hAnsi="Times New Roman" w:eastAsia="宋体"/>
          <w:sz w:val="24"/>
        </w:rPr>
        <w:t xml:space="preserve"> </w:t>
      </w:r>
      <w:hyperlink r:id="rId147">
        <w:r>
          <w:rPr>
            <w:rFonts w:ascii="Times New Roman" w:hAnsi="Times New Roman" w:eastAsia="宋体"/>
            <w:color w:val="0563C1"/>
            <w:sz w:val="24"/>
            <w:u w:val="single"/>
          </w:rPr>
          <w:t>Zero Debris Technologies</w:t>
        </w:r>
      </w:hyperlink>
      <w:r>
        <w:rPr>
          <w:rFonts w:ascii="Times New Roman" w:hAnsi="Times New Roman" w:eastAsia="宋体"/>
          <w:sz w:val="24"/>
        </w:rPr>
        <w:t xml:space="preserve"> </w:t>
      </w:r>
      <w:hyperlink r:id="rId148">
        <w:r>
          <w:rPr>
            <w:rFonts w:ascii="Times New Roman" w:hAnsi="Times New Roman" w:eastAsia="宋体"/>
            <w:color w:val="0563C1"/>
            <w:sz w:val="24"/>
            <w:u w:val="single"/>
          </w:rPr>
          <w:t>Space for Earth</w:t>
        </w:r>
      </w:hyperlink>
      <w:r>
        <w:rPr>
          <w:rFonts w:ascii="Times New Roman" w:hAnsi="Times New Roman" w:eastAsia="宋体"/>
          <w:sz w:val="24"/>
        </w:rPr>
        <w:t xml:space="preserve"> </w:t>
      </w:r>
      <w:hyperlink r:id="rId149">
        <w:r>
          <w:rPr>
            <w:rFonts w:ascii="Times New Roman" w:hAnsi="Times New Roman" w:eastAsia="宋体"/>
            <w:color w:val="0563C1"/>
            <w:sz w:val="24"/>
            <w:u w:val="single"/>
          </w:rPr>
          <w:t>Supporting Sustainable Development</w:t>
        </w:r>
      </w:hyperlink>
    </w:p>
    <w:p>
      <w:pPr>
        <w:pStyle w:val="DocH1"/>
      </w:pPr>
      <w:r>
        <w:rPr>
          <w:rFonts w:ascii="Times New Roman" w:hAnsi="Times New Roman" w:eastAsia="宋体"/>
          <w:sz w:val="24"/>
        </w:rPr>
        <w:t>Space weather</w:t>
      </w:r>
    </w:p>
    <w:p>
      <w:pPr>
        <w:pStyle w:val="DocBody"/>
      </w:pPr>
      <w:hyperlink r:id="rId150">
        <w:r>
          <w:rPr>
            <w:rFonts w:ascii="Times New Roman" w:hAnsi="Times New Roman" w:eastAsia="宋体"/>
            <w:color w:val="0563C1"/>
            <w:sz w:val="24"/>
            <w:u w:val="single"/>
          </w:rPr>
          <w:t>Space weather and its hazards</w:t>
        </w:r>
      </w:hyperlink>
      <w:r>
        <w:rPr>
          <w:rFonts w:ascii="Times New Roman" w:hAnsi="Times New Roman" w:eastAsia="宋体"/>
          <w:sz w:val="24"/>
        </w:rPr>
        <w:t xml:space="preserve"> </w:t>
      </w:r>
      <w:hyperlink r:id="rId151">
        <w:r>
          <w:rPr>
            <w:rFonts w:ascii="Times New Roman" w:hAnsi="Times New Roman" w:eastAsia="宋体"/>
            <w:color w:val="0563C1"/>
            <w:sz w:val="24"/>
            <w:u w:val="single"/>
          </w:rPr>
          <w:t>ESA Vigil: providing solar warning</w:t>
        </w:r>
      </w:hyperlink>
      <w:r>
        <w:rPr>
          <w:rFonts w:ascii="Times New Roman" w:hAnsi="Times New Roman" w:eastAsia="宋体"/>
          <w:sz w:val="24"/>
        </w:rPr>
        <w:t xml:space="preserve"> </w:t>
      </w:r>
      <w:hyperlink r:id="rId152">
        <w:r>
          <w:rPr>
            <w:rFonts w:ascii="Times New Roman" w:hAnsi="Times New Roman" w:eastAsia="宋体"/>
            <w:color w:val="0563C1"/>
            <w:sz w:val="24"/>
            <w:u w:val="single"/>
          </w:rPr>
          <w:t>ESA Space Weather Service Network</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202400" cy="761013"/>
            <wp:docPr id="49" name="Picture 49"/>
            <wp:cNvGraphicFramePr>
              <a:graphicFrameLocks noChangeAspect="1"/>
            </wp:cNvGraphicFramePr>
            <a:graphic>
              <a:graphicData uri="http://schemas.openxmlformats.org/drawingml/2006/picture">
                <pic:pic>
                  <pic:nvPicPr>
                    <pic:cNvPr id="0" name="bbb86663c4362f56.jpg"/>
                    <pic:cNvPicPr/>
                  </pic:nvPicPr>
                  <pic:blipFill>
                    <a:blip r:embed="rId76"/>
                    <a:stretch>
                      <a:fillRect/>
                    </a:stretch>
                  </pic:blipFill>
                  <pic:spPr>
                    <a:xfrm>
                      <a:off x="0" y="0"/>
                      <a:ext cx="1202400" cy="761013"/>
                    </a:xfrm>
                    <a:prstGeom prst="rect"/>
                  </pic:spPr>
                </pic:pic>
              </a:graphicData>
            </a:graphic>
          </wp:inline>
        </w:drawing>
      </w:r>
    </w:p>
    <w:p>
      <w:pPr>
        <w:pStyle w:val="DocCaption"/>
      </w:pPr>
      <w:r>
        <w:t>图49  Cluster satellite reentering Earth's atmosphere</w:t>
      </w:r>
    </w:p>
    <w:p>
      <w:pPr>
        <w:jc w:val="center"/>
      </w:pPr>
      <w:r>
        <w:drawing>
          <wp:inline xmlns:a="http://schemas.openxmlformats.org/drawingml/2006/main" xmlns:pic="http://schemas.openxmlformats.org/drawingml/2006/picture">
            <wp:extent cx="4230000" cy="2381757"/>
            <wp:docPr id="50" name="Picture 50"/>
            <wp:cNvGraphicFramePr>
              <a:graphicFrameLocks noChangeAspect="1"/>
            </wp:cNvGraphicFramePr>
            <a:graphic>
              <a:graphicData uri="http://schemas.openxmlformats.org/drawingml/2006/picture">
                <pic:pic>
                  <pic:nvPicPr>
                    <pic:cNvPr id="0" name="b8bc16b00ccec483.png"/>
                    <pic:cNvPicPr/>
                  </pic:nvPicPr>
                  <pic:blipFill>
                    <a:blip r:embed="rId153"/>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2156400" cy="3045763"/>
            <wp:docPr id="51" name="Picture 51"/>
            <wp:cNvGraphicFramePr>
              <a:graphicFrameLocks noChangeAspect="1"/>
            </wp:cNvGraphicFramePr>
            <a:graphic>
              <a:graphicData uri="http://schemas.openxmlformats.org/drawingml/2006/picture">
                <pic:pic>
                  <pic:nvPicPr>
                    <pic:cNvPr id="0" name="40ce3251ce668ab6.png"/>
                    <pic:cNvPicPr/>
                  </pic:nvPicPr>
                  <pic:blipFill>
                    <a:blip r:embed="rId154"/>
                    <a:stretch>
                      <a:fillRect/>
                    </a:stretch>
                  </pic:blipFill>
                  <pic:spPr>
                    <a:xfrm>
                      <a:off x="0" y="0"/>
                      <a:ext cx="2156400" cy="3045763"/>
                    </a:xfrm>
                    <a:prstGeom prst="rect"/>
                  </pic:spPr>
                </pic:pic>
              </a:graphicData>
            </a:graphic>
          </wp:inline>
        </w:drawing>
      </w:r>
    </w:p>
    <w:p>
      <w:pPr>
        <w:pStyle w:val="DocCaption"/>
      </w:pPr>
      <w:r>
        <w:t>图51  Poster for ESA's Swing and Sawa space weather missions</w:t>
      </w:r>
    </w:p>
    <w:p>
      <w:pPr>
        <w:jc w:val="center"/>
      </w:pPr>
      <w:r>
        <w:drawing>
          <wp:inline xmlns:a="http://schemas.openxmlformats.org/drawingml/2006/main" xmlns:pic="http://schemas.openxmlformats.org/drawingml/2006/picture">
            <wp:extent cx="5400000" cy="3033708"/>
            <wp:docPr id="52" name="Picture 52"/>
            <wp:cNvGraphicFramePr>
              <a:graphicFrameLocks noChangeAspect="1"/>
            </wp:cNvGraphicFramePr>
            <a:graphic>
              <a:graphicData uri="http://schemas.openxmlformats.org/drawingml/2006/picture">
                <pic:pic>
                  <pic:nvPicPr>
                    <pic:cNvPr id="0" name="1dc67adaf558091f.jpg"/>
                    <pic:cNvPicPr/>
                  </pic:nvPicPr>
                  <pic:blipFill>
                    <a:blip r:embed="rId155"/>
                    <a:stretch>
                      <a:fillRect/>
                    </a:stretch>
                  </pic:blipFill>
                  <pic:spPr>
                    <a:xfrm>
                      <a:off x="0" y="0"/>
                      <a:ext cx="5400000" cy="3033708"/>
                    </a:xfrm>
                    <a:prstGeom prst="rect"/>
                  </pic:spPr>
                </pic:pic>
              </a:graphicData>
            </a:graphic>
          </wp:inline>
        </w:drawing>
      </w:r>
    </w:p>
    <w:p>
      <w:pPr>
        <w:pStyle w:val="DocH1"/>
      </w:pPr>
      <w:hyperlink r:id="rId156">
        <w:r>
          <w:rPr>
            <w:rFonts w:ascii="Times New Roman" w:hAnsi="Times New Roman" w:eastAsia="宋体"/>
            <w:color w:val="0563C1"/>
            <w:sz w:val="24"/>
            <w:u w:val="single"/>
          </w:rPr>
          <w:t>Applications</w:t>
        </w:r>
      </w:hyperlink>
    </w:p>
    <w:p>
      <w:pPr>
        <w:pStyle w:val="DocBody"/>
      </w:pPr>
      <w:r>
        <w:rPr>
          <w:rFonts w:ascii="Times New Roman" w:hAnsi="Times New Roman" w:eastAsia="宋体"/>
          <w:sz w:val="24"/>
        </w:rPr>
        <w:t xml:space="preserve">Using space to benefit citizens and meet future challenges on Earth </w:t>
      </w:r>
      <w:hyperlink r:id="rId156">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Observing the Earth</w:t>
      </w:r>
    </w:p>
    <w:p>
      <w:pPr>
        <w:pStyle w:val="DocBody"/>
      </w:pPr>
      <w:hyperlink r:id="rId157">
        <w:r>
          <w:rPr>
            <w:rFonts w:ascii="Times New Roman" w:hAnsi="Times New Roman" w:eastAsia="宋体"/>
            <w:color w:val="0563C1"/>
            <w:sz w:val="24"/>
            <w:u w:val="single"/>
          </w:rPr>
          <w:t>Observing the Earth</w:t>
        </w:r>
      </w:hyperlink>
      <w:r>
        <w:rPr>
          <w:rFonts w:ascii="Times New Roman" w:hAnsi="Times New Roman" w:eastAsia="宋体"/>
          <w:sz w:val="24"/>
        </w:rPr>
        <w:t xml:space="preserve"> </w:t>
      </w:r>
      <w:hyperlink r:id="rId158">
        <w:r>
          <w:rPr>
            <w:rFonts w:ascii="Times New Roman" w:hAnsi="Times New Roman" w:eastAsia="宋体"/>
            <w:color w:val="0563C1"/>
            <w:sz w:val="24"/>
            <w:u w:val="single"/>
          </w:rPr>
          <w:t>Future EO</w:t>
        </w:r>
      </w:hyperlink>
      <w:r>
        <w:rPr>
          <w:rFonts w:ascii="Times New Roman" w:hAnsi="Times New Roman" w:eastAsia="宋体"/>
          <w:sz w:val="24"/>
        </w:rPr>
        <w:t xml:space="preserve"> </w:t>
      </w:r>
      <w:hyperlink r:id="rId159">
        <w:r>
          <w:rPr>
            <w:rFonts w:ascii="Times New Roman" w:hAnsi="Times New Roman" w:eastAsia="宋体"/>
            <w:color w:val="0563C1"/>
            <w:sz w:val="24"/>
            <w:u w:val="single"/>
          </w:rPr>
          <w:t xml:space="preserve">Copernicus </w:t>
        </w:r>
      </w:hyperlink>
      <w:r>
        <w:rPr>
          <w:rFonts w:ascii="Times New Roman" w:hAnsi="Times New Roman" w:eastAsia="宋体"/>
          <w:sz w:val="24"/>
        </w:rPr>
        <w:t xml:space="preserve"> </w:t>
      </w:r>
      <w:hyperlink r:id="rId160">
        <w:r>
          <w:rPr>
            <w:rFonts w:ascii="Times New Roman" w:hAnsi="Times New Roman" w:eastAsia="宋体"/>
            <w:color w:val="0563C1"/>
            <w:sz w:val="24"/>
            <w:u w:val="single"/>
          </w:rPr>
          <w:t xml:space="preserve">Meteorology </w:t>
        </w:r>
      </w:hyperlink>
      <w:r>
        <w:rPr>
          <w:rFonts w:ascii="Times New Roman" w:hAnsi="Times New Roman" w:eastAsia="宋体"/>
          <w:sz w:val="24"/>
        </w:rPr>
        <w:t xml:space="preserve"> </w:t>
      </w:r>
      <w:hyperlink r:id="rId161">
        <w:r>
          <w:rPr>
            <w:rFonts w:ascii="Times New Roman" w:hAnsi="Times New Roman" w:eastAsia="宋体"/>
            <w:color w:val="0563C1"/>
            <w:sz w:val="24"/>
            <w:u w:val="single"/>
          </w:rPr>
          <w:t>Space for our climate</w:t>
        </w:r>
      </w:hyperlink>
      <w:r>
        <w:rPr>
          <w:rFonts w:ascii="Times New Roman" w:hAnsi="Times New Roman" w:eastAsia="宋体"/>
          <w:sz w:val="24"/>
        </w:rPr>
        <w:t xml:space="preserve"> </w:t>
      </w:r>
      <w:hyperlink r:id="rId162">
        <w:r>
          <w:rPr>
            <w:rFonts w:ascii="Times New Roman" w:hAnsi="Times New Roman" w:eastAsia="宋体"/>
            <w:color w:val="0563C1"/>
            <w:sz w:val="24"/>
            <w:u w:val="single"/>
          </w:rPr>
          <w:t>Satellite missions</w:t>
        </w:r>
      </w:hyperlink>
    </w:p>
    <w:p>
      <w:pPr>
        <w:pStyle w:val="DocH1"/>
      </w:pPr>
      <w:r>
        <w:rPr>
          <w:rFonts w:ascii="Times New Roman" w:hAnsi="Times New Roman" w:eastAsia="宋体"/>
          <w:sz w:val="24"/>
        </w:rPr>
        <w:t>Connectivity</w:t>
      </w:r>
    </w:p>
    <w:p>
      <w:pPr>
        <w:pStyle w:val="DocBody"/>
      </w:pPr>
      <w:hyperlink r:id="rId163">
        <w:r>
          <w:rPr>
            <w:rFonts w:ascii="Times New Roman" w:hAnsi="Times New Roman" w:eastAsia="宋体"/>
            <w:color w:val="0563C1"/>
            <w:sz w:val="24"/>
            <w:u w:val="single"/>
          </w:rPr>
          <w:t>Connectivity and Secure Communications</w:t>
        </w:r>
      </w:hyperlink>
      <w:r>
        <w:rPr>
          <w:rFonts w:ascii="Times New Roman" w:hAnsi="Times New Roman" w:eastAsia="宋体"/>
          <w:sz w:val="24"/>
        </w:rPr>
        <w:t xml:space="preserve"> </w:t>
      </w:r>
      <w:hyperlink r:id="rId164">
        <w:r>
          <w:rPr>
            <w:rFonts w:ascii="Times New Roman" w:hAnsi="Times New Roman" w:eastAsia="宋体"/>
            <w:color w:val="0563C1"/>
            <w:sz w:val="24"/>
            <w:u w:val="single"/>
          </w:rPr>
          <w:t>ARTES</w:t>
        </w:r>
      </w:hyperlink>
      <w:r>
        <w:rPr>
          <w:rFonts w:ascii="Times New Roman" w:hAnsi="Times New Roman" w:eastAsia="宋体"/>
          <w:sz w:val="24"/>
        </w:rPr>
        <w:t xml:space="preserve"> </w:t>
      </w:r>
      <w:hyperlink r:id="rId165">
        <w:r>
          <w:rPr>
            <w:rFonts w:ascii="Times New Roman" w:hAnsi="Times New Roman" w:eastAsia="宋体"/>
            <w:color w:val="0563C1"/>
            <w:sz w:val="24"/>
            <w:u w:val="single"/>
          </w:rPr>
          <w:t>Moonlight</w:t>
        </w:r>
      </w:hyperlink>
      <w:r>
        <w:rPr>
          <w:rFonts w:ascii="Times New Roman" w:hAnsi="Times New Roman" w:eastAsia="宋体"/>
          <w:sz w:val="24"/>
        </w:rPr>
        <w:t xml:space="preserve"> </w:t>
      </w:r>
      <w:hyperlink r:id="rId166">
        <w:r>
          <w:rPr>
            <w:rFonts w:ascii="Times New Roman" w:hAnsi="Times New Roman" w:eastAsia="宋体"/>
            <w:color w:val="0563C1"/>
            <w:sz w:val="24"/>
            <w:u w:val="single"/>
          </w:rPr>
          <w:t>Civil security from space</w:t>
        </w:r>
      </w:hyperlink>
    </w:p>
    <w:p>
      <w:pPr>
        <w:pStyle w:val="DocH1"/>
      </w:pPr>
      <w:r>
        <w:rPr>
          <w:rFonts w:ascii="Times New Roman" w:hAnsi="Times New Roman" w:eastAsia="宋体"/>
          <w:sz w:val="24"/>
        </w:rPr>
        <w:t>Satellite navigation</w:t>
      </w:r>
    </w:p>
    <w:p>
      <w:pPr>
        <w:pStyle w:val="DocBody"/>
      </w:pPr>
      <w:hyperlink r:id="rId167">
        <w:r>
          <w:rPr>
            <w:rFonts w:ascii="Times New Roman" w:hAnsi="Times New Roman" w:eastAsia="宋体"/>
            <w:color w:val="0563C1"/>
            <w:sz w:val="24"/>
            <w:u w:val="single"/>
          </w:rPr>
          <w:t>Satellite navigation</w:t>
        </w:r>
      </w:hyperlink>
      <w:r>
        <w:rPr>
          <w:rFonts w:ascii="Times New Roman" w:hAnsi="Times New Roman" w:eastAsia="宋体"/>
          <w:sz w:val="24"/>
        </w:rPr>
        <w:t xml:space="preserve"> </w:t>
      </w:r>
      <w:hyperlink r:id="rId168">
        <w:r>
          <w:rPr>
            <w:rFonts w:ascii="Times New Roman" w:hAnsi="Times New Roman" w:eastAsia="宋体"/>
            <w:color w:val="0563C1"/>
            <w:sz w:val="24"/>
            <w:u w:val="single"/>
          </w:rPr>
          <w:t>Galileo</w:t>
        </w:r>
      </w:hyperlink>
      <w:r>
        <w:rPr>
          <w:rFonts w:ascii="Times New Roman" w:hAnsi="Times New Roman" w:eastAsia="宋体"/>
          <w:sz w:val="24"/>
        </w:rPr>
        <w:t xml:space="preserve"> </w:t>
      </w:r>
      <w:hyperlink r:id="rId169">
        <w:r>
          <w:rPr>
            <w:rFonts w:ascii="Times New Roman" w:hAnsi="Times New Roman" w:eastAsia="宋体"/>
            <w:color w:val="0563C1"/>
            <w:sz w:val="24"/>
            <w:u w:val="single"/>
          </w:rPr>
          <w:t>EGNOS</w:t>
        </w:r>
      </w:hyperlink>
      <w:r>
        <w:rPr>
          <w:rFonts w:ascii="Times New Roman" w:hAnsi="Times New Roman" w:eastAsia="宋体"/>
          <w:sz w:val="24"/>
        </w:rPr>
        <w:t xml:space="preserve"> </w:t>
      </w:r>
      <w:hyperlink r:id="rId170">
        <w:r>
          <w:rPr>
            <w:rFonts w:ascii="Times New Roman" w:hAnsi="Times New Roman" w:eastAsia="宋体"/>
            <w:color w:val="0563C1"/>
            <w:sz w:val="24"/>
            <w:u w:val="single"/>
          </w:rPr>
          <w:t>NAVISP</w:t>
        </w:r>
      </w:hyperlink>
      <w:r>
        <w:rPr>
          <w:rFonts w:ascii="Times New Roman" w:hAnsi="Times New Roman" w:eastAsia="宋体"/>
          <w:sz w:val="24"/>
        </w:rPr>
        <w:t xml:space="preserve"> </w:t>
      </w:r>
      <w:hyperlink r:id="rId171">
        <w:r>
          <w:rPr>
            <w:rFonts w:ascii="Times New Roman" w:hAnsi="Times New Roman" w:eastAsia="宋体"/>
            <w:color w:val="0563C1"/>
            <w:sz w:val="24"/>
            <w:u w:val="single"/>
          </w:rPr>
          <w:t>Genesis</w:t>
        </w:r>
      </w:hyperlink>
      <w:r>
        <w:rPr>
          <w:rFonts w:ascii="Times New Roman" w:hAnsi="Times New Roman" w:eastAsia="宋体"/>
          <w:sz w:val="24"/>
        </w:rPr>
        <w:t xml:space="preserve"> </w:t>
      </w:r>
      <w:hyperlink r:id="rId172">
        <w:r>
          <w:rPr>
            <w:rFonts w:ascii="Times New Roman" w:hAnsi="Times New Roman" w:eastAsia="宋体"/>
            <w:color w:val="0563C1"/>
            <w:sz w:val="24"/>
            <w:u w:val="single"/>
          </w:rPr>
          <w:t>Celeste</w:t>
        </w:r>
      </w:hyperlink>
    </w:p>
    <w:p>
      <w:pPr>
        <w:pStyle w:val="DocH1"/>
      </w:pPr>
      <w:r>
        <w:rPr>
          <w:rFonts w:ascii="Times New Roman" w:hAnsi="Times New Roman" w:eastAsia="宋体"/>
          <w:sz w:val="24"/>
        </w:rPr>
        <w:t>Commercialisation</w:t>
      </w:r>
    </w:p>
    <w:p>
      <w:pPr>
        <w:pStyle w:val="DocBody"/>
      </w:pPr>
      <w:hyperlink r:id="rId53">
        <w:r>
          <w:rPr>
            <w:rFonts w:ascii="Times New Roman" w:hAnsi="Times New Roman" w:eastAsia="宋体"/>
            <w:color w:val="0563C1"/>
            <w:sz w:val="24"/>
            <w:u w:val="single"/>
          </w:rPr>
          <w:t>ESA Commercialisation Gateway</w:t>
        </w:r>
      </w:hyperlink>
      <w:r>
        <w:rPr>
          <w:rFonts w:ascii="Times New Roman" w:hAnsi="Times New Roman" w:eastAsia="宋体"/>
          <w:sz w:val="24"/>
        </w:rPr>
        <w:t xml:space="preserve"> </w:t>
      </w:r>
      <w:hyperlink r:id="rId61">
        <w:r>
          <w:rPr>
            <w:rFonts w:ascii="Times New Roman" w:hAnsi="Times New Roman" w:eastAsia="宋体"/>
            <w:color w:val="0563C1"/>
            <w:sz w:val="24"/>
            <w:u w:val="single"/>
          </w:rPr>
          <w:t>Open Space Innovation Platform</w:t>
        </w:r>
      </w:hyperlink>
      <w:r>
        <w:rPr>
          <w:rFonts w:ascii="Times New Roman" w:hAnsi="Times New Roman" w:eastAsia="宋体"/>
          <w:sz w:val="24"/>
        </w:rPr>
        <w:t xml:space="preserve"> </w:t>
      </w:r>
      <w:hyperlink r:id="rId173">
        <w:r>
          <w:rPr>
            <w:rFonts w:ascii="Times New Roman" w:hAnsi="Times New Roman" w:eastAsia="宋体"/>
            <w:color w:val="0563C1"/>
            <w:sz w:val="24"/>
            <w:u w:val="single"/>
          </w:rPr>
          <w:t>Business Incubation</w:t>
        </w:r>
      </w:hyperlink>
      <w:r>
        <w:rPr>
          <w:rFonts w:ascii="Times New Roman" w:hAnsi="Times New Roman" w:eastAsia="宋体"/>
          <w:sz w:val="24"/>
        </w:rPr>
        <w:t xml:space="preserve"> </w:t>
      </w:r>
      <w:hyperlink r:id="rId174">
        <w:r>
          <w:rPr>
            <w:rFonts w:ascii="Times New Roman" w:hAnsi="Times New Roman" w:eastAsia="宋体"/>
            <w:color w:val="0563C1"/>
            <w:sz w:val="24"/>
            <w:u w:val="single"/>
          </w:rPr>
          <w:t>ESA Space Solutions</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1015200" cy="762162"/>
            <wp:docPr id="53" name="Picture 53"/>
            <wp:cNvGraphicFramePr>
              <a:graphicFrameLocks noChangeAspect="1"/>
            </wp:cNvGraphicFramePr>
            <a:graphic>
              <a:graphicData uri="http://schemas.openxmlformats.org/drawingml/2006/picture">
                <pic:pic>
                  <pic:nvPicPr>
                    <pic:cNvPr id="0" name="4f7765a106c7459d.jpg"/>
                    <pic:cNvPicPr/>
                  </pic:nvPicPr>
                  <pic:blipFill>
                    <a:blip r:embed="rId175"/>
                    <a:stretch>
                      <a:fillRect/>
                    </a:stretch>
                  </pic:blipFill>
                  <pic:spPr>
                    <a:xfrm>
                      <a:off x="0" y="0"/>
                      <a:ext cx="1015200" cy="762162"/>
                    </a:xfrm>
                    <a:prstGeom prst="rect"/>
                  </pic:spPr>
                </pic:pic>
              </a:graphicData>
            </a:graphic>
          </wp:inline>
        </w:drawing>
      </w:r>
    </w:p>
    <w:p>
      <w:pPr>
        <w:pStyle w:val="DocCaption"/>
      </w:pPr>
      <w:r>
        <w:t>图53  Galileo satellite in orbit</w:t>
      </w:r>
    </w:p>
    <w:p>
      <w:pPr>
        <w:jc w:val="center"/>
      </w:pPr>
      <w:r>
        <w:drawing>
          <wp:inline xmlns:a="http://schemas.openxmlformats.org/drawingml/2006/main" xmlns:pic="http://schemas.openxmlformats.org/drawingml/2006/picture">
            <wp:extent cx="5400000" cy="4205608"/>
            <wp:docPr id="54" name="Picture 54"/>
            <wp:cNvGraphicFramePr>
              <a:graphicFrameLocks noChangeAspect="1"/>
            </wp:cNvGraphicFramePr>
            <a:graphic>
              <a:graphicData uri="http://schemas.openxmlformats.org/drawingml/2006/picture">
                <pic:pic>
                  <pic:nvPicPr>
                    <pic:cNvPr id="0" name="0f4c04573c002e38.jpg"/>
                    <pic:cNvPicPr/>
                  </pic:nvPicPr>
                  <pic:blipFill>
                    <a:blip r:embed="rId176"/>
                    <a:stretch>
                      <a:fillRect/>
                    </a:stretch>
                  </pic:blipFill>
                  <pic:spPr>
                    <a:xfrm>
                      <a:off x="0" y="0"/>
                      <a:ext cx="5400000" cy="4205608"/>
                    </a:xfrm>
                    <a:prstGeom prst="rect"/>
                  </pic:spPr>
                </pic:pic>
              </a:graphicData>
            </a:graphic>
          </wp:inline>
        </w:drawing>
      </w:r>
    </w:p>
    <w:p>
      <w:pPr>
        <w:pStyle w:val="DocCaption"/>
      </w:pPr>
      <w:r>
        <w:t>图54  These Copernicus Sentinel-2 images over the Danube north of Budapest show how the river’s level has fallen to a record l</w:t>
      </w:r>
    </w:p>
    <w:p>
      <w:pPr>
        <w:jc w:val="center"/>
      </w:pPr>
      <w:r>
        <w:drawing>
          <wp:inline xmlns:a="http://schemas.openxmlformats.org/drawingml/2006/main" xmlns:pic="http://schemas.openxmlformats.org/drawingml/2006/picture">
            <wp:extent cx="4230000" cy="2381757"/>
            <wp:docPr id="55" name="Picture 55"/>
            <wp:cNvGraphicFramePr>
              <a:graphicFrameLocks noChangeAspect="1"/>
            </wp:cNvGraphicFramePr>
            <a:graphic>
              <a:graphicData uri="http://schemas.openxmlformats.org/drawingml/2006/picture">
                <pic:pic>
                  <pic:nvPicPr>
                    <pic:cNvPr id="0" name="4127ba9e6bc28f1e.png"/>
                    <pic:cNvPicPr/>
                  </pic:nvPicPr>
                  <pic:blipFill>
                    <a:blip r:embed="rId177"/>
                    <a:stretch>
                      <a:fillRect/>
                    </a:stretch>
                  </pic:blipFill>
                  <pic:spPr>
                    <a:xfrm>
                      <a:off x="0" y="0"/>
                      <a:ext cx="4230000" cy="2381757"/>
                    </a:xfrm>
                    <a:prstGeom prst="rect"/>
                  </pic:spPr>
                </pic:pic>
              </a:graphicData>
            </a:graphic>
          </wp:inline>
        </w:drawing>
      </w:r>
    </w:p>
    <w:p>
      <w:pPr>
        <w:jc w:val="center"/>
      </w:pPr>
      <w:r>
        <w:drawing>
          <wp:inline xmlns:a="http://schemas.openxmlformats.org/drawingml/2006/main" xmlns:pic="http://schemas.openxmlformats.org/drawingml/2006/picture">
            <wp:extent cx="4230000" cy="2381757"/>
            <wp:docPr id="56" name="Picture 56"/>
            <wp:cNvGraphicFramePr>
              <a:graphicFrameLocks noChangeAspect="1"/>
            </wp:cNvGraphicFramePr>
            <a:graphic>
              <a:graphicData uri="http://schemas.openxmlformats.org/drawingml/2006/picture">
                <pic:pic>
                  <pic:nvPicPr>
                    <pic:cNvPr id="0" name="01b0a159adbd7203.jpg"/>
                    <pic:cNvPicPr/>
                  </pic:nvPicPr>
                  <pic:blipFill>
                    <a:blip r:embed="rId178"/>
                    <a:stretch>
                      <a:fillRect/>
                    </a:stretch>
                  </pic:blipFill>
                  <pic:spPr>
                    <a:xfrm>
                      <a:off x="0" y="0"/>
                      <a:ext cx="4230000" cy="2381757"/>
                    </a:xfrm>
                    <a:prstGeom prst="rect"/>
                  </pic:spPr>
                </pic:pic>
              </a:graphicData>
            </a:graphic>
          </wp:inline>
        </w:drawing>
      </w:r>
    </w:p>
    <w:p>
      <w:pPr>
        <w:pStyle w:val="DocCaption"/>
      </w:pPr>
      <w:r>
        <w:t>图56  ESA Φ-week 2021</w:t>
      </w:r>
    </w:p>
    <w:p>
      <w:pPr>
        <w:pStyle w:val="DocH1"/>
      </w:pPr>
      <w:hyperlink r:id="rId179">
        <w:r>
          <w:rPr>
            <w:rFonts w:ascii="Times New Roman" w:hAnsi="Times New Roman" w:eastAsia="宋体"/>
            <w:color w:val="0563C1"/>
            <w:sz w:val="24"/>
            <w:u w:val="single"/>
          </w:rPr>
          <w:t>Enabling &amp; Support</w:t>
        </w:r>
      </w:hyperlink>
    </w:p>
    <w:p>
      <w:pPr>
        <w:pStyle w:val="DocBody"/>
      </w:pPr>
      <w:r>
        <w:rPr>
          <w:rFonts w:ascii="Times New Roman" w:hAnsi="Times New Roman" w:eastAsia="宋体"/>
          <w:sz w:val="24"/>
        </w:rPr>
        <w:t xml:space="preserve">Making space accessible and developing the technologies for the future </w:t>
      </w:r>
      <w:hyperlink r:id="rId179">
        <w:r>
          <w:rPr>
            <w:rFonts w:ascii="Times New Roman" w:hAnsi="Times New Roman" w:eastAsia="宋体"/>
            <w:color w:val="0563C1"/>
            <w:sz w:val="24"/>
            <w:u w:val="single"/>
          </w:rPr>
          <w:t>Go to topic</w:t>
        </w:r>
      </w:hyperlink>
    </w:p>
    <w:p>
      <w:pPr>
        <w:pStyle w:val="DocH1"/>
      </w:pPr>
      <w:r>
        <w:rPr>
          <w:rFonts w:ascii="Times New Roman" w:hAnsi="Times New Roman" w:eastAsia="宋体"/>
          <w:sz w:val="24"/>
        </w:rPr>
        <w:t>Building missions</w:t>
      </w:r>
    </w:p>
    <w:p>
      <w:pPr>
        <w:pStyle w:val="DocBody"/>
      </w:pPr>
      <w:hyperlink r:id="rId180">
        <w:r>
          <w:rPr>
            <w:rFonts w:ascii="Times New Roman" w:hAnsi="Times New Roman" w:eastAsia="宋体"/>
            <w:color w:val="0563C1"/>
            <w:sz w:val="24"/>
            <w:u w:val="single"/>
          </w:rPr>
          <w:t>Space Engineering and Technology</w:t>
        </w:r>
      </w:hyperlink>
      <w:r>
        <w:rPr>
          <w:rFonts w:ascii="Times New Roman" w:hAnsi="Times New Roman" w:eastAsia="宋体"/>
          <w:sz w:val="24"/>
        </w:rPr>
        <w:t xml:space="preserve"> </w:t>
      </w:r>
      <w:hyperlink r:id="rId181">
        <w:r>
          <w:rPr>
            <w:rFonts w:ascii="Times New Roman" w:hAnsi="Times New Roman" w:eastAsia="宋体"/>
            <w:color w:val="0563C1"/>
            <w:sz w:val="24"/>
            <w:u w:val="single"/>
          </w:rPr>
          <w:t>Test centre</w:t>
        </w:r>
      </w:hyperlink>
      <w:r>
        <w:rPr>
          <w:rFonts w:ascii="Times New Roman" w:hAnsi="Times New Roman" w:eastAsia="宋体"/>
          <w:sz w:val="24"/>
        </w:rPr>
        <w:t xml:space="preserve"> </w:t>
      </w:r>
      <w:hyperlink r:id="rId182">
        <w:r>
          <w:rPr>
            <w:rFonts w:ascii="Times New Roman" w:hAnsi="Times New Roman" w:eastAsia="宋体"/>
            <w:color w:val="0563C1"/>
            <w:sz w:val="24"/>
            <w:u w:val="single"/>
          </w:rPr>
          <w:t>Laboratories</w:t>
        </w:r>
      </w:hyperlink>
      <w:r>
        <w:rPr>
          <w:rFonts w:ascii="Times New Roman" w:hAnsi="Times New Roman" w:eastAsia="宋体"/>
          <w:sz w:val="24"/>
        </w:rPr>
        <w:t xml:space="preserve"> </w:t>
      </w:r>
      <w:hyperlink r:id="rId183">
        <w:r>
          <w:rPr>
            <w:rFonts w:ascii="Times New Roman" w:hAnsi="Times New Roman" w:eastAsia="宋体"/>
            <w:color w:val="0563C1"/>
            <w:sz w:val="24"/>
            <w:u w:val="single"/>
          </w:rPr>
          <w:t>Concurrent Design Facility</w:t>
        </w:r>
      </w:hyperlink>
      <w:r>
        <w:rPr>
          <w:rFonts w:ascii="Times New Roman" w:hAnsi="Times New Roman" w:eastAsia="宋体"/>
          <w:sz w:val="24"/>
        </w:rPr>
        <w:t xml:space="preserve"> </w:t>
      </w:r>
      <w:hyperlink r:id="rId184">
        <w:r>
          <w:rPr>
            <w:rFonts w:ascii="Times New Roman" w:hAnsi="Times New Roman" w:eastAsia="宋体"/>
            <w:color w:val="0563C1"/>
            <w:sz w:val="24"/>
            <w:u w:val="single"/>
          </w:rPr>
          <w:t>Shaping the Future</w:t>
        </w:r>
      </w:hyperlink>
      <w:r>
        <w:rPr>
          <w:rFonts w:ascii="Times New Roman" w:hAnsi="Times New Roman" w:eastAsia="宋体"/>
          <w:sz w:val="24"/>
        </w:rPr>
        <w:t xml:space="preserve"> </w:t>
      </w:r>
      <w:hyperlink r:id="rId185">
        <w:r>
          <w:rPr>
            <w:rFonts w:ascii="Times New Roman" w:hAnsi="Times New Roman" w:eastAsia="宋体"/>
            <w:color w:val="0563C1"/>
            <w:sz w:val="24"/>
            <w:u w:val="single"/>
          </w:rPr>
          <w:t>Discovery and Preparation</w:t>
        </w:r>
      </w:hyperlink>
      <w:r>
        <w:rPr>
          <w:rFonts w:ascii="Times New Roman" w:hAnsi="Times New Roman" w:eastAsia="宋体"/>
          <w:sz w:val="24"/>
        </w:rPr>
        <w:t xml:space="preserve"> </w:t>
      </w:r>
      <w:hyperlink r:id="rId186">
        <w:r>
          <w:rPr>
            <w:rFonts w:ascii="Times New Roman" w:hAnsi="Times New Roman" w:eastAsia="宋体"/>
            <w:color w:val="0563C1"/>
            <w:sz w:val="24"/>
            <w:u w:val="single"/>
          </w:rPr>
          <w:t>Advanced Concepts Team</w:t>
        </w:r>
      </w:hyperlink>
      <w:r>
        <w:rPr>
          <w:rFonts w:ascii="Times New Roman" w:hAnsi="Times New Roman" w:eastAsia="宋体"/>
          <w:sz w:val="24"/>
        </w:rPr>
        <w:t xml:space="preserve"> </w:t>
      </w:r>
      <w:hyperlink r:id="rId187">
        <w:r>
          <w:rPr>
            <w:rFonts w:ascii="Times New Roman" w:hAnsi="Times New Roman" w:eastAsia="宋体"/>
            <w:color w:val="0563C1"/>
            <w:sz w:val="24"/>
            <w:u w:val="single"/>
          </w:rPr>
          <w:t>ESA Young Professionals Satellites</w:t>
        </w:r>
      </w:hyperlink>
    </w:p>
    <w:p>
      <w:pPr>
        <w:pStyle w:val="DocH1"/>
      </w:pPr>
      <w:r>
        <w:rPr>
          <w:rFonts w:ascii="Times New Roman" w:hAnsi="Times New Roman" w:eastAsia="宋体"/>
          <w:sz w:val="24"/>
        </w:rPr>
        <w:t>Space transportation</w:t>
      </w:r>
    </w:p>
    <w:p>
      <w:pPr>
        <w:pStyle w:val="DocBody"/>
      </w:pPr>
      <w:hyperlink r:id="rId188">
        <w:r>
          <w:rPr>
            <w:rFonts w:ascii="Times New Roman" w:hAnsi="Times New Roman" w:eastAsia="宋体"/>
            <w:color w:val="0563C1"/>
            <w:sz w:val="24"/>
            <w:u w:val="single"/>
          </w:rPr>
          <w:t>Space Transportation</w:t>
        </w:r>
      </w:hyperlink>
      <w:r>
        <w:rPr>
          <w:rFonts w:ascii="Times New Roman" w:hAnsi="Times New Roman" w:eastAsia="宋体"/>
          <w:sz w:val="24"/>
        </w:rPr>
        <w:t xml:space="preserve"> </w:t>
      </w:r>
      <w:hyperlink r:id="rId189">
        <w:r>
          <w:rPr>
            <w:rFonts w:ascii="Times New Roman" w:hAnsi="Times New Roman" w:eastAsia="宋体"/>
            <w:color w:val="0563C1"/>
            <w:sz w:val="24"/>
            <w:u w:val="single"/>
          </w:rPr>
          <w:t>Ariane</w:t>
        </w:r>
      </w:hyperlink>
      <w:r>
        <w:rPr>
          <w:rFonts w:ascii="Times New Roman" w:hAnsi="Times New Roman" w:eastAsia="宋体"/>
          <w:sz w:val="24"/>
        </w:rPr>
        <w:t xml:space="preserve"> </w:t>
      </w:r>
      <w:hyperlink r:id="rId190">
        <w:r>
          <w:rPr>
            <w:rFonts w:ascii="Times New Roman" w:hAnsi="Times New Roman" w:eastAsia="宋体"/>
            <w:color w:val="0563C1"/>
            <w:sz w:val="24"/>
            <w:u w:val="single"/>
          </w:rPr>
          <w:t>Vega</w:t>
        </w:r>
      </w:hyperlink>
      <w:r>
        <w:rPr>
          <w:rFonts w:ascii="Times New Roman" w:hAnsi="Times New Roman" w:eastAsia="宋体"/>
          <w:sz w:val="24"/>
        </w:rPr>
        <w:t xml:space="preserve"> </w:t>
      </w:r>
      <w:hyperlink r:id="rId191">
        <w:r>
          <w:rPr>
            <w:rFonts w:ascii="Times New Roman" w:hAnsi="Times New Roman" w:eastAsia="宋体"/>
            <w:color w:val="0563C1"/>
            <w:sz w:val="24"/>
            <w:u w:val="single"/>
          </w:rPr>
          <w:t>Space Rider</w:t>
        </w:r>
      </w:hyperlink>
      <w:r>
        <w:rPr>
          <w:rFonts w:ascii="Times New Roman" w:hAnsi="Times New Roman" w:eastAsia="宋体"/>
          <w:sz w:val="24"/>
        </w:rPr>
        <w:t xml:space="preserve"> </w:t>
      </w:r>
      <w:hyperlink r:id="rId192">
        <w:r>
          <w:rPr>
            <w:rFonts w:ascii="Times New Roman" w:hAnsi="Times New Roman" w:eastAsia="宋体"/>
            <w:color w:val="0563C1"/>
            <w:sz w:val="24"/>
            <w:u w:val="single"/>
          </w:rPr>
          <w:t>Future space transportation</w:t>
        </w:r>
      </w:hyperlink>
      <w:r>
        <w:rPr>
          <w:rFonts w:ascii="Times New Roman" w:hAnsi="Times New Roman" w:eastAsia="宋体"/>
          <w:sz w:val="24"/>
        </w:rPr>
        <w:t xml:space="preserve"> </w:t>
      </w:r>
      <w:hyperlink r:id="rId193">
        <w:r>
          <w:rPr>
            <w:rFonts w:ascii="Times New Roman" w:hAnsi="Times New Roman" w:eastAsia="宋体"/>
            <w:color w:val="0563C1"/>
            <w:sz w:val="24"/>
            <w:u w:val="single"/>
          </w:rPr>
          <w:t>Boost!</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Europe's Spaceport</w:t>
        </w:r>
      </w:hyperlink>
      <w:r>
        <w:rPr>
          <w:rFonts w:ascii="Times New Roman" w:hAnsi="Times New Roman" w:eastAsia="宋体"/>
          <w:sz w:val="24"/>
        </w:rPr>
        <w:t xml:space="preserve"> </w:t>
      </w:r>
      <w:hyperlink r:id="rId194">
        <w:r>
          <w:rPr>
            <w:rFonts w:ascii="Times New Roman" w:hAnsi="Times New Roman" w:eastAsia="宋体"/>
            <w:color w:val="0563C1"/>
            <w:sz w:val="24"/>
            <w:u w:val="single"/>
          </w:rPr>
          <w:t>Launches from Europe's Spaceport from 2012</w:t>
        </w:r>
      </w:hyperlink>
    </w:p>
    <w:p>
      <w:pPr>
        <w:pStyle w:val="DocH1"/>
      </w:pPr>
      <w:r>
        <w:rPr>
          <w:rFonts w:ascii="Times New Roman" w:hAnsi="Times New Roman" w:eastAsia="宋体"/>
          <w:sz w:val="24"/>
        </w:rPr>
        <w:t>Flying missions</w:t>
      </w:r>
    </w:p>
    <w:p>
      <w:pPr>
        <w:pStyle w:val="DocBody"/>
      </w:pPr>
      <w:hyperlink r:id="rId195">
        <w:r>
          <w:rPr>
            <w:rFonts w:ascii="Times New Roman" w:hAnsi="Times New Roman" w:eastAsia="宋体"/>
            <w:color w:val="0563C1"/>
            <w:sz w:val="24"/>
            <w:u w:val="single"/>
          </w:rPr>
          <w:t>Operations</w:t>
        </w:r>
      </w:hyperlink>
      <w:r>
        <w:rPr>
          <w:rFonts w:ascii="Times New Roman" w:hAnsi="Times New Roman" w:eastAsia="宋体"/>
          <w:sz w:val="24"/>
        </w:rPr>
        <w:t xml:space="preserve"> </w:t>
      </w:r>
      <w:hyperlink r:id="rId196">
        <w:r>
          <w:rPr>
            <w:rFonts w:ascii="Times New Roman" w:hAnsi="Times New Roman" w:eastAsia="宋体"/>
            <w:color w:val="0563C1"/>
            <w:sz w:val="24"/>
            <w:u w:val="single"/>
          </w:rPr>
          <w:t>ESA ground stations</w:t>
        </w:r>
      </w:hyperlink>
      <w:r>
        <w:rPr>
          <w:rFonts w:ascii="Times New Roman" w:hAnsi="Times New Roman" w:eastAsia="宋体"/>
          <w:sz w:val="24"/>
        </w:rPr>
        <w:t xml:space="preserve"> </w:t>
      </w:r>
      <w:hyperlink r:id="rId197">
        <w:r>
          <w:rPr>
            <w:rFonts w:ascii="Times New Roman" w:hAnsi="Times New Roman" w:eastAsia="宋体"/>
            <w:color w:val="0563C1"/>
            <w:sz w:val="24"/>
            <w:u w:val="single"/>
          </w:rPr>
          <w:t>Ground Systems Engineering</w:t>
        </w:r>
      </w:hyperlink>
    </w:p>
    <w:p>
      <w:pPr>
        <w:pStyle w:val="DocH1"/>
      </w:pPr>
      <w:r>
        <w:rPr>
          <w:rFonts w:ascii="Times New Roman" w:hAnsi="Times New Roman" w:eastAsia="宋体"/>
          <w:sz w:val="24"/>
        </w:rPr>
        <w:t>Latest</w:t>
      </w:r>
    </w:p>
    <w:p>
      <w:pPr>
        <w:jc w:val="center"/>
      </w:pPr>
      <w:r>
        <w:drawing>
          <wp:inline xmlns:a="http://schemas.openxmlformats.org/drawingml/2006/main" xmlns:pic="http://schemas.openxmlformats.org/drawingml/2006/picture">
            <wp:extent cx="914400" cy="914400"/>
            <wp:docPr id="57" name="Picture 57"/>
            <wp:cNvGraphicFramePr>
              <a:graphicFrameLocks noChangeAspect="1"/>
            </wp:cNvGraphicFramePr>
            <a:graphic>
              <a:graphicData uri="http://schemas.openxmlformats.org/drawingml/2006/picture">
                <pic:pic>
                  <pic:nvPicPr>
                    <pic:cNvPr id="0" name="45fdb84f7bd18355.png"/>
                    <pic:cNvPicPr/>
                  </pic:nvPicPr>
                  <pic:blipFill>
                    <a:blip r:embed="rId198"/>
                    <a:stretch>
                      <a:fillRect/>
                    </a:stretch>
                  </pic:blipFill>
                  <pic:spPr>
                    <a:xfrm>
                      <a:off x="0" y="0"/>
                      <a:ext cx="914400" cy="914400"/>
                    </a:xfrm>
                    <a:prstGeom prst="rect"/>
                  </pic:spPr>
                </pic:pic>
              </a:graphicData>
            </a:graphic>
          </wp:inline>
        </w:drawing>
      </w:r>
    </w:p>
    <w:p>
      <w:pPr>
        <w:pStyle w:val="DocCaption"/>
      </w:pPr>
      <w:r>
        <w:t>图57  European Launcher Challenge visual</w:t>
      </w:r>
    </w:p>
    <w:p>
      <w:pPr>
        <w:jc w:val="center"/>
      </w:pPr>
      <w:r>
        <w:drawing>
          <wp:inline xmlns:a="http://schemas.openxmlformats.org/drawingml/2006/main" xmlns:pic="http://schemas.openxmlformats.org/drawingml/2006/picture">
            <wp:extent cx="4762800" cy="4762800"/>
            <wp:docPr id="58" name="Picture 58"/>
            <wp:cNvGraphicFramePr>
              <a:graphicFrameLocks noChangeAspect="1"/>
            </wp:cNvGraphicFramePr>
            <a:graphic>
              <a:graphicData uri="http://schemas.openxmlformats.org/drawingml/2006/picture">
                <pic:pic>
                  <pic:nvPicPr>
                    <pic:cNvPr id="0" name="407f470941526ccd.png"/>
                    <pic:cNvPicPr/>
                  </pic:nvPicPr>
                  <pic:blipFill>
                    <a:blip r:embed="rId199"/>
                    <a:stretch>
                      <a:fillRect/>
                    </a:stretch>
                  </pic:blipFill>
                  <pic:spPr>
                    <a:xfrm>
                      <a:off x="0" y="0"/>
                      <a:ext cx="4762800" cy="4762800"/>
                    </a:xfrm>
                    <a:prstGeom prst="rect"/>
                  </pic:spPr>
                </pic:pic>
              </a:graphicData>
            </a:graphic>
          </wp:inline>
        </w:drawing>
      </w:r>
    </w:p>
    <w:p>
      <w:pPr>
        <w:pStyle w:val="DocCaption"/>
      </w:pPr>
      <w:r>
        <w:t>图58  Artificial solar eclipse by Proba-3 mission</w:t>
      </w:r>
    </w:p>
    <w:p>
      <w:pPr>
        <w:jc w:val="center"/>
      </w:pPr>
      <w:r>
        <w:drawing>
          <wp:inline xmlns:a="http://schemas.openxmlformats.org/drawingml/2006/main" xmlns:pic="http://schemas.openxmlformats.org/drawingml/2006/picture">
            <wp:extent cx="2818800" cy="1587162"/>
            <wp:docPr id="59" name="Picture 59"/>
            <wp:cNvGraphicFramePr>
              <a:graphicFrameLocks noChangeAspect="1"/>
            </wp:cNvGraphicFramePr>
            <a:graphic>
              <a:graphicData uri="http://schemas.openxmlformats.org/drawingml/2006/picture">
                <pic:pic>
                  <pic:nvPicPr>
                    <pic:cNvPr id="0" name="7fb398b43c7b649f.jpg"/>
                    <pic:cNvPicPr/>
                  </pic:nvPicPr>
                  <pic:blipFill>
                    <a:blip r:embed="rId200"/>
                    <a:stretch>
                      <a:fillRect/>
                    </a:stretch>
                  </pic:blipFill>
                  <pic:spPr>
                    <a:xfrm>
                      <a:off x="0" y="0"/>
                      <a:ext cx="2818800" cy="1587162"/>
                    </a:xfrm>
                    <a:prstGeom prst="rect"/>
                  </pic:spPr>
                </pic:pic>
              </a:graphicData>
            </a:graphic>
          </wp:inline>
        </w:drawing>
      </w:r>
    </w:p>
    <w:p>
      <w:pPr>
        <w:pStyle w:val="DocCaption"/>
      </w:pPr>
      <w:r>
        <w:t>图59  The Moon crossing Proba-3’s field of view</w:t>
      </w:r>
    </w:p>
    <w:p>
      <w:pPr>
        <w:jc w:val="center"/>
      </w:pPr>
      <w:r>
        <w:drawing>
          <wp:inline xmlns:a="http://schemas.openxmlformats.org/drawingml/2006/main" xmlns:pic="http://schemas.openxmlformats.org/drawingml/2006/picture">
            <wp:extent cx="4237200" cy="2380449"/>
            <wp:docPr id="60" name="Picture 60"/>
            <wp:cNvGraphicFramePr>
              <a:graphicFrameLocks noChangeAspect="1"/>
            </wp:cNvGraphicFramePr>
            <a:graphic>
              <a:graphicData uri="http://schemas.openxmlformats.org/drawingml/2006/picture">
                <pic:pic>
                  <pic:nvPicPr>
                    <pic:cNvPr id="0" name="c2bc7e5046ffb01f.jpg"/>
                    <pic:cNvPicPr/>
                  </pic:nvPicPr>
                  <pic:blipFill>
                    <a:blip r:embed="rId201"/>
                    <a:stretch>
                      <a:fillRect/>
                    </a:stretch>
                  </pic:blipFill>
                  <pic:spPr>
                    <a:xfrm>
                      <a:off x="0" y="0"/>
                      <a:ext cx="4237200" cy="2380449"/>
                    </a:xfrm>
                    <a:prstGeom prst="rect"/>
                  </pic:spPr>
                </pic:pic>
              </a:graphicData>
            </a:graphic>
          </wp:inline>
        </w:drawing>
      </w:r>
    </w:p>
    <w:p>
      <w:pPr>
        <w:pStyle w:val="DocCaption"/>
      </w:pPr>
      <w:r>
        <w:t>图60  Juice approaches Earth</w:t>
      </w:r>
    </w:p>
    <w:p>
      <w:pPr>
        <w:jc w:val="center"/>
      </w:pPr>
      <w:r>
        <w:drawing>
          <wp:inline xmlns:a="http://schemas.openxmlformats.org/drawingml/2006/main" xmlns:pic="http://schemas.openxmlformats.org/drawingml/2006/picture">
            <wp:extent cx="5400000" cy="3037500"/>
            <wp:docPr id="61" name="Picture 61"/>
            <wp:cNvGraphicFramePr>
              <a:graphicFrameLocks noChangeAspect="1"/>
            </wp:cNvGraphicFramePr>
            <a:graphic>
              <a:graphicData uri="http://schemas.openxmlformats.org/drawingml/2006/picture">
                <pic:pic>
                  <pic:nvPicPr>
                    <pic:cNvPr id="0" name="cf26c1e62ae9c059.jpg"/>
                    <pic:cNvPicPr/>
                  </pic:nvPicPr>
                  <pic:blipFill>
                    <a:blip r:embed="rId202"/>
                    <a:stretch>
                      <a:fillRect/>
                    </a:stretch>
                  </pic:blipFill>
                  <pic:spPr>
                    <a:xfrm>
                      <a:off x="0" y="0"/>
                      <a:ext cx="5400000" cy="3037500"/>
                    </a:xfrm>
                    <a:prstGeom prst="rect"/>
                  </pic:spPr>
                </pic:pic>
              </a:graphicData>
            </a:graphic>
          </wp:inline>
        </w:drawing>
      </w:r>
    </w:p>
    <w:p>
      <w:pPr>
        <w:pStyle w:val="DocCaption"/>
      </w:pPr>
      <w:r>
        <w:t>图61  Mercury Transfer Module separation</w:t>
      </w:r>
    </w:p>
    <w:p>
      <w:pPr>
        <w:pStyle w:val="DocBody"/>
      </w:pPr>
      <w:hyperlink r:id="rId15">
        <w:r>
          <w:rPr>
            <w:rFonts w:ascii="Times New Roman" w:hAnsi="Times New Roman" w:eastAsia="宋体"/>
            <w:color w:val="0563C1"/>
            <w:sz w:val="24"/>
            <w:u w:val="single"/>
          </w:rPr>
          <w:t>ESA</w:t>
        </w:r>
      </w:hyperlink>
      <w:r>
        <w:rPr>
          <w:rFonts w:ascii="Times New Roman" w:hAnsi="Times New Roman" w:eastAsia="宋体"/>
          <w:sz w:val="24"/>
        </w:rPr>
        <w:t xml:space="preserve"> / </w:t>
      </w:r>
      <w:hyperlink r:id="rId179">
        <w:r>
          <w:rPr>
            <w:rFonts w:ascii="Times New Roman" w:hAnsi="Times New Roman" w:eastAsia="宋体"/>
            <w:color w:val="0563C1"/>
            <w:sz w:val="24"/>
            <w:u w:val="single"/>
          </w:rPr>
          <w:t>Enabling &amp; Support</w:t>
        </w:r>
      </w:hyperlink>
      <w:r>
        <w:rPr>
          <w:rFonts w:ascii="Times New Roman" w:hAnsi="Times New Roman" w:eastAsia="宋体"/>
          <w:sz w:val="24"/>
        </w:rPr>
        <w:t xml:space="preserve"> / </w:t>
      </w:r>
      <w:hyperlink r:id="rId195">
        <w:r>
          <w:rPr>
            <w:rFonts w:ascii="Times New Roman" w:hAnsi="Times New Roman" w:eastAsia="宋体"/>
            <w:color w:val="0563C1"/>
            <w:sz w:val="24"/>
            <w:u w:val="single"/>
          </w:rPr>
          <w:t>Operations</w:t>
        </w:r>
      </w:hyperlink>
    </w:p>
    <w:p>
      <w:pPr>
        <w:pStyle w:val="DocBody"/>
      </w:pPr>
      <w:r>
        <w:rPr>
          <w:rFonts w:ascii="Times New Roman" w:hAnsi="Times New Roman" w:eastAsia="宋体"/>
          <w:sz w:val="24"/>
        </w:rPr>
        <w:t xml:space="preserve">After eight years, the ESA/JAXA </w:t>
      </w:r>
      <w:hyperlink r:id="rId119">
        <w:r>
          <w:rPr>
            <w:rFonts w:ascii="Times New Roman" w:hAnsi="Times New Roman" w:eastAsia="宋体"/>
            <w:color w:val="0563C1"/>
            <w:sz w:val="24"/>
            <w:u w:val="single"/>
          </w:rPr>
          <w:t>BepiColombo</w:t>
        </w:r>
      </w:hyperlink>
      <w:r>
        <w:rPr>
          <w:rFonts w:ascii="Times New Roman" w:hAnsi="Times New Roman" w:eastAsia="宋体"/>
          <w:sz w:val="24"/>
        </w:rPr>
        <w:t xml:space="preserve"> mission is about to enter its Mercury Arrival Phase. On 3 September 2026, ESA’s Mercury Transfer Module (MTM) will separate from BepiColombo’s two science orbiters – the first major step in one of the most operationally challenging planetary arrival sequences ever attempted by ESA.</w:t>
      </w:r>
    </w:p>
    <w:p>
      <w:pPr>
        <w:pStyle w:val="DocBody"/>
      </w:pPr>
      <w:r>
        <w:rPr>
          <w:rFonts w:ascii="Times New Roman" w:hAnsi="Times New Roman" w:eastAsia="宋体"/>
          <w:sz w:val="24"/>
        </w:rPr>
        <w:t>The European Space Agency (ESA) will livestream the critical milestone from 13:45 CEST. Tune in and witness the first step of one of the most complex phases of the mission, live from ESA mission control.</w:t>
      </w:r>
    </w:p>
    <w:p>
      <w:pPr>
        <w:pStyle w:val="DocBody"/>
      </w:pPr>
      <w:r>
        <w:rPr>
          <w:rFonts w:ascii="Times New Roman" w:hAnsi="Times New Roman" w:eastAsia="宋体"/>
          <w:sz w:val="24"/>
        </w:rPr>
        <w:t>!</w:t>
      </w:r>
    </w:p>
    <w:p>
      <w:pPr>
        <w:pStyle w:val="DocBody"/>
      </w:pPr>
      <w:r>
        <w:rPr>
          <w:rFonts w:ascii="Times New Roman" w:hAnsi="Times New Roman" w:eastAsia="宋体"/>
          <w:sz w:val="24"/>
        </w:rPr>
        <w:t>The ESA/JAXA BepiColombo mission is ready for the first critical step towards arriving at its final destination, the mysterious planet Mercury. After eight years of travelling together as one stacked spacecraft, ESA’s Mercury Transfer Module (</w:t>
      </w:r>
      <w:hyperlink r:id="rId203">
        <w:r>
          <w:rPr>
            <w:rFonts w:ascii="Times New Roman" w:hAnsi="Times New Roman" w:eastAsia="宋体"/>
            <w:color w:val="0563C1"/>
            <w:sz w:val="24"/>
            <w:u w:val="single"/>
          </w:rPr>
          <w:t>MTM</w:t>
        </w:r>
      </w:hyperlink>
      <w:r>
        <w:rPr>
          <w:rFonts w:ascii="Times New Roman" w:hAnsi="Times New Roman" w:eastAsia="宋体"/>
          <w:sz w:val="24"/>
        </w:rPr>
        <w:t>), which has powered BepiColombo’s interplanetary journey, will separate from BepiColombo’s two science orbiters on 3 September 2026.</w:t>
      </w:r>
    </w:p>
    <w:p>
      <w:pPr>
        <w:pStyle w:val="DocBody"/>
      </w:pPr>
      <w:r>
        <w:rPr>
          <w:rFonts w:ascii="Times New Roman" w:hAnsi="Times New Roman" w:eastAsia="宋体"/>
          <w:sz w:val="24"/>
        </w:rPr>
        <w:t>But separation is only the beginning.</w:t>
      </w:r>
    </w:p>
    <w:p>
      <w:pPr>
        <w:pStyle w:val="DocBody"/>
      </w:pPr>
      <w:r>
        <w:rPr>
          <w:rFonts w:ascii="Times New Roman" w:hAnsi="Times New Roman" w:eastAsia="宋体"/>
          <w:sz w:val="24"/>
        </w:rPr>
        <w:t>Getting to Mercury is hard. Arriving there is even harder. BepiColombo's arrival is one of the most demanding operational sequences ever carried out by ESA. MTM's separation on 3 September is just the first step. After MTM has separated, in November ESA's Mercury Planetary Orbiter (</w:t>
      </w:r>
      <w:hyperlink r:id="rId204">
        <w:r>
          <w:rPr>
            <w:rFonts w:ascii="Times New Roman" w:hAnsi="Times New Roman" w:eastAsia="宋体"/>
            <w:color w:val="0563C1"/>
            <w:sz w:val="24"/>
            <w:u w:val="single"/>
          </w:rPr>
          <w:t>MPO</w:t>
        </w:r>
      </w:hyperlink>
      <w:r>
        <w:rPr>
          <w:rFonts w:ascii="Times New Roman" w:hAnsi="Times New Roman" w:eastAsia="宋体"/>
          <w:sz w:val="24"/>
        </w:rPr>
        <w:t>) and JAXA's Mercury Magnetospheric Orbiter (</w:t>
      </w:r>
      <w:hyperlink r:id="rId205">
        <w:r>
          <w:rPr>
            <w:rFonts w:ascii="Times New Roman" w:hAnsi="Times New Roman" w:eastAsia="宋体"/>
            <w:color w:val="0563C1"/>
            <w:sz w:val="24"/>
            <w:u w:val="single"/>
          </w:rPr>
          <w:t>Mio</w:t>
        </w:r>
      </w:hyperlink>
      <w:r>
        <w:rPr>
          <w:rFonts w:ascii="Times New Roman" w:hAnsi="Times New Roman" w:eastAsia="宋体"/>
          <w:sz w:val="24"/>
        </w:rPr>
        <w:t>) will enter orbit around Mercury together, before separating from each other in December 2026. Science operations will begin in April 2027.</w:t>
      </w:r>
    </w:p>
    <w:p>
      <w:pPr>
        <w:pStyle w:val="DocBody"/>
      </w:pPr>
      <w:r>
        <w:rPr>
          <w:rFonts w:ascii="Times New Roman" w:hAnsi="Times New Roman" w:eastAsia="宋体"/>
          <w:sz w:val="24"/>
        </w:rPr>
        <w:t>The programme will be broadcast live from ESA's European Space Operations Centre (ESOC) in Darmstadt, Germany, and will feature live views from the iconic Main Control Room as the Mission Control Team carries out the separation operations. Our co-hosts will share special mission moments. ESA and JAXA experts will provide behind-the-scenes insights and expert analysis.</w:t>
      </w:r>
    </w:p>
    <w:p>
      <w:pPr>
        <w:pStyle w:val="DocBody"/>
      </w:pPr>
      <w:r>
        <w:rPr>
          <w:rFonts w:ascii="Times New Roman" w:hAnsi="Times New Roman" w:eastAsia="宋体"/>
          <w:sz w:val="24"/>
        </w:rPr>
        <w:t>Then comes the wait. Following separation, teams on Earth will listen for BepiColombo’s post separation acquisition of signal and carry out the first checks to confirm the spacecraft is healthy and that the operation has gone to plan.</w:t>
      </w:r>
    </w:p>
    <w:p>
      <w:pPr>
        <w:jc w:val="center"/>
      </w:pPr>
      <w:r>
        <w:drawing>
          <wp:inline xmlns:a="http://schemas.openxmlformats.org/drawingml/2006/main" xmlns:pic="http://schemas.openxmlformats.org/drawingml/2006/picture">
            <wp:extent cx="2926800" cy="1646325"/>
            <wp:docPr id="62" name="Picture 62"/>
            <wp:cNvGraphicFramePr>
              <a:graphicFrameLocks noChangeAspect="1"/>
            </wp:cNvGraphicFramePr>
            <a:graphic>
              <a:graphicData uri="http://schemas.openxmlformats.org/drawingml/2006/picture">
                <pic:pic>
                  <pic:nvPicPr>
                    <pic:cNvPr id="0" name="67321e82c360c13b.png"/>
                    <pic:cNvPicPr/>
                  </pic:nvPicPr>
                  <pic:blipFill>
                    <a:blip r:embed="rId206"/>
                    <a:stretch>
                      <a:fillRect/>
                    </a:stretch>
                  </pic:blipFill>
                  <pic:spPr>
                    <a:xfrm>
                      <a:off x="0" y="0"/>
                      <a:ext cx="2926800" cy="1646325"/>
                    </a:xfrm>
                    <a:prstGeom prst="rect"/>
                  </pic:spPr>
                </pic:pic>
              </a:graphicData>
            </a:graphic>
          </wp:inline>
        </w:drawing>
      </w:r>
    </w:p>
    <w:p>
      <w:pPr>
        <w:pStyle w:val="DocCaption"/>
      </w:pPr>
      <w:r>
        <w:t>图62  BepiColombo arrival at Mercury timeline</w:t>
      </w:r>
    </w:p>
    <w:p>
      <w:pPr>
        <w:pStyle w:val="DocH1"/>
      </w:pPr>
      <w:r>
        <w:rPr>
          <w:rFonts w:ascii="Times New Roman" w:hAnsi="Times New Roman" w:eastAsia="宋体"/>
          <w:sz w:val="24"/>
        </w:rPr>
        <w:t>Watch live from 13:45 CEST on 3 September</w:t>
      </w:r>
    </w:p>
    <w:p>
      <w:pPr>
        <w:pStyle w:val="DocBody"/>
      </w:pPr>
      <w:r>
        <w:rPr>
          <w:rFonts w:ascii="Times New Roman" w:hAnsi="Times New Roman" w:eastAsia="宋体"/>
          <w:sz w:val="24"/>
        </w:rPr>
        <w:t xml:space="preserve">All times in CEST and subject to change at short notice. Tune in to follow live: </w:t>
      </w:r>
      <w:hyperlink r:id="rId207">
        <w:r>
          <w:rPr>
            <w:rFonts w:ascii="Times New Roman" w:hAnsi="Times New Roman" w:eastAsia="宋体"/>
            <w:color w:val="0563C1"/>
            <w:sz w:val="24"/>
            <w:u w:val="single"/>
          </w:rPr>
          <w:t>ESA on YouTube</w:t>
        </w:r>
      </w:hyperlink>
      <w:r>
        <w:rPr>
          <w:rFonts w:ascii="Times New Roman" w:hAnsi="Times New Roman" w:eastAsia="宋体"/>
          <w:sz w:val="24"/>
        </w:rPr>
        <w:t xml:space="preserve">; </w:t>
      </w:r>
      <w:hyperlink r:id="rId208">
        <w:r>
          <w:rPr>
            <w:rFonts w:ascii="Times New Roman" w:hAnsi="Times New Roman" w:eastAsia="宋体"/>
            <w:color w:val="0563C1"/>
            <w:sz w:val="24"/>
            <w:u w:val="single"/>
          </w:rPr>
          <w:t>ESA on LinkedIn</w:t>
        </w:r>
      </w:hyperlink>
      <w:r>
        <w:rPr>
          <w:rFonts w:ascii="Times New Roman" w:hAnsi="Times New Roman" w:eastAsia="宋体"/>
          <w:sz w:val="24"/>
        </w:rPr>
        <w:t>.</w:t>
      </w:r>
    </w:p>
    <w:p>
      <w:pPr>
        <w:jc w:val="center"/>
      </w:pPr>
      <w:r>
        <w:drawing>
          <wp:inline xmlns:a="http://schemas.openxmlformats.org/drawingml/2006/main" xmlns:pic="http://schemas.openxmlformats.org/drawingml/2006/picture">
            <wp:extent cx="5400000" cy="3037500"/>
            <wp:docPr id="63" name="Picture 63"/>
            <wp:cNvGraphicFramePr>
              <a:graphicFrameLocks noChangeAspect="1"/>
            </wp:cNvGraphicFramePr>
            <a:graphic>
              <a:graphicData uri="http://schemas.openxmlformats.org/drawingml/2006/picture">
                <pic:pic>
                  <pic:nvPicPr>
                    <pic:cNvPr id="0" name="95709efe64037eb2.png"/>
                    <pic:cNvPicPr/>
                  </pic:nvPicPr>
                  <pic:blipFill>
                    <a:blip r:embed="rId209"/>
                    <a:stretch>
                      <a:fillRect/>
                    </a:stretch>
                  </pic:blipFill>
                  <pic:spPr>
                    <a:xfrm>
                      <a:off x="0" y="0"/>
                      <a:ext cx="5400000" cy="3037500"/>
                    </a:xfrm>
                    <a:prstGeom prst="rect"/>
                  </pic:spPr>
                </pic:pic>
              </a:graphicData>
            </a:graphic>
          </wp:inline>
        </w:drawing>
      </w:r>
    </w:p>
    <w:p>
      <w:pPr>
        <w:pStyle w:val="DocCaption"/>
      </w:pPr>
      <w:r>
        <w:t>图63  $video.data_map.short_description.content</w:t>
      </w:r>
    </w:p>
    <w:p>
      <w:pPr>
        <w:pStyle w:val="DocBody"/>
      </w:pPr>
      <w:r>
        <w:rPr>
          <w:rFonts w:ascii="Times New Roman" w:hAnsi="Times New Roman" w:eastAsia="宋体"/>
          <w:sz w:val="24"/>
        </w:rPr>
        <w:t xml:space="preserve">BepiColombo’s Mercury arrival begins – watch live </w:t>
      </w:r>
      <w:hyperlink r:id="rId210">
        <w:r>
          <w:rPr>
            <w:rFonts w:ascii="Times New Roman" w:hAnsi="Times New Roman" w:eastAsia="宋体"/>
            <w:color w:val="0563C1"/>
            <w:sz w:val="24"/>
            <w:u w:val="single"/>
          </w:rPr>
          <w:t>Access the video</w:t>
        </w:r>
      </w:hyperlink>
    </w:p>
    <w:p>
      <w:pPr>
        <w:pStyle w:val="DocH1"/>
      </w:pPr>
      <w:r>
        <w:rPr>
          <w:rFonts w:ascii="Times New Roman" w:hAnsi="Times New Roman" w:eastAsia="宋体"/>
          <w:sz w:val="24"/>
        </w:rPr>
        <w:t>Follow us on social media for updates</w:t>
      </w:r>
    </w:p>
    <w:p>
      <w:pPr>
        <w:pStyle w:val="DocBody"/>
      </w:pPr>
      <w:r>
        <w:rPr>
          <w:rFonts w:ascii="Times New Roman" w:hAnsi="Times New Roman" w:eastAsia="宋体"/>
          <w:sz w:val="24"/>
        </w:rPr>
        <w:t xml:space="preserve">, </w:t>
      </w:r>
      <w:hyperlink r:id="rId211">
        <w:r>
          <w:rPr>
            <w:rFonts w:ascii="Times New Roman" w:hAnsi="Times New Roman" w:eastAsia="宋体"/>
            <w:color w:val="0563C1"/>
            <w:sz w:val="24"/>
            <w:u w:val="single"/>
          </w:rPr>
          <w:t>ESA Operations</w:t>
        </w:r>
      </w:hyperlink>
      <w:r>
        <w:rPr>
          <w:rFonts w:ascii="Times New Roman" w:hAnsi="Times New Roman" w:eastAsia="宋体"/>
          <w:sz w:val="24"/>
        </w:rPr>
        <w:t xml:space="preserve">, </w:t>
      </w:r>
      <w:hyperlink r:id="rId212">
        <w:r>
          <w:rPr>
            <w:rFonts w:ascii="Times New Roman" w:hAnsi="Times New Roman" w:eastAsia="宋体"/>
            <w:color w:val="0563C1"/>
            <w:sz w:val="24"/>
            <w:u w:val="single"/>
          </w:rPr>
          <w:t>ESA Space Science</w:t>
        </w:r>
      </w:hyperlink>
    </w:p>
    <w:p>
      <w:pPr>
        <w:pStyle w:val="DocBody"/>
      </w:pPr>
      <w:r>
        <w:rPr>
          <w:rFonts w:ascii="Times New Roman" w:hAnsi="Times New Roman" w:eastAsia="宋体"/>
          <w:sz w:val="24"/>
        </w:rPr>
        <w:t xml:space="preserve">LinkedIn: </w:t>
      </w:r>
      <w:hyperlink r:id="rId208">
        <w:r>
          <w:rPr>
            <w:rFonts w:ascii="Times New Roman" w:hAnsi="Times New Roman" w:eastAsia="宋体"/>
            <w:color w:val="0563C1"/>
            <w:sz w:val="24"/>
            <w:u w:val="single"/>
          </w:rPr>
          <w:t>European Space Agency - ESA</w:t>
        </w:r>
      </w:hyperlink>
      <w:r>
        <w:rPr>
          <w:rFonts w:ascii="Times New Roman" w:hAnsi="Times New Roman" w:eastAsia="宋体"/>
          <w:sz w:val="24"/>
        </w:rPr>
        <w:t xml:space="preserve">, </w:t>
      </w:r>
      <w:hyperlink r:id="rId213">
        <w:r>
          <w:rPr>
            <w:rFonts w:ascii="Times New Roman" w:hAnsi="Times New Roman" w:eastAsia="宋体"/>
            <w:color w:val="0563C1"/>
            <w:sz w:val="24"/>
            <w:u w:val="single"/>
          </w:rPr>
          <w:t>ESA Operations,</w:t>
        </w:r>
      </w:hyperlink>
      <w:r>
        <w:rPr>
          <w:rFonts w:ascii="Times New Roman" w:hAnsi="Times New Roman" w:eastAsia="宋体"/>
          <w:sz w:val="24"/>
        </w:rPr>
        <w:t xml:space="preserve"> </w:t>
      </w:r>
      <w:hyperlink r:id="rId214">
        <w:r>
          <w:rPr>
            <w:rFonts w:ascii="Times New Roman" w:hAnsi="Times New Roman" w:eastAsia="宋体"/>
            <w:color w:val="0563C1"/>
            <w:sz w:val="24"/>
            <w:u w:val="single"/>
          </w:rPr>
          <w:t>ESA Space Science</w:t>
        </w:r>
      </w:hyperlink>
    </w:p>
    <w:p>
      <w:pPr>
        <w:pStyle w:val="DocBody"/>
      </w:pPr>
      <w:r>
        <w:rPr>
          <w:rFonts w:ascii="Times New Roman" w:hAnsi="Times New Roman" w:eastAsia="宋体"/>
          <w:sz w:val="24"/>
        </w:rPr>
        <w:t xml:space="preserve">Instagram: </w:t>
      </w:r>
      <w:hyperlink r:id="rId215">
        <w:r>
          <w:rPr>
            <w:rFonts w:ascii="Times New Roman" w:hAnsi="Times New Roman" w:eastAsia="宋体"/>
            <w:color w:val="0563C1"/>
            <w:sz w:val="24"/>
            <w:u w:val="single"/>
          </w:rPr>
          <w:t>Europeanspaceagency</w:t>
        </w:r>
      </w:hyperlink>
    </w:p>
    <w:p>
      <w:pPr>
        <w:pStyle w:val="DocBody"/>
      </w:pPr>
      <w:r>
        <w:rPr>
          <w:rFonts w:ascii="Times New Roman" w:hAnsi="Times New Roman" w:eastAsia="宋体"/>
          <w:sz w:val="24"/>
        </w:rPr>
        <w:t xml:space="preserve">Facebook: </w:t>
      </w:r>
      <w:hyperlink r:id="rId216">
        <w:r>
          <w:rPr>
            <w:rFonts w:ascii="Times New Roman" w:hAnsi="Times New Roman" w:eastAsia="宋体"/>
            <w:color w:val="0563C1"/>
            <w:sz w:val="24"/>
            <w:u w:val="single"/>
          </w:rPr>
          <w:t>EuropeanSpaceAgency</w:t>
        </w:r>
      </w:hyperlink>
    </w:p>
    <w:p>
      <w:pPr>
        <w:pStyle w:val="DocBody"/>
      </w:pPr>
      <w:r>
        <w:rPr>
          <w:rFonts w:ascii="Times New Roman" w:hAnsi="Times New Roman" w:eastAsia="宋体"/>
          <w:sz w:val="24"/>
        </w:rPr>
        <w:t xml:space="preserve">YouTube: </w:t>
      </w:r>
      <w:hyperlink r:id="rId217">
        <w:r>
          <w:rPr>
            <w:rFonts w:ascii="Times New Roman" w:hAnsi="Times New Roman" w:eastAsia="宋体"/>
            <w:color w:val="0563C1"/>
            <w:sz w:val="24"/>
            <w:u w:val="single"/>
          </w:rPr>
          <w:t>ESA</w:t>
        </w:r>
      </w:hyperlink>
    </w:p>
    <w:p>
      <w:pPr>
        <w:pStyle w:val="DocBody"/>
      </w:pPr>
      <w:r>
        <w:rPr>
          <w:rFonts w:ascii="Times New Roman" w:hAnsi="Times New Roman" w:eastAsia="宋体"/>
          <w:sz w:val="24"/>
        </w:rPr>
        <w:t xml:space="preserve">X: </w:t>
      </w:r>
      <w:hyperlink r:id="rId218">
        <w:r>
          <w:rPr>
            <w:rFonts w:ascii="Times New Roman" w:hAnsi="Times New Roman" w:eastAsia="宋体"/>
            <w:color w:val="0563C1"/>
            <w:sz w:val="24"/>
            <w:u w:val="single"/>
          </w:rPr>
          <w:t>European Space Agency</w:t>
        </w:r>
      </w:hyperlink>
      <w:r>
        <w:rPr>
          <w:rFonts w:ascii="Times New Roman" w:hAnsi="Times New Roman" w:eastAsia="宋体"/>
          <w:sz w:val="24"/>
        </w:rPr>
        <w:t xml:space="preserve">, </w:t>
      </w:r>
      <w:hyperlink r:id="rId219">
        <w:r>
          <w:rPr>
            <w:rFonts w:ascii="Times New Roman" w:hAnsi="Times New Roman" w:eastAsia="宋体"/>
            <w:color w:val="0563C1"/>
            <w:sz w:val="24"/>
            <w:u w:val="single"/>
          </w:rPr>
          <w:t>ESA Operations</w:t>
        </w:r>
      </w:hyperlink>
      <w:r>
        <w:rPr>
          <w:rFonts w:ascii="Times New Roman" w:hAnsi="Times New Roman" w:eastAsia="宋体"/>
          <w:sz w:val="24"/>
        </w:rPr>
        <w:t xml:space="preserve">, </w:t>
      </w:r>
      <w:hyperlink r:id="rId220">
        <w:r>
          <w:rPr>
            <w:rFonts w:ascii="Times New Roman" w:hAnsi="Times New Roman" w:eastAsia="宋体"/>
            <w:color w:val="0563C1"/>
            <w:sz w:val="24"/>
            <w:u w:val="single"/>
          </w:rPr>
          <w:t>ESA Science</w:t>
        </w:r>
      </w:hyperlink>
    </w:p>
    <w:p>
      <w:pPr>
        <w:jc w:val="center"/>
      </w:pPr>
      <w:r>
        <w:drawing>
          <wp:inline xmlns:a="http://schemas.openxmlformats.org/drawingml/2006/main" xmlns:pic="http://schemas.openxmlformats.org/drawingml/2006/picture">
            <wp:extent cx="5400000" cy="3037500"/>
            <wp:docPr id="64" name="Picture 64"/>
            <wp:cNvGraphicFramePr>
              <a:graphicFrameLocks noChangeAspect="1"/>
            </wp:cNvGraphicFramePr>
            <a:graphic>
              <a:graphicData uri="http://schemas.openxmlformats.org/drawingml/2006/picture">
                <pic:pic>
                  <pic:nvPicPr>
                    <pic:cNvPr id="0" name="68c65f9884040276.jpg"/>
                    <pic:cNvPicPr/>
                  </pic:nvPicPr>
                  <pic:blipFill>
                    <a:blip r:embed="rId221"/>
                    <a:stretch>
                      <a:fillRect/>
                    </a:stretch>
                  </pic:blipFill>
                  <pic:spPr>
                    <a:xfrm>
                      <a:off x="0" y="0"/>
                      <a:ext cx="5400000" cy="3037500"/>
                    </a:xfrm>
                    <a:prstGeom prst="rect"/>
                  </pic:spPr>
                </pic:pic>
              </a:graphicData>
            </a:graphic>
          </wp:inline>
        </w:drawing>
      </w:r>
    </w:p>
    <w:p>
      <w:pPr>
        <w:pStyle w:val="DocCaption"/>
      </w:pPr>
      <w:r>
        <w:t>图64  Mercury Transfer Module separation</w:t>
      </w:r>
    </w:p>
    <w:p>
      <w:pPr>
        <w:pStyle w:val="DocH1"/>
      </w:pPr>
      <w:r>
        <w:rPr>
          <w:rFonts w:ascii="Times New Roman" w:hAnsi="Times New Roman" w:eastAsia="宋体"/>
          <w:sz w:val="24"/>
        </w:rPr>
        <w:t>About BepiColombo</w:t>
      </w:r>
    </w:p>
    <w:p>
      <w:pPr>
        <w:pStyle w:val="DocBody"/>
      </w:pPr>
      <w:r>
        <w:rPr>
          <w:rFonts w:ascii="Times New Roman" w:hAnsi="Times New Roman" w:eastAsia="宋体"/>
          <w:sz w:val="24"/>
        </w:rPr>
        <w:t>Launched on 20 October 2018, BepiColombo is a and the Japan Aerospace Exploration Agency (JAXA), operated under ESA leadership. It is both Europe and Japan's first mission to Mercury, the first two-spacecraft mission to Mercury, and only the second mission to ever enter orbit about the rocky world.</w:t>
      </w:r>
    </w:p>
    <w:p>
      <w:pPr>
        <w:pStyle w:val="DocBody"/>
      </w:pPr>
      <w:r>
        <w:rPr>
          <w:rFonts w:ascii="Times New Roman" w:hAnsi="Times New Roman" w:eastAsia="宋体"/>
          <w:sz w:val="24"/>
        </w:rPr>
        <w:t xml:space="preserve">The mission comprises two scientific orbiters: ESA’s </w:t>
      </w:r>
      <w:hyperlink r:id="rId204">
        <w:r>
          <w:rPr>
            <w:rFonts w:ascii="Times New Roman" w:hAnsi="Times New Roman" w:eastAsia="宋体"/>
            <w:color w:val="0563C1"/>
            <w:sz w:val="24"/>
            <w:u w:val="single"/>
          </w:rPr>
          <w:t>Mercury Planetary Orbiter</w:t>
        </w:r>
      </w:hyperlink>
      <w:r>
        <w:rPr>
          <w:rFonts w:ascii="Times New Roman" w:hAnsi="Times New Roman" w:eastAsia="宋体"/>
          <w:sz w:val="24"/>
        </w:rPr>
        <w:t xml:space="preserve"> (MPO) and JAXA’s </w:t>
      </w:r>
      <w:hyperlink r:id="rId205">
        <w:r>
          <w:rPr>
            <w:rFonts w:ascii="Times New Roman" w:hAnsi="Times New Roman" w:eastAsia="宋体"/>
            <w:color w:val="0563C1"/>
            <w:sz w:val="24"/>
            <w:u w:val="single"/>
          </w:rPr>
          <w:t>Mercury Magnetospheric Orbiter</w:t>
        </w:r>
      </w:hyperlink>
      <w:r>
        <w:rPr>
          <w:rFonts w:ascii="Times New Roman" w:hAnsi="Times New Roman" w:eastAsia="宋体"/>
          <w:sz w:val="24"/>
        </w:rPr>
        <w:t xml:space="preserve"> (Mio). The European </w:t>
      </w:r>
      <w:hyperlink r:id="rId203">
        <w:r>
          <w:rPr>
            <w:rFonts w:ascii="Times New Roman" w:hAnsi="Times New Roman" w:eastAsia="宋体"/>
            <w:color w:val="0563C1"/>
            <w:sz w:val="24"/>
            <w:u w:val="single"/>
          </w:rPr>
          <w:t>Mercury Transfer Module</w:t>
        </w:r>
      </w:hyperlink>
      <w:r>
        <w:rPr>
          <w:rFonts w:ascii="Times New Roman" w:hAnsi="Times New Roman" w:eastAsia="宋体"/>
          <w:sz w:val="24"/>
        </w:rPr>
        <w:t xml:space="preserve"> (MTM) has been carrying the orbiters to Mercury.</w:t>
      </w:r>
    </w:p>
    <w:p>
      <w:pPr>
        <w:pStyle w:val="DocBody"/>
      </w:pPr>
      <w:r>
        <w:rPr>
          <w:rFonts w:ascii="Times New Roman" w:hAnsi="Times New Roman" w:eastAsia="宋体"/>
          <w:sz w:val="24"/>
        </w:rPr>
        <w:t>During arrival at Mercury in late 2026, the spacecraft will separate in Mio’s polar science orbit. MPO will then manoeuvre to itsdedicated polar orbit around the planet. Science operations for both orbiters will begin in April 2027.</w:t>
      </w:r>
    </w:p>
    <w:p>
      <w:pPr>
        <w:pStyle w:val="DocBody"/>
      </w:pPr>
      <w:r>
        <w:rPr>
          <w:rFonts w:ascii="Times New Roman" w:hAnsi="Times New Roman" w:eastAsia="宋体"/>
          <w:sz w:val="24"/>
        </w:rPr>
        <w:t xml:space="preserve">Follow the latest mission news via </w:t>
      </w:r>
      <w:hyperlink r:id="rId119">
        <w:r>
          <w:rPr>
            <w:rFonts w:ascii="Times New Roman" w:hAnsi="Times New Roman" w:eastAsia="宋体"/>
            <w:color w:val="0563C1"/>
            <w:sz w:val="24"/>
            <w:u w:val="single"/>
          </w:rPr>
          <w:t>esa.int/bepicolombo</w:t>
        </w:r>
      </w:hyperlink>
      <w:r>
        <w:rPr>
          <w:rFonts w:ascii="Times New Roman" w:hAnsi="Times New Roman" w:eastAsia="宋体"/>
          <w:sz w:val="24"/>
        </w:rPr>
        <w:t>.</w:t>
      </w:r>
    </w:p>
    <w:p>
      <w:pPr>
        <w:pStyle w:val="DocBody"/>
      </w:pPr>
      <w:r>
        <w:rPr>
          <w:rFonts w:ascii="Times New Roman" w:hAnsi="Times New Roman" w:eastAsia="宋体"/>
          <w:sz w:val="24"/>
        </w:rPr>
        <w:t xml:space="preserve">Find out more about </w:t>
      </w:r>
      <w:hyperlink r:id="rId102">
        <w:r>
          <w:rPr>
            <w:rFonts w:ascii="Times New Roman" w:hAnsi="Times New Roman" w:eastAsia="宋体"/>
            <w:color w:val="0563C1"/>
            <w:sz w:val="24"/>
            <w:u w:val="single"/>
          </w:rPr>
          <w:t>Space Science at ESA</w:t>
        </w:r>
      </w:hyperlink>
      <w:r>
        <w:rPr>
          <w:rFonts w:ascii="Times New Roman" w:hAnsi="Times New Roman" w:eastAsia="宋体"/>
          <w:sz w:val="24"/>
        </w:rPr>
        <w:t xml:space="preserve">, the Agency's </w:t>
      </w:r>
      <w:hyperlink r:id="rId222">
        <w:r>
          <w:rPr>
            <w:rFonts w:ascii="Times New Roman" w:hAnsi="Times New Roman" w:eastAsia="宋体"/>
            <w:color w:val="0563C1"/>
            <w:sz w:val="24"/>
            <w:u w:val="single"/>
          </w:rPr>
          <w:t>Science Programme</w:t>
        </w:r>
      </w:hyperlink>
      <w:r>
        <w:rPr>
          <w:rFonts w:ascii="Times New Roman" w:hAnsi="Times New Roman" w:eastAsia="宋体"/>
          <w:sz w:val="24"/>
        </w:rPr>
        <w:t xml:space="preserve"> and how </w:t>
      </w:r>
      <w:hyperlink r:id="rId195">
        <w:r>
          <w:rPr>
            <w:rFonts w:ascii="Times New Roman" w:hAnsi="Times New Roman" w:eastAsia="宋体"/>
            <w:color w:val="0563C1"/>
            <w:sz w:val="24"/>
            <w:u w:val="single"/>
          </w:rPr>
          <w:t>ESA Operations</w:t>
        </w:r>
      </w:hyperlink>
      <w:r>
        <w:rPr>
          <w:rFonts w:ascii="Times New Roman" w:hAnsi="Times New Roman" w:eastAsia="宋体"/>
          <w:sz w:val="24"/>
        </w:rPr>
        <w:t xml:space="preserve"> makes missions like BepiColombo possible.</w:t>
      </w:r>
    </w:p>
    <w:p>
      <w:pPr>
        <w:pStyle w:val="DocH1"/>
      </w:pPr>
      <w:r>
        <w:rPr>
          <w:rFonts w:ascii="Times New Roman" w:hAnsi="Times New Roman" w:eastAsia="宋体"/>
          <w:sz w:val="24"/>
        </w:rPr>
        <w:t>For more information, please contact:</w:t>
      </w:r>
    </w:p>
    <w:p>
      <w:pPr>
        <w:pStyle w:val="DocBody"/>
      </w:pPr>
      <w:r>
        <w:rPr>
          <w:rFonts w:ascii="Times New Roman" w:hAnsi="Times New Roman" w:eastAsia="宋体"/>
          <w:sz w:val="24"/>
        </w:rPr>
        <w:t>ESA Media Relations media@esa.int Like Thank you for liking You have already liked this page, you can only like it once!</w:t>
      </w:r>
    </w:p>
    <w:p>
      <w:pPr>
        <w:pStyle w:val="DocBody"/>
      </w:pPr>
      <w:r>
        <w:rPr>
          <w:rFonts w:ascii="Times New Roman" w:hAnsi="Times New Roman" w:eastAsia="宋体"/>
          <w:sz w:val="24"/>
        </w:rPr>
        <w:t xml:space="preserve">European Space Agency </w:t>
      </w:r>
      <w:hyperlink r:id="rId223">
        <w:r>
          <w:rPr>
            <w:rFonts w:ascii="Times New Roman" w:hAnsi="Times New Roman" w:eastAsia="宋体"/>
            <w:color w:val="0563C1"/>
            <w:sz w:val="24"/>
            <w:u w:val="single"/>
          </w:rPr>
          <w:t>FAQ</w:t>
        </w:r>
      </w:hyperlink>
      <w:r>
        <w:rPr>
          <w:rFonts w:ascii="Times New Roman" w:hAnsi="Times New Roman" w:eastAsia="宋体"/>
          <w:sz w:val="24"/>
        </w:rPr>
        <w:t xml:space="preserve"> </w:t>
      </w:r>
      <w:hyperlink r:id="rId224">
        <w:r>
          <w:rPr>
            <w:rFonts w:ascii="Times New Roman" w:hAnsi="Times New Roman" w:eastAsia="宋体"/>
            <w:color w:val="0563C1"/>
            <w:sz w:val="24"/>
            <w:u w:val="single"/>
          </w:rPr>
          <w:t>Contacts</w:t>
        </w:r>
      </w:hyperlink>
      <w:r>
        <w:rPr>
          <w:rFonts w:ascii="Times New Roman" w:hAnsi="Times New Roman" w:eastAsia="宋体"/>
          <w:sz w:val="24"/>
        </w:rPr>
        <w:t xml:space="preserve"> </w:t>
      </w:r>
      <w:hyperlink r:id="rId225">
        <w:r>
          <w:rPr>
            <w:rFonts w:ascii="Times New Roman" w:hAnsi="Times New Roman" w:eastAsia="宋体"/>
            <w:color w:val="0563C1"/>
            <w:sz w:val="24"/>
            <w:u w:val="single"/>
          </w:rPr>
          <w:t>Terms and conditions</w:t>
        </w:r>
      </w:hyperlink>
      <w:r>
        <w:rPr>
          <w:rFonts w:ascii="Times New Roman" w:hAnsi="Times New Roman" w:eastAsia="宋体"/>
          <w:sz w:val="24"/>
        </w:rPr>
        <w:t xml:space="preserve"> </w:t>
      </w:r>
      <w:hyperlink r:id="rId226">
        <w:r>
          <w:rPr>
            <w:rFonts w:ascii="Times New Roman" w:hAnsi="Times New Roman" w:eastAsia="宋体"/>
            <w:color w:val="0563C1"/>
            <w:sz w:val="24"/>
            <w:u w:val="single"/>
          </w:rPr>
          <w:t>Privacy notice</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Careers at ESA</w:t>
        </w:r>
      </w:hyperlink>
      <w:r>
        <w:rPr>
          <w:rFonts w:ascii="Times New Roman" w:hAnsi="Times New Roman" w:eastAsia="宋体"/>
          <w:sz w:val="24"/>
        </w:rPr>
        <w:t xml:space="preserve"> [_updates)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a.int/Enabling_Support/Operations/Watch_live_BepiColombo_begins_its_arrival_at_Mercury" TargetMode="External"/><Relationship Id="rId12" Type="http://schemas.openxmlformats.org/officeDocument/2006/relationships/hyperlink" Target="https://www.esa.int/Enabling_Support/Operations/Watch_live_BepiColombo_begins_its_arrival_at_Mercury#accept" TargetMode="External"/><Relationship Id="rId13" Type="http://schemas.openxmlformats.org/officeDocument/2006/relationships/hyperlink" Target="https://www.esa.int/Enabling_Support/Operations/Watch_live_BepiColombo_begins_its_arrival_at_Mercury#decline" TargetMode="External"/><Relationship Id="rId14" Type="http://schemas.openxmlformats.org/officeDocument/2006/relationships/hyperlink" Target="https://www.esa.int/Services/Cookies_notice" TargetMode="External"/><Relationship Id="rId15" Type="http://schemas.openxmlformats.org/officeDocument/2006/relationships/hyperlink" Target="https://www.esa.int/" TargetMode="External"/><Relationship Id="rId16" Type="http://schemas.openxmlformats.org/officeDocument/2006/relationships/hyperlink" Target="https://www.esa.int/About_Us/Careers_at_ESA" TargetMode="External"/><Relationship Id="rId17" Type="http://schemas.openxmlformats.org/officeDocument/2006/relationships/hyperlink" Target="https://www.esa.int/ESA_Multimedia/ESA_Web_TV" TargetMode="External"/><Relationship Id="rId18" Type="http://schemas.openxmlformats.org/officeDocument/2006/relationships/hyperlink" Target="https://www.esa.int/ESA_Multimedia/Videos" TargetMode="External"/><Relationship Id="rId19" Type="http://schemas.openxmlformats.org/officeDocument/2006/relationships/hyperlink" Target="https://www.esa.int/ESA_Multimedia/Images"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png"/><Relationship Id="rId24" Type="http://schemas.openxmlformats.org/officeDocument/2006/relationships/image" Target="media/image5.jpg"/><Relationship Id="rId25" Type="http://schemas.openxmlformats.org/officeDocument/2006/relationships/image" Target="media/image6.jpg"/><Relationship Id="rId26" Type="http://schemas.openxmlformats.org/officeDocument/2006/relationships/hyperlink" Target="https://www.esa.int/ESA_Multimedia/Videos/2019/11/This_is_ESA" TargetMode="External"/><Relationship Id="rId27" Type="http://schemas.openxmlformats.org/officeDocument/2006/relationships/hyperlink" Target="https://www.esa.int/About_Us/Corporate_news/ESA_facts" TargetMode="External"/><Relationship Id="rId28" Type="http://schemas.openxmlformats.org/officeDocument/2006/relationships/hyperlink" Target="https://www.esa.int/About_Us/Corporate_news/Member_States_Cooperating_States" TargetMode="External"/><Relationship Id="rId29" Type="http://schemas.openxmlformats.org/officeDocument/2006/relationships/hyperlink" Target="https://www.esa.int/About_Us/Corporate_news/Funding" TargetMode="External"/><Relationship Id="rId30" Type="http://schemas.openxmlformats.org/officeDocument/2006/relationships/hyperlink" Target="https://www.esa.int/About_Us/Corporate_news/Josef_Aschbacher_ESA_Director_General" TargetMode="External"/><Relationship Id="rId31" Type="http://schemas.openxmlformats.org/officeDocument/2006/relationships/hyperlink" Target="https://www.esa.int/About_Us/Corporate_news/ESA_top_management" TargetMode="External"/><Relationship Id="rId32" Type="http://schemas.openxmlformats.org/officeDocument/2006/relationships/hyperlink" Target="https://www.esa.int/About_Us/Delegations" TargetMode="External"/><Relationship Id="rId33" Type="http://schemas.openxmlformats.org/officeDocument/2006/relationships/hyperlink" Target="https://www.esa.int/About_Us/Corporate_news/A_European_vision" TargetMode="External"/><Relationship Id="rId34" Type="http://schemas.openxmlformats.org/officeDocument/2006/relationships/hyperlink" Target="https://www.esa.int/About_Us/Corporate_news/European_Space_Policy" TargetMode="External"/><Relationship Id="rId35" Type="http://schemas.openxmlformats.org/officeDocument/2006/relationships/hyperlink" Target="https://www.esa.int/About_Us/Corporate_news/ESA_and_the_EU" TargetMode="External"/><Relationship Id="rId36" Type="http://schemas.openxmlformats.org/officeDocument/2006/relationships/hyperlink" Target="https://www.esa.int/About_Us/ESA-EU_SPACE_COUNCIL_MEETINGS_SPACE_SUMMITS" TargetMode="External"/><Relationship Id="rId37" Type="http://schemas.openxmlformats.org/officeDocument/2006/relationships/hyperlink" Target="https://www.esa.int/About_Us/Sustainability" TargetMode="External"/><Relationship Id="rId38" Type="http://schemas.openxmlformats.org/officeDocument/2006/relationships/hyperlink" Target="https://www.esa.int/About_Us/ESA_s_Annual_Report" TargetMode="External"/><Relationship Id="rId39" Type="http://schemas.openxmlformats.org/officeDocument/2006/relationships/hyperlink" Target="https://www.esa.int/About_Us/Calendar_of_meetings" TargetMode="External"/><Relationship Id="rId40" Type="http://schemas.openxmlformats.org/officeDocument/2006/relationships/hyperlink" Target="https://www.esa.int/About_Us/Corporate_news" TargetMode="External"/><Relationship Id="rId41" Type="http://schemas.openxmlformats.org/officeDocument/2006/relationships/hyperlink" Target="https://www.esa.int/About_Us/Corporate_news/ESA_Headquarters" TargetMode="External"/><Relationship Id="rId42" Type="http://schemas.openxmlformats.org/officeDocument/2006/relationships/hyperlink" Target="https://www.esa.int/About_Us/ESTEC" TargetMode="External"/><Relationship Id="rId43" Type="http://schemas.openxmlformats.org/officeDocument/2006/relationships/hyperlink" Target="https://www.esa.int/About_Us/ESOC" TargetMode="External"/><Relationship Id="rId44" Type="http://schemas.openxmlformats.org/officeDocument/2006/relationships/hyperlink" Target="https://www.esa.int/About_Us/ESRIN" TargetMode="External"/><Relationship Id="rId45" Type="http://schemas.openxmlformats.org/officeDocument/2006/relationships/hyperlink" Target="https://www.esa.int/About_Us/EAC" TargetMode="External"/><Relationship Id="rId46" Type="http://schemas.openxmlformats.org/officeDocument/2006/relationships/hyperlink" Target="https://www.esa.int/About_Us/ESAC" TargetMode="External"/><Relationship Id="rId47" Type="http://schemas.openxmlformats.org/officeDocument/2006/relationships/hyperlink" Target="https://www.esa.int/Enabling_Support/Space_Transportation/Europe_s_Spaceport" TargetMode="External"/><Relationship Id="rId48" Type="http://schemas.openxmlformats.org/officeDocument/2006/relationships/hyperlink" Target="https://www.esa.int/About_Us/Corporate_news/ESA_ESEC" TargetMode="External"/><Relationship Id="rId49" Type="http://schemas.openxmlformats.org/officeDocument/2006/relationships/hyperlink" Target="https://www.esa.int/About_Us/Corporate_news/ESA_ECSAT" TargetMode="External"/><Relationship Id="rId50" Type="http://schemas.openxmlformats.org/officeDocument/2006/relationships/hyperlink" Target="https://www.esa.int/About_Us/Corporate_news/Brussels_Office" TargetMode="External"/><Relationship Id="rId51" Type="http://schemas.openxmlformats.org/officeDocument/2006/relationships/hyperlink" Target="https://www.esa.int/About_Us/Washington_Office" TargetMode="External"/><Relationship Id="rId52" Type="http://schemas.openxmlformats.org/officeDocument/2006/relationships/hyperlink" Target="https://www.esa.int/About_Us/Business_with_ESA" TargetMode="External"/><Relationship Id="rId53" Type="http://schemas.openxmlformats.org/officeDocument/2006/relationships/hyperlink" Target="https://commercialisation.esa.int/" TargetMode="External"/><Relationship Id="rId54" Type="http://schemas.openxmlformats.org/officeDocument/2006/relationships/hyperlink" Target="https://www.esa.int/About_Us/Law_at_ESA" TargetMode="External"/><Relationship Id="rId55" Type="http://schemas.openxmlformats.org/officeDocument/2006/relationships/hyperlink" Target="https://www.esa.int/About_Us/Cyber_resilience_at_ESA" TargetMode="External"/><Relationship Id="rId56" Type="http://schemas.openxmlformats.org/officeDocument/2006/relationships/hyperlink" Target="https://www.esa.int/About_Us/esait" TargetMode="External"/><Relationship Id="rId57" Type="http://schemas.openxmlformats.org/officeDocument/2006/relationships/hyperlink" Target="https://www.esa.int/Newsroom" TargetMode="External"/><Relationship Id="rId58" Type="http://schemas.openxmlformats.org/officeDocument/2006/relationships/hyperlink" Target="https://www.esa.int/About_Us/Branding_and_Partnerships" TargetMode="External"/><Relationship Id="rId59" Type="http://schemas.openxmlformats.org/officeDocument/2006/relationships/hyperlink" Target="https://brand.esa.int/merchandising/" TargetMode="External"/><Relationship Id="rId60" Type="http://schemas.openxmlformats.org/officeDocument/2006/relationships/hyperlink" Target="https://www.esa.int/Education" TargetMode="External"/><Relationship Id="rId61" Type="http://schemas.openxmlformats.org/officeDocument/2006/relationships/hyperlink" Target="https://ideas.esa.int/servlet/hype/IMT?userAction=BrowseCurrentUser&amp;templateName=MenuItem" TargetMode="External"/><Relationship Id="rId62" Type="http://schemas.openxmlformats.org/officeDocument/2006/relationships/hyperlink" Target="https://www.esa.int/About_Us/Integrity_and_Reporting_at_ESA" TargetMode="External"/><Relationship Id="rId63" Type="http://schemas.openxmlformats.org/officeDocument/2006/relationships/hyperlink" Target="https://www.esa.int/About_Us/Corporate_news/Administrative_Tribunal" TargetMode="External"/><Relationship Id="rId64" Type="http://schemas.openxmlformats.org/officeDocument/2006/relationships/hyperlink" Target="https://www.esa.int/About_Us/Corporate_news/ESA_Health_and_Safety_Policy" TargetMode="External"/><Relationship Id="rId65" Type="http://schemas.openxmlformats.org/officeDocument/2006/relationships/hyperlink" Target="https://www.esa.int/About_Us/50_years_of_ESA" TargetMode="External"/><Relationship Id="rId66" Type="http://schemas.openxmlformats.org/officeDocument/2006/relationships/hyperlink" Target="https://historicalarchives.esa.int" TargetMode="External"/><Relationship Id="rId67" Type="http://schemas.openxmlformats.org/officeDocument/2006/relationships/hyperlink" Target="https://www.esa.int/About_Us/Exhibitions" TargetMode="External"/><Relationship Id="rId68" Type="http://schemas.openxmlformats.org/officeDocument/2006/relationships/hyperlink" Target="https://www.esa.int/About_Us/ESA_Publications" TargetMode="External"/><Relationship Id="rId69" Type="http://schemas.openxmlformats.org/officeDocument/2006/relationships/hyperlink" Target="https://www.esa.int/About_Us/Art_Culture_in_Space" TargetMode="External"/><Relationship Id="rId70" Type="http://schemas.openxmlformats.org/officeDocument/2006/relationships/hyperlink" Target="https://www.esa.int/About_Us/ESA_merchandise" TargetMode="External"/><Relationship Id="rId71" Type="http://schemas.openxmlformats.org/officeDocument/2006/relationships/hyperlink" Target="https://www.esa.int/kids" TargetMode="External"/><Relationship Id="rId72" Type="http://schemas.openxmlformats.org/officeDocument/2006/relationships/hyperlink" Target="https://www.esa.int/About_Us/Diversity_and_Inclusiveness" TargetMode="External"/><Relationship Id="rId73" Type="http://schemas.openxmlformats.org/officeDocument/2006/relationships/hyperlink" Target="https://brand.esa.int" TargetMode="External"/><Relationship Id="rId74" Type="http://schemas.openxmlformats.org/officeDocument/2006/relationships/image" Target="media/image7.jpg"/><Relationship Id="rId75" Type="http://schemas.openxmlformats.org/officeDocument/2006/relationships/image" Target="media/image8.png"/><Relationship Id="rId76" Type="http://schemas.openxmlformats.org/officeDocument/2006/relationships/image" Target="media/image9.jpg"/><Relationship Id="rId77" Type="http://schemas.openxmlformats.org/officeDocument/2006/relationships/image" Target="media/image10.jpg"/><Relationship Id="rId78" Type="http://schemas.openxmlformats.org/officeDocument/2006/relationships/image" Target="media/image11.png"/><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image" Target="media/image16.png"/><Relationship Id="rId84" Type="http://schemas.openxmlformats.org/officeDocument/2006/relationships/image" Target="media/image17.png"/><Relationship Id="rId85" Type="http://schemas.openxmlformats.org/officeDocument/2006/relationships/image" Target="media/image18.png"/><Relationship Id="rId86" Type="http://schemas.openxmlformats.org/officeDocument/2006/relationships/image" Target="media/image19.png"/><Relationship Id="rId87" Type="http://schemas.openxmlformats.org/officeDocument/2006/relationships/image" Target="media/image20.png"/><Relationship Id="rId88" Type="http://schemas.openxmlformats.org/officeDocument/2006/relationships/image" Target="media/image21.png"/><Relationship Id="rId89" Type="http://schemas.openxmlformats.org/officeDocument/2006/relationships/image" Target="media/image22.png"/><Relationship Id="rId90" Type="http://schemas.openxmlformats.org/officeDocument/2006/relationships/image" Target="media/image23.png"/><Relationship Id="rId91" Type="http://schemas.openxmlformats.org/officeDocument/2006/relationships/image" Target="media/image24.png"/><Relationship Id="rId92" Type="http://schemas.openxmlformats.org/officeDocument/2006/relationships/image" Target="media/image25.png"/><Relationship Id="rId93" Type="http://schemas.openxmlformats.org/officeDocument/2006/relationships/image" Target="media/image26.png"/><Relationship Id="rId94" Type="http://schemas.openxmlformats.org/officeDocument/2006/relationships/image" Target="media/image27.png"/><Relationship Id="rId95" Type="http://schemas.openxmlformats.org/officeDocument/2006/relationships/image" Target="media/image28.png"/><Relationship Id="rId96" Type="http://schemas.openxmlformats.org/officeDocument/2006/relationships/image" Target="media/image29.png"/><Relationship Id="rId97" Type="http://schemas.openxmlformats.org/officeDocument/2006/relationships/image" Target="media/image30.png"/><Relationship Id="rId98" Type="http://schemas.openxmlformats.org/officeDocument/2006/relationships/image" Target="media/image31.png"/><Relationship Id="rId99" Type="http://schemas.openxmlformats.org/officeDocument/2006/relationships/image" Target="media/image32.png"/><Relationship Id="rId100" Type="http://schemas.openxmlformats.org/officeDocument/2006/relationships/image" Target="media/image33.png"/><Relationship Id="rId101" Type="http://schemas.openxmlformats.org/officeDocument/2006/relationships/hyperlink" Target="https://www.esa.int/Science_Exploration" TargetMode="External"/><Relationship Id="rId102" Type="http://schemas.openxmlformats.org/officeDocument/2006/relationships/hyperlink" Target="https://www.esa.int/Science_Exploration/Space_Science" TargetMode="External"/><Relationship Id="rId103" Type="http://schemas.openxmlformats.org/officeDocument/2006/relationships/hyperlink" Target="https://www.esa.int/Science_Exploration/Human_and_Robotic_Exploration" TargetMode="External"/><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hyperlink" Target="https://www.esa.int/Science_Exploration/Space_Science/Juice" TargetMode="External"/><Relationship Id="rId116" Type="http://schemas.openxmlformats.org/officeDocument/2006/relationships/hyperlink" Target="https://www.esa.int/Science_Exploration/Space_Science/Euclid" TargetMode="External"/><Relationship Id="rId117" Type="http://schemas.openxmlformats.org/officeDocument/2006/relationships/hyperlink" Target="https://www.esa.int/Science_Exploration/Space_Science/Webb" TargetMode="External"/><Relationship Id="rId118" Type="http://schemas.openxmlformats.org/officeDocument/2006/relationships/hyperlink" Target="https://www.esa.int/Science_Exploration/Space_Science/Solar_Orbiter" TargetMode="External"/><Relationship Id="rId119" Type="http://schemas.openxmlformats.org/officeDocument/2006/relationships/hyperlink" Target="https://www.esa.int/Science_Exploration/Space_Science/BepiColombo" TargetMode="External"/><Relationship Id="rId120" Type="http://schemas.openxmlformats.org/officeDocument/2006/relationships/hyperlink" Target="https://www.esa.int/Science_Exploration/Space_Science/Gaia" TargetMode="External"/><Relationship Id="rId121" Type="http://schemas.openxmlformats.org/officeDocument/2006/relationships/hyperlink" Target="https://www.esa.int/Science_Exploration/Human_and_Robotic_Exploration/Exploration/ExoMars" TargetMode="External"/><Relationship Id="rId122" Type="http://schemas.openxmlformats.org/officeDocument/2006/relationships/hyperlink" Target="https://www.esa.int/Science_Exploration/Space_Science/Cheops" TargetMode="External"/><Relationship Id="rId123" Type="http://schemas.openxmlformats.org/officeDocument/2006/relationships/hyperlink" Target="https://www.esa.int/Science_Exploration/Space_Science/Exoplanets" TargetMode="External"/><Relationship Id="rId124" Type="http://schemas.openxmlformats.org/officeDocument/2006/relationships/hyperlink" Target="https://www.esa.int/Science_Exploration/Space_Science/Mission_navigator" TargetMode="External"/><Relationship Id="rId125" Type="http://schemas.openxmlformats.org/officeDocument/2006/relationships/hyperlink" Target="https://www.esa.int/Science_Exploration/Human_and_Robotic_Exploration/International_Space_Station" TargetMode="External"/><Relationship Id="rId126" Type="http://schemas.openxmlformats.org/officeDocument/2006/relationships/hyperlink" Target="https://www.esa.int/Science_Exploration/Human_and_Robotic_Exploration/Orion" TargetMode="External"/><Relationship Id="rId127" Type="http://schemas.openxmlformats.org/officeDocument/2006/relationships/hyperlink" Target="https://www.esa.int/Science_Exploration/Human_and_Robotic_Exploration/Exploration/Gateway" TargetMode="External"/><Relationship Id="rId128" Type="http://schemas.openxmlformats.org/officeDocument/2006/relationships/hyperlink" Target="https://www.esa.int/Science_Exploration/Human_and_Robotic_Exploration/Concordia" TargetMode="External"/><Relationship Id="rId129" Type="http://schemas.openxmlformats.org/officeDocument/2006/relationships/hyperlink" Target="https://www.esa.int/Science_Exploration/Human_and_Robotic_Exploration/CAVES_and_Pangaea" TargetMode="External"/><Relationship Id="rId130" Type="http://schemas.openxmlformats.org/officeDocument/2006/relationships/hyperlink" Target="https://www.esa.int/ESA_Multimedia/Sets/We_research._You_benefit/(result_type)/videos" TargetMode="External"/><Relationship Id="rId131" Type="http://schemas.openxmlformats.org/officeDocument/2006/relationships/image" Target="media/image45.png"/><Relationship Id="rId132" Type="http://schemas.openxmlformats.org/officeDocument/2006/relationships/image" Target="media/image46.png"/><Relationship Id="rId133" Type="http://schemas.openxmlformats.org/officeDocument/2006/relationships/hyperlink" Target="https://www.esa.int/Space_Safety" TargetMode="External"/><Relationship Id="rId134" Type="http://schemas.openxmlformats.org/officeDocument/2006/relationships/hyperlink" Target="https://www.esa.int/Space_Safety/Protecting_our_Pale_Blue_Dot" TargetMode="External"/><Relationship Id="rId135" Type="http://schemas.openxmlformats.org/officeDocument/2006/relationships/hyperlink" Target="https://www.esa.int/Space_Safety/Space_Safety_at_ESA" TargetMode="External"/><Relationship Id="rId136" Type="http://schemas.openxmlformats.org/officeDocument/2006/relationships/hyperlink" Target="https://www.esa.int/Space_Safety/Planetary_Defence/Asteroids_and_Planetary_Defence" TargetMode="External"/><Relationship Id="rId137" Type="http://schemas.openxmlformats.org/officeDocument/2006/relationships/hyperlink" Target="https://www.esa.int/ESA_Multimedia/Images/2018/06/Asteroid_danger_explained" TargetMode="External"/><Relationship Id="rId138" Type="http://schemas.openxmlformats.org/officeDocument/2006/relationships/hyperlink" Target="https://www.esa.int/Space_Safety/Planetary_Defence/Flyeye_ESA_s_bug-eyed_asteroid_hunters" TargetMode="External"/><Relationship Id="rId139" Type="http://schemas.openxmlformats.org/officeDocument/2006/relationships/hyperlink" Target="https://www.esa.int/Space_Safety/Hera" TargetMode="External"/><Relationship Id="rId140" Type="http://schemas.openxmlformats.org/officeDocument/2006/relationships/hyperlink" Target="https://www.esa.int/Space_Safety/Planetary_Defence/Near-Earth_Object_Coordination_Centre" TargetMode="External"/><Relationship Id="rId141" Type="http://schemas.openxmlformats.org/officeDocument/2006/relationships/hyperlink" Target="https://www.esa.int/Space_Safety/Space_Debris/About_space_debris" TargetMode="External"/><Relationship Id="rId142" Type="http://schemas.openxmlformats.org/officeDocument/2006/relationships/hyperlink" Target="https://www.esa.int/Space_Safety/Space_Debris/Space_debris_by_the_numbers" TargetMode="External"/><Relationship Id="rId143" Type="http://schemas.openxmlformats.org/officeDocument/2006/relationships/hyperlink" Target="https://www.sdo.esoc.esa.int/environment_report/Space_Environment_Report_latest.pdf" TargetMode="External"/><Relationship Id="rId144" Type="http://schemas.openxmlformats.org/officeDocument/2006/relationships/hyperlink" Target="https://www.esa.int/Space_Safety/ESA_s_e.Deorbit_debris_removal_mission_reborn_as_servicing_vehicle" TargetMode="External"/><Relationship Id="rId145" Type="http://schemas.openxmlformats.org/officeDocument/2006/relationships/hyperlink" Target="https://www.esa.int/Space_Safety/Clean_Space" TargetMode="External"/><Relationship Id="rId146" Type="http://schemas.openxmlformats.org/officeDocument/2006/relationships/hyperlink" Target="https://www.esa.int/Space_Safety/Clean_Space/Ecodesign" TargetMode="External"/><Relationship Id="rId147" Type="http://schemas.openxmlformats.org/officeDocument/2006/relationships/hyperlink" Target="https://www.esa.int/Space_Safety/Clean_Space/Zero_Debris_Technologies" TargetMode="External"/><Relationship Id="rId148" Type="http://schemas.openxmlformats.org/officeDocument/2006/relationships/hyperlink" Target="https://www.esa.int/Enabling_Support/Preparing_for_the_Future/Space_for_Earth" TargetMode="External"/><Relationship Id="rId149" Type="http://schemas.openxmlformats.org/officeDocument/2006/relationships/hyperlink" Target="https://www.esa.int/Enabling_Support/Preparing_for_the_Future/Space_for_Earth/Supporting_Sustainable_Development" TargetMode="External"/><Relationship Id="rId150" Type="http://schemas.openxmlformats.org/officeDocument/2006/relationships/hyperlink" Target="https://www.esa.int/Space_Safety/Space_weather/Space_weather_and_its_hazards" TargetMode="External"/><Relationship Id="rId151" Type="http://schemas.openxmlformats.org/officeDocument/2006/relationships/hyperlink" Target="https://www.esa.int/Space_Safety/Vigil" TargetMode="External"/><Relationship Id="rId152" Type="http://schemas.openxmlformats.org/officeDocument/2006/relationships/hyperlink" Target="https://www.esa.int/Space_Safety/Space_weather/Space_Weather_Office" TargetMode="External"/><Relationship Id="rId153" Type="http://schemas.openxmlformats.org/officeDocument/2006/relationships/image" Target="media/image47.png"/><Relationship Id="rId154" Type="http://schemas.openxmlformats.org/officeDocument/2006/relationships/image" Target="media/image48.png"/><Relationship Id="rId155" Type="http://schemas.openxmlformats.org/officeDocument/2006/relationships/image" Target="media/image49.jpg"/><Relationship Id="rId156" Type="http://schemas.openxmlformats.org/officeDocument/2006/relationships/hyperlink" Target="https://www.esa.int/Applications" TargetMode="External"/><Relationship Id="rId157" Type="http://schemas.openxmlformats.org/officeDocument/2006/relationships/hyperlink" Target="https://www.esa.int/Applications/Observing_the_Earth" TargetMode="External"/><Relationship Id="rId158" Type="http://schemas.openxmlformats.org/officeDocument/2006/relationships/hyperlink" Target="https://www.esa.int/Applications/Observing_the_Earth/FutureEO" TargetMode="External"/><Relationship Id="rId159" Type="http://schemas.openxmlformats.org/officeDocument/2006/relationships/hyperlink" Target="https://www.esa.int/Applications/Observing_the_Earth/Copernicus" TargetMode="External"/><Relationship Id="rId160" Type="http://schemas.openxmlformats.org/officeDocument/2006/relationships/hyperlink" Target="https://www.esa.int/Applications/Observing_the_Earth/Meteorological_missions" TargetMode="External"/><Relationship Id="rId161" Type="http://schemas.openxmlformats.org/officeDocument/2006/relationships/hyperlink" Target="https://www.esa.int/Applications/Observing_the_Earth/FutureEO/Space_for_our_climate" TargetMode="External"/><Relationship Id="rId162" Type="http://schemas.openxmlformats.org/officeDocument/2006/relationships/hyperlink" Target="https://www.esa.int/Applications/Observing_the_Earth/Earth_observing_missions" TargetMode="External"/><Relationship Id="rId163" Type="http://schemas.openxmlformats.org/officeDocument/2006/relationships/hyperlink" Target="https://www.esa.int/Applications/Connectivity_and_Secure_Communications" TargetMode="External"/><Relationship Id="rId164" Type="http://schemas.openxmlformats.org/officeDocument/2006/relationships/hyperlink" Target="https://www.esa.int/Applications/Connectivity_and_Secure_Communications/ARTES" TargetMode="External"/><Relationship Id="rId165" Type="http://schemas.openxmlformats.org/officeDocument/2006/relationships/hyperlink" Target="https://www.esa.int/Applications/Connectivity_and_Secure_Communications/Moonlight" TargetMode="External"/><Relationship Id="rId166" Type="http://schemas.openxmlformats.org/officeDocument/2006/relationships/hyperlink" Target="https://www.esa.int/Applications/Connectivity_and_Secure_Communications/Civil_security_from_space" TargetMode="External"/><Relationship Id="rId167" Type="http://schemas.openxmlformats.org/officeDocument/2006/relationships/hyperlink" Target="https://www.esa.int/Applications/Satellite_navigation" TargetMode="External"/><Relationship Id="rId168" Type="http://schemas.openxmlformats.org/officeDocument/2006/relationships/hyperlink" Target="https://www.esa.int/Applications/Satellite_navigation/Galileo" TargetMode="External"/><Relationship Id="rId169" Type="http://schemas.openxmlformats.org/officeDocument/2006/relationships/hyperlink" Target="https://www.esa.int/Applications/Satellite_navigation/EGNOS" TargetMode="External"/><Relationship Id="rId170" Type="http://schemas.openxmlformats.org/officeDocument/2006/relationships/hyperlink" Target="https://www.esa.int/Applications/Satellite_navigation/NAVISP" TargetMode="External"/><Relationship Id="rId171" Type="http://schemas.openxmlformats.org/officeDocument/2006/relationships/hyperlink" Target="https://www.esa.int/Applications/Satellite_navigation/Genesis" TargetMode="External"/><Relationship Id="rId172" Type="http://schemas.openxmlformats.org/officeDocument/2006/relationships/hyperlink" Target="https://www.esa.int/Applications/Satellite_navigation/Celeste" TargetMode="External"/><Relationship Id="rId173" Type="http://schemas.openxmlformats.org/officeDocument/2006/relationships/hyperlink" Target="https://commercialisation.esa.int/bic/" TargetMode="External"/><Relationship Id="rId174" Type="http://schemas.openxmlformats.org/officeDocument/2006/relationships/hyperlink" Target="https://spacesolutions.esa.int/" TargetMode="External"/><Relationship Id="rId175" Type="http://schemas.openxmlformats.org/officeDocument/2006/relationships/image" Target="media/image50.jpg"/><Relationship Id="rId176" Type="http://schemas.openxmlformats.org/officeDocument/2006/relationships/image" Target="media/image51.jpg"/><Relationship Id="rId177" Type="http://schemas.openxmlformats.org/officeDocument/2006/relationships/image" Target="media/image52.png"/><Relationship Id="rId178" Type="http://schemas.openxmlformats.org/officeDocument/2006/relationships/image" Target="media/image53.jpg"/><Relationship Id="rId179" Type="http://schemas.openxmlformats.org/officeDocument/2006/relationships/hyperlink" Target="https://www.esa.int/Enabling_Support" TargetMode="External"/><Relationship Id="rId180" Type="http://schemas.openxmlformats.org/officeDocument/2006/relationships/hyperlink" Target="https://www.esa.int/Enabling_Support/Space_Engineering_Technology" TargetMode="External"/><Relationship Id="rId181" Type="http://schemas.openxmlformats.org/officeDocument/2006/relationships/hyperlink" Target="https://www.esa.int/Enabling_Support/Space_Engineering_Technology/Test_centre" TargetMode="External"/><Relationship Id="rId182" Type="http://schemas.openxmlformats.org/officeDocument/2006/relationships/hyperlink" Target="https://www.esa.int/Enabling_Support/Space_Engineering_Technology/Laboratories" TargetMode="External"/><Relationship Id="rId183" Type="http://schemas.openxmlformats.org/officeDocument/2006/relationships/hyperlink" Target="https://www.esa.int/Enabling_Support/Space_Engineering_Technology/CDF" TargetMode="External"/><Relationship Id="rId184" Type="http://schemas.openxmlformats.org/officeDocument/2006/relationships/hyperlink" Target="https://www.esa.int/Enabling_Support/Space_Engineering_Technology/Shaping_the_Future" TargetMode="External"/><Relationship Id="rId185" Type="http://schemas.openxmlformats.org/officeDocument/2006/relationships/hyperlink" Target="https://www.esa.int/Enabling_Support/Preparing_for_the_Future/Discovery_and_Preparation" TargetMode="External"/><Relationship Id="rId186" Type="http://schemas.openxmlformats.org/officeDocument/2006/relationships/hyperlink" Target="http://www.esa.int/gsp/ACT/index.html" TargetMode="External"/><Relationship Id="rId187" Type="http://schemas.openxmlformats.org/officeDocument/2006/relationships/hyperlink" Target="https://www.esa.int/Enabling_Support/Space_Engineering_Technology/ESA_Young_Professionals_Satellites" TargetMode="External"/><Relationship Id="rId188" Type="http://schemas.openxmlformats.org/officeDocument/2006/relationships/hyperlink" Target="https://www.esa.int/Enabling_Support/Space_Transportation" TargetMode="External"/><Relationship Id="rId189" Type="http://schemas.openxmlformats.org/officeDocument/2006/relationships/hyperlink" Target="https://www.esa.int/Enabling_Support/Space_Transportation/Ariane" TargetMode="External"/><Relationship Id="rId190" Type="http://schemas.openxmlformats.org/officeDocument/2006/relationships/hyperlink" Target="https://www.esa.int/Enabling_Support/Space_Transportation/Vega" TargetMode="External"/><Relationship Id="rId191" Type="http://schemas.openxmlformats.org/officeDocument/2006/relationships/hyperlink" Target="https://www.esa.int/Enabling_Support/Space_Transportation/Space_Rider" TargetMode="External"/><Relationship Id="rId192" Type="http://schemas.openxmlformats.org/officeDocument/2006/relationships/hyperlink" Target="https://www.esa.int/Enabling_Support/Space_Transportation/Future_space_transportation" TargetMode="External"/><Relationship Id="rId193" Type="http://schemas.openxmlformats.org/officeDocument/2006/relationships/hyperlink" Target="https://www.esa.int/Enabling_Support/Space_Transportation/Boost" TargetMode="External"/><Relationship Id="rId194" Type="http://schemas.openxmlformats.org/officeDocument/2006/relationships/hyperlink" Target="https://www.esa.int/Enabling_Support/Space_Transportation/Launches_from_Europe_s_Spaceport_from_2012" TargetMode="External"/><Relationship Id="rId195" Type="http://schemas.openxmlformats.org/officeDocument/2006/relationships/hyperlink" Target="https://www.esa.int/Enabling_Support/Operations" TargetMode="External"/><Relationship Id="rId196" Type="http://schemas.openxmlformats.org/officeDocument/2006/relationships/hyperlink" Target="https://www.esa.int/Enabling_Support/Operations/ESA_Ground_Stations" TargetMode="External"/><Relationship Id="rId197" Type="http://schemas.openxmlformats.org/officeDocument/2006/relationships/hyperlink" Target="https://www.esa.int/Enabling_Support/Operations/Ground_Systems_Engineering" TargetMode="External"/><Relationship Id="rId198" Type="http://schemas.openxmlformats.org/officeDocument/2006/relationships/image" Target="media/image54.png"/><Relationship Id="rId199" Type="http://schemas.openxmlformats.org/officeDocument/2006/relationships/image" Target="media/image55.png"/><Relationship Id="rId200" Type="http://schemas.openxmlformats.org/officeDocument/2006/relationships/image" Target="media/image56.jpg"/><Relationship Id="rId201" Type="http://schemas.openxmlformats.org/officeDocument/2006/relationships/image" Target="media/image57.jpg"/><Relationship Id="rId202" Type="http://schemas.openxmlformats.org/officeDocument/2006/relationships/image" Target="media/image58.jpg"/><Relationship Id="rId203" Type="http://schemas.openxmlformats.org/officeDocument/2006/relationships/hyperlink" Target="https://www.esa.int/Science_Exploration/Space_Science/BepiColombo/Mercury_Transfer_Module" TargetMode="External"/><Relationship Id="rId204" Type="http://schemas.openxmlformats.org/officeDocument/2006/relationships/hyperlink" Target="https://www.esa.int/Science_Exploration/Space_Science/BepiColombo/Mercury_Planetary_Orbiter" TargetMode="External"/><Relationship Id="rId205" Type="http://schemas.openxmlformats.org/officeDocument/2006/relationships/hyperlink" Target="https://www.esa.int/Science_Exploration/Space_Science/BepiColombo/Mercury_Magnetospheric_Orbiter" TargetMode="External"/><Relationship Id="rId206" Type="http://schemas.openxmlformats.org/officeDocument/2006/relationships/image" Target="media/image59.png"/><Relationship Id="rId207" Type="http://schemas.openxmlformats.org/officeDocument/2006/relationships/hyperlink" Target="https://www.youtube.com/europeanspaceagency" TargetMode="External"/><Relationship Id="rId208" Type="http://schemas.openxmlformats.org/officeDocument/2006/relationships/hyperlink" Target="https://www.linkedin.com/company/european-space-agency/" TargetMode="External"/><Relationship Id="rId209" Type="http://schemas.openxmlformats.org/officeDocument/2006/relationships/image" Target="media/image60.png"/><Relationship Id="rId210" Type="http://schemas.openxmlformats.org/officeDocument/2006/relationships/hyperlink" Target="https://www.esa.int/ESA_Multimedia/Videos/2026/08/BepiColombo_s_Mercury_arrival_begins_watch_live" TargetMode="External"/><Relationship Id="rId211" Type="http://schemas.openxmlformats.org/officeDocument/2006/relationships/hyperlink" Target="https://bsky.app/profile/operations.esa.int" TargetMode="External"/><Relationship Id="rId212" Type="http://schemas.openxmlformats.org/officeDocument/2006/relationships/hyperlink" Target="https://bsky.app/profile/science.esa.int" TargetMode="External"/><Relationship Id="rId213" Type="http://schemas.openxmlformats.org/officeDocument/2006/relationships/hyperlink" Target="https://www.linkedin.com/company/esa-operations/" TargetMode="External"/><Relationship Id="rId214" Type="http://schemas.openxmlformats.org/officeDocument/2006/relationships/hyperlink" Target="https://www.linkedin.com/showcase/esascience/" TargetMode="External"/><Relationship Id="rId215" Type="http://schemas.openxmlformats.org/officeDocument/2006/relationships/hyperlink" Target="https://www.instagram.com/europeanspaceagency" TargetMode="External"/><Relationship Id="rId216" Type="http://schemas.openxmlformats.org/officeDocument/2006/relationships/hyperlink" Target="https://www.facebook.com/EuropeanSpaceAgency/" TargetMode="External"/><Relationship Id="rId217" Type="http://schemas.openxmlformats.org/officeDocument/2006/relationships/hyperlink" Target="https://www.youtube.com/user/ESA" TargetMode="External"/><Relationship Id="rId218" Type="http://schemas.openxmlformats.org/officeDocument/2006/relationships/hyperlink" Target="https://x.com/esa" TargetMode="External"/><Relationship Id="rId219" Type="http://schemas.openxmlformats.org/officeDocument/2006/relationships/hyperlink" Target="https://x.com/esaoperations" TargetMode="External"/><Relationship Id="rId220" Type="http://schemas.openxmlformats.org/officeDocument/2006/relationships/hyperlink" Target="https://x.com/esascience" TargetMode="External"/><Relationship Id="rId221" Type="http://schemas.openxmlformats.org/officeDocument/2006/relationships/image" Target="media/image61.jpg"/><Relationship Id="rId222" Type="http://schemas.openxmlformats.org/officeDocument/2006/relationships/hyperlink" Target="https://www.science.esa.int/" TargetMode="External"/><Relationship Id="rId223" Type="http://schemas.openxmlformats.org/officeDocument/2006/relationships/hyperlink" Target="https://www.esa.int/Services/Frequently_asked_questions" TargetMode="External"/><Relationship Id="rId224" Type="http://schemas.openxmlformats.org/officeDocument/2006/relationships/hyperlink" Target="https://www.esa.int/Services/Contacts" TargetMode="External"/><Relationship Id="rId225" Type="http://schemas.openxmlformats.org/officeDocument/2006/relationships/hyperlink" Target="https://www.esa.int/Services/Terms_and_conditions" TargetMode="External"/><Relationship Id="rId226" Type="http://schemas.openxmlformats.org/officeDocument/2006/relationships/hyperlink" Target="https://www.esa.int/Services/Privacy_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 live: BepiColombo begins its arrival at Mercury</dc:title>
  <dc:subject/>
  <dc:creator>briefing-article-kb</dc:creator>
  <cp:keywords/>
  <dc:description>https://www.esa.int/Enabling_Support/Operations/Watch_live_BepiColombo_begins_its_arrival_at_Mercury</dc:description>
  <cp:lastModifiedBy/>
  <cp:revision>1</cp:revision>
  <dcterms:created xsi:type="dcterms:W3CDTF">2013-12-23T23:15:00Z</dcterms:created>
  <dcterms:modified xsi:type="dcterms:W3CDTF">2013-12-23T23:15:00Z</dcterms:modified>
  <cp:category/>
</cp:coreProperties>
</file>