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B003-032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Hoover（Hoover Institution - China Program）</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Quantum Technology: Particle-scale Progress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https://cms.hoover.org/research/quantum-technology-particle-scale-progress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B003-032-Hoover institution - china program -a-hrefhttpscmshooverorgresearchquantum-technolog-202608.md</w:t>
            </w:r>
          </w:p>
        </w:tc>
      </w:tr>
    </w:tbl>
    <w:p/>
    <w:p>
      <w:pPr>
        <w:pStyle w:val="DocTitle"/>
      </w:pPr>
      <w:r>
        <w:t>Quantum Technology: Particle-scale Progress</w:t>
      </w:r>
    </w:p>
    <w:p>
      <w:pPr>
        <w:pStyle w:val="DocBody"/>
      </w:pPr>
      <w:r>
        <w:rPr>
          <w:rFonts w:ascii="Times New Roman" w:hAnsi="Times New Roman" w:eastAsia="宋体"/>
          <w:sz w:val="24"/>
        </w:rPr>
        <w:t>THE STANFORD EMERGING TECHNOLOGY REVIEW 2026 S TA N F O R D U N I V E R S I T Y A Report on Ten Key Technologies and Their Policy Implications DIRECTOR AND EDITOR IN CHIEF  Herbert S. Lin   |  MANAGING EDITOR  Martin Giles CO-CHAIRS  Condoleezza Rice, Jennifer Widom, and Amy Zegart</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THE STANFORD EMERGING TECHNOLOGY REVIEW 2026 A Report on Ten Key Technologies and Their Policy Implications CO-CHAIRS Condoleezza Rice Jennifer Widom Amy Zegart DIRECTOR AND EDITOR IN CHIEF Herbert S. Lin MANAGING EDITOR Martin Giles Stanford University Stanford, California</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CONTENTS</w:t>
      </w:r>
    </w:p>
    <w:p>
      <w:pPr>
        <w:pStyle w:val="DocBody"/>
      </w:pPr>
      <w:r>
        <w:rPr>
          <w:rFonts w:ascii="Times New Roman" w:hAnsi="Times New Roman" w:eastAsia="宋体"/>
          <w:sz w:val="24"/>
        </w:rPr>
        <w:t>FOREWORD 4 EXECUTIVE SUMMARY  12 INTRODUCTION The Role of Science and Technology in Advancing National Interests  20 Policy for S&amp;T  20 Ten S&amp;T Fields  21 01  Artificial Intelligence 02  Biotechnology and Synthetic Biology  39 03  Cryptography and Computer Security  57 04  Energy Technologies  71 05  Materials Science  89 06  Neuroscience  103 07  Quantum Technologies  117 08  Robotics  143 09  Semiconductors  157 10  Space  171</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Commonalities  184 Governance and Geopolitics of Emerging Technology  185 Innovation Pathways and Paterns of Progress  188 Human Capital and Knowledge Ecosystems  195 Infrastructure for Innovation  203 12  Technology Applications by Policy Area  210 Economic Growth  210 National Security  211 Environmental and Energy Sustainability  213 Health and Medicine  215 Civil Society  216 CONCLUSION  218 LEADERSHIP  220 ACKNOWLEDGMENTS  224</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FOREWORD This edition of the Stanford Emerging Technology Review (SETR) coincides with the 250th anniversary of America’s Declaration of Independence. As we look toward the future, the past reminds us that his­ tory takes surprising turns and that human agency can be powerful. In 1776, few could have dreamed that a ragtag band of colonists in a backwater far from Europe would defeat a great power, replace a king with an extraordinary experiment in democracy, and ultimately become the technological envy of the world. What looked impossible two and a half centuries ago seems inevitable now. Bold ideas and determined action made all the difference.</w:t>
      </w:r>
    </w:p>
    <w:p>
      <w:pPr>
        <w:pStyle w:val="DocBody"/>
      </w:pPr>
      <w:r>
        <w:rPr>
          <w:rFonts w:ascii="Times New Roman" w:hAnsi="Times New Roman" w:eastAsia="宋体"/>
          <w:sz w:val="24"/>
        </w:rPr>
        <w:t>Today, we face a hinge of history moment where technological discoveries are supercharging both possibility and risk at dizzying speed. This emerg­ ing world is hard to understand and even harder to anticipate. But this much seems clear: The choices made today, in everywhere from labs to legislatures, are likely to have consequences for generations.</w:t>
      </w:r>
    </w:p>
    <w:p>
      <w:pPr>
        <w:pStyle w:val="DocBody"/>
      </w:pPr>
      <w:r>
        <w:rPr>
          <w:rFonts w:ascii="Times New Roman" w:hAnsi="Times New Roman" w:eastAsia="宋体"/>
          <w:sz w:val="24"/>
        </w:rPr>
        <w:t>Artifcial intelligence (AI) is poised to transform sci­ entifc discovery, the future of work, the future of war, and more. And AI is not alone. From nanomaterials that are ffty thousand times smaller than the width of a human hair to commercial satellites and other private-sector technologies deployed in outer space, breakthroughs are reshaping markets, societies, and geopolitics. This is a convergence moment: Never have so many technologies changed so much so fast.</w:t>
      </w:r>
    </w:p>
    <w:p>
      <w:pPr>
        <w:pStyle w:val="DocBody"/>
      </w:pPr>
      <w:r>
        <w:rPr>
          <w:rFonts w:ascii="Times New Roman" w:hAnsi="Times New Roman" w:eastAsia="宋体"/>
          <w:sz w:val="24"/>
        </w:rPr>
        <w:t>In this era, US technology policy is no longer the unique province of government that it used to be.</w:t>
      </w:r>
    </w:p>
    <w:p>
      <w:pPr>
        <w:pStyle w:val="DocBody"/>
      </w:pPr>
      <w:r>
        <w:rPr>
          <w:rFonts w:ascii="Times New Roman" w:hAnsi="Times New Roman" w:eastAsia="宋体"/>
          <w:sz w:val="24"/>
        </w:rPr>
        <w:t>Federal and state offcials are struggling to keep up with technological advances and their implications.</w:t>
      </w:r>
    </w:p>
    <w:p>
      <w:pPr>
        <w:pStyle w:val="DocBody"/>
      </w:pPr>
      <w:r>
        <w:rPr>
          <w:rFonts w:ascii="Times New Roman" w:hAnsi="Times New Roman" w:eastAsia="宋体"/>
          <w:sz w:val="24"/>
        </w:rPr>
        <w:t>At the same time, inventors and investors are strug­ gling to reconcile commercial opportunities and national interests in a world where technology, eco­ nomics, and geopolitics have become inseparable.</w:t>
      </w:r>
    </w:p>
    <w:p>
      <w:pPr>
        <w:pStyle w:val="DocBody"/>
      </w:pPr>
      <w:r>
        <w:rPr>
          <w:rFonts w:ascii="Times New Roman" w:hAnsi="Times New Roman" w:eastAsia="宋体"/>
          <w:sz w:val="24"/>
        </w:rPr>
        <w:t>Now more than ever, understanding the landscape of discovery and how to harness technology to forge a better future requires working across sectors, felds, and generations. Engineers and executives need to better understand the policy world to anticipate how their decisions could generate geopolitical advan­ tages and vulnerabilities, and how they can seize opportunities while mitigating risks to the nation.</w:t>
      </w:r>
    </w:p>
    <w:p>
      <w:pPr>
        <w:pStyle w:val="DocBody"/>
      </w:pPr>
      <w:r>
        <w:rPr>
          <w:rFonts w:ascii="Times New Roman" w:hAnsi="Times New Roman" w:eastAsia="宋体"/>
          <w:sz w:val="24"/>
        </w:rPr>
        <w:t>Government leaders need to better understand the academic and business worlds so that well-intended policies don’t end up exacerbating societal harms or dampening America’s innovation leadership and the geopolitical advantages that come with it. And both government and industry need to better understand the foundational role that America’s research univer­ sities play in the ecosystem that has made the United States the world’s innovation leader since 1945— and how that model is now weakening at home while China is racing to copy it.</w:t>
      </w:r>
    </w:p>
    <w:p>
      <w:pPr>
        <w:pStyle w:val="DocBody"/>
      </w:pPr>
      <w:r>
        <w:rPr>
          <w:rFonts w:ascii="Times New Roman" w:hAnsi="Times New Roman" w:eastAsia="宋体"/>
          <w:sz w:val="24"/>
        </w:rPr>
        <w:t>The Stanford Emerging Technology Review (SETR)</w:t>
      </w:r>
    </w:p>
    <w:p>
      <w:pPr>
        <w:pStyle w:val="DocBody"/>
      </w:pPr>
      <w:r>
        <w:rPr>
          <w:rFonts w:ascii="Times New Roman" w:hAnsi="Times New Roman" w:eastAsia="宋体"/>
          <w:sz w:val="24"/>
        </w:rPr>
        <w:t>initiative is the frst-ever collaboration between Stanford University’s School of Engineering, the Hoover Institution, and Stanford’s Institute for Human-Centered Artifcial Intelligence. We launched this effort with an ambitious goal: transforming tech­ nology education for decision makers in both the public and private sectors so that the United States can seize opportunities, mitigate risks, and ensure the American innovation ecosystem continues to thrive.</w:t>
      </w:r>
    </w:p>
    <w:p>
      <w:pPr>
        <w:pStyle w:val="DocBody"/>
      </w:pPr>
      <w:r>
        <w:rPr>
          <w:rFonts w:ascii="Times New Roman" w:hAnsi="Times New Roman" w:eastAsia="宋体"/>
          <w:sz w:val="24"/>
        </w:rPr>
        <w:t>This is our third annual report surveying the state of ten key emerging technologies and their implica­ tions. It harnesses the expertise of leading faculty in science and engineering felds, economics, interna­ tional relations, and history to identify key techno­ logical developments, assess potential implications, and highlight what policymakers should know.</w:t>
      </w:r>
    </w:p>
    <w:p>
      <w:pPr>
        <w:pStyle w:val="DocBody"/>
      </w:pPr>
      <w:r>
        <w:rPr>
          <w:rFonts w:ascii="Times New Roman" w:hAnsi="Times New Roman" w:eastAsia="宋体"/>
          <w:sz w:val="24"/>
        </w:rPr>
        <w:t>STANFORD EMERGING TECHNOLOGY REVIEW</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This report is our fagship product, but it is just one element of our continuous technology education campaign for policymakers that now involves more than one hundred Stanford scholars across forty departments and research institutes. In the past year, SETR experts have briefed senior leaders in the private sector and across the US government—in Congress, the White House, the Department of Commerce, the Department of Defense, and the intelligence community. We have organized and participated in dozens of Stanford programs, includ­ ing multiday congressional staff boot camps in AI, biotechnology, and emerging technologies more broadly; roundtables for CEOs, national media, state and local leaders, and offcials from European part­ ners and allies; and workshops convening leaders across sectors to develop new insights that advance space policy, America’s biotechnology strategy, defense innovation, and economic statecraft.</w:t>
      </w:r>
    </w:p>
    <w:p>
      <w:pPr>
        <w:pStyle w:val="DocBody"/>
      </w:pPr>
      <w:r>
        <w:rPr>
          <w:rFonts w:ascii="Times New Roman" w:hAnsi="Times New Roman" w:eastAsia="宋体"/>
          <w:sz w:val="24"/>
        </w:rPr>
        <w:t>Our efforts are guided by three observations:</w:t>
      </w:r>
    </w:p>
    <w:p>
      <w:pPr>
        <w:pStyle w:val="DocBody"/>
        <w:ind w:left="765"/>
      </w:pPr>
      <w:r>
        <w:rPr>
          <w:rFonts w:ascii="Times New Roman" w:hAnsi="Times New Roman" w:eastAsia="宋体"/>
          <w:sz w:val="24"/>
        </w:rPr>
        <w:t>America’s global innovation leadership matters.</w:t>
      </w:r>
    </w:p>
    <w:p>
      <w:pPr>
        <w:pStyle w:val="DocBody"/>
      </w:pPr>
      <w:r>
        <w:rPr>
          <w:rFonts w:ascii="Times New Roman" w:hAnsi="Times New Roman" w:eastAsia="宋体"/>
          <w:sz w:val="24"/>
        </w:rPr>
        <w:t>American innovation leadership is not just important for the nation’s economy and security. It is the linch­ pin for maintaining a dynamic global technology innovation ecosystem and securing its benefts for the United States and the world.</w:t>
      </w:r>
    </w:p>
    <w:p>
      <w:pPr>
        <w:pStyle w:val="DocBody"/>
      </w:pPr>
      <w:r>
        <w:rPr>
          <w:rFonts w:ascii="Times New Roman" w:hAnsi="Times New Roman" w:eastAsia="宋体"/>
          <w:sz w:val="24"/>
        </w:rPr>
        <w:t>Put simply, it matters whether the global innovation ecosystem is led by democracies or autocracies.</w:t>
      </w:r>
    </w:p>
    <w:p>
      <w:pPr>
        <w:pStyle w:val="DocBody"/>
      </w:pPr>
      <w:r>
        <w:rPr>
          <w:rFonts w:ascii="Times New Roman" w:hAnsi="Times New Roman" w:eastAsia="宋体"/>
          <w:sz w:val="24"/>
        </w:rPr>
        <w:t>Democratic countries promote freedom and thrive in it, while authoritarian countries do not. Freedom, in turn, is the fertile soil of innovation, and it takes many forms: the freedom to criticize a government;</w:t>
      </w:r>
    </w:p>
    <w:p>
      <w:pPr>
        <w:pStyle w:val="DocBody"/>
      </w:pPr>
      <w:r>
        <w:rPr>
          <w:rFonts w:ascii="Times New Roman" w:hAnsi="Times New Roman" w:eastAsia="宋体"/>
          <w:sz w:val="24"/>
        </w:rPr>
        <w:t>to admit failure in a research program as a step toward future progress; to share fndings openly with others; to collaborate across geographical and technical borders with reciprocal access to talent, knowledge, and resources; and to work without fear of repression, persecution, or political reprisal.</w:t>
      </w:r>
    </w:p>
    <w:p>
      <w:pPr>
        <w:pStyle w:val="DocBody"/>
      </w:pPr>
      <w:r>
        <w:rPr>
          <w:rFonts w:ascii="Times New Roman" w:hAnsi="Times New Roman" w:eastAsia="宋体"/>
          <w:sz w:val="24"/>
        </w:rPr>
        <w:t>But the United States cannot succeed alone. Robust international collaboration, especially with allies and partners, is essential for bringing together the best minds to tackle the world’s toughest challenges, accel­ erating technological breakthroughs, and advancing American values, not just our interests.</w:t>
      </w:r>
    </w:p>
    <w:p>
      <w:pPr>
        <w:pStyle w:val="DocBody"/>
      </w:pPr>
      <w:r>
        <w:rPr>
          <w:rFonts w:ascii="Times New Roman" w:hAnsi="Times New Roman" w:eastAsia="宋体"/>
          <w:sz w:val="24"/>
        </w:rPr>
        <w:t>China’s rise poses many challenges, and we must not be naive about the Chinese Communist Party’s espi­ onage activities and intellectual property theft from American companies and universities or its spread of repressive surveillance technologies around the world. But it is also worth remembering that interna­ tional scientifc collaboration has long been pivotal to fostering global peace, progress, and prosperity, even in times of intense geopolitical competition.</w:t>
      </w:r>
    </w:p>
    <w:p>
      <w:pPr>
        <w:pStyle w:val="DocBody"/>
      </w:pPr>
      <w:r>
        <w:rPr>
          <w:rFonts w:ascii="Times New Roman" w:hAnsi="Times New Roman" w:eastAsia="宋体"/>
          <w:sz w:val="24"/>
        </w:rPr>
        <w:t>During the Cold War, American and Soviet nuclear scientists and policymakers worked together to reduce the risk of accidental nuclear war through arms control agreements and safety measures—at the same time as their nuclear weapons were target­ ing each other’s cities. Similarly, scientifc coopera­ tion with China is essential today for reducing shared risks posed by new technologies, from AI-enabled nuclear command and control disasters to confict in outer space that could bring devastating unin­ tended or unexpected consequences for commer­ cial activities and civilian life.</w:t>
      </w:r>
    </w:p>
    <w:p>
      <w:pPr>
        <w:pStyle w:val="DocBody"/>
        <w:ind w:left="765"/>
      </w:pPr>
      <w:r>
        <w:rPr>
          <w:rFonts w:ascii="Times New Roman" w:hAnsi="Times New Roman" w:eastAsia="宋体"/>
          <w:sz w:val="24"/>
        </w:rPr>
        <w:t>Academia’s role in American innovation is essential—and at risk.</w:t>
      </w:r>
    </w:p>
    <w:p>
      <w:pPr>
        <w:pStyle w:val="DocBody"/>
      </w:pPr>
      <w:r>
        <w:rPr>
          <w:rFonts w:ascii="Times New Roman" w:hAnsi="Times New Roman" w:eastAsia="宋体"/>
          <w:sz w:val="24"/>
        </w:rPr>
        <w:t>America’s thriving innovation ecosystem has rested on three pillars: the government, the private sector, and FOREWORD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the academy. Success has required robust research and development (R&amp;D) in all three. But they are not the same. Evidence suggests that universities’ role as the engine of innovation is increasingly at risk, and there is no plan B.</w:t>
      </w:r>
    </w:p>
    <w:p>
      <w:pPr>
        <w:pStyle w:val="DocBody"/>
      </w:pPr>
      <w:r>
        <w:rPr>
          <w:rFonts w:ascii="Times New Roman" w:hAnsi="Times New Roman" w:eastAsia="宋体"/>
          <w:sz w:val="24"/>
        </w:rPr>
        <w:t>Universities, along with US national laboratories, are the only institutions that conduct research on the fron­ tiers of knowledge without regard for potential proft or foreseeable commercial application. This kind of research is called basic or fundamental research. It takes years, sometimes decades, to bear fruit. And it often fails, because fundamental research is in the business of asking big, hard questions to which nobody knows the answers. But without this kind of research over long periods of time, future commer­ cial innovations would not be possible. Fundamental research investigates questions like, “What are the principles of quantum physics?” and “How does the human immune system work?” Commercial research then builds on openly published academic work to develop quantum computing start-ups whose work could help identify new materials or develop medi­ cines that save millions of lives.</w:t>
      </w:r>
    </w:p>
    <w:p>
      <w:pPr>
        <w:pStyle w:val="DocBody"/>
      </w:pPr>
      <w:r>
        <w:rPr>
          <w:rFonts w:ascii="Times New Roman" w:hAnsi="Times New Roman" w:eastAsia="宋体"/>
          <w:sz w:val="24"/>
        </w:rPr>
        <w:t>Much of our daily life depends on breakthroughs that would never exist without years of federal invest­ ment in fundamental research inside universities.</w:t>
      </w:r>
    </w:p>
    <w:p>
      <w:pPr>
        <w:pStyle w:val="DocBody"/>
      </w:pPr>
      <w:r>
        <w:rPr>
          <w:rFonts w:ascii="Times New Roman" w:hAnsi="Times New Roman" w:eastAsia="宋体"/>
          <w:sz w:val="24"/>
        </w:rPr>
        <w:t>The internet, radar, magnetic resonance imaging (MRI) machines, and the Global Positioning System (GPS) for navigation are just a few examples. Today’s AI revolution began ffty years ago with university research into neural networks.</w:t>
      </w:r>
    </w:p>
    <w:p>
      <w:pPr>
        <w:pStyle w:val="DocBody"/>
      </w:pPr>
      <w:r>
        <w:rPr>
          <w:rFonts w:ascii="Times New Roman" w:hAnsi="Times New Roman" w:eastAsia="宋体"/>
          <w:sz w:val="24"/>
        </w:rPr>
        <w:t>Everyone uses Google, but few people know that Google emerged from a National Science Foundation grant to Stanford professors who were conducting fundamental research on digital libraries back in 1993—when there were one hundred total websites on Earth.1 However, there are signs that the engine of inno­ vation in US research universities is not running as well as it could, posing long-term risks to the nation and our technological leadership. In 2024, for the frst time, the number of Chinese contributions sur­ passed ones from the United States in the closely watched Nature Index, which tracks eighty-two of the world’s premier science journals.2 Increasingly, the world’s best and brightest are not automatically coming to the United States to be educated and possibly stay; global talent has far more educational and training options now than it did ten or twenty years ago. For example, a 2025 Hoover Institution study found that more than half of China’s leading AI researchers behind DeepSeek’s breakthrough large language model (LLM) were educated and trained entirely in China.3 In today’s technological era, knowledge really is power, and it starts with talent.4 Reversing the downward slide of American K–12 education at home and recruiting and retaining the brightest minds from abroad have never been more important for American technological compet­ itiveness and national security.</w:t>
      </w:r>
    </w:p>
    <w:p>
      <w:pPr>
        <w:pStyle w:val="DocBody"/>
      </w:pPr>
      <w:r>
        <w:rPr>
          <w:rFonts w:ascii="Times New Roman" w:hAnsi="Times New Roman" w:eastAsia="宋体"/>
          <w:sz w:val="24"/>
        </w:rPr>
        <w:t>Universities have work to do to fulfll our mission of promoting serious and searching inquiry, restore civic discourse, and regain the trust of the American people. Making cosmetic changes and hoping to return to the way things were will not be enough; this is a moment to reimagine and reinvigorate higher education in service of discovery and the nation.</w:t>
      </w:r>
    </w:p>
    <w:p>
      <w:pPr>
        <w:pStyle w:val="DocBody"/>
      </w:pPr>
      <w:r>
        <w:rPr>
          <w:rFonts w:ascii="Times New Roman" w:hAnsi="Times New Roman" w:eastAsia="宋体"/>
          <w:sz w:val="24"/>
        </w:rPr>
        <w:t>At the same time, the current challenges across US campuses should not distract from the urgent need Evidence suggests that universities’ role as the engine of innovation is increasingly at risk, and there is no plan B.</w:t>
      </w:r>
    </w:p>
    <w:p>
      <w:pPr>
        <w:pStyle w:val="DocBody"/>
      </w:pPr>
      <w:r>
        <w:rPr>
          <w:rFonts w:ascii="Times New Roman" w:hAnsi="Times New Roman" w:eastAsia="宋体"/>
          <w:sz w:val="24"/>
        </w:rPr>
        <w:t>STANFORD EMERGING TECHNOLOGY REVIEW</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FOREWORD</w:t>
      </w:r>
    </w:p>
    <w:p>
      <w:pPr>
        <w:pStyle w:val="DocBody"/>
      </w:pPr>
      <w:r>
        <w:rPr>
          <w:rFonts w:ascii="Times New Roman" w:hAnsi="Times New Roman" w:eastAsia="宋体"/>
          <w:sz w:val="24"/>
        </w:rPr>
        <w:t>to ensure American research universities have what it takes to make the breakthrough discoveries of tomorrow. We are harvesting today the research seeds planted decades ago. But we are not planting for the future like we once did.</w:t>
      </w:r>
    </w:p>
    <w:p>
      <w:pPr>
        <w:pStyle w:val="DocBody"/>
      </w:pPr>
      <w:r>
        <w:rPr>
          <w:rFonts w:ascii="Times New Roman" w:hAnsi="Times New Roman" w:eastAsia="宋体"/>
          <w:sz w:val="24"/>
        </w:rPr>
        <w:t>The US government is the only funder capable of making large and risky investments in the basic sci­ ence conducted at universities (as well as national laboratories) that is essential for future applications.</w:t>
      </w:r>
    </w:p>
    <w:p>
      <w:pPr>
        <w:pStyle w:val="DocBody"/>
      </w:pPr>
      <w:r>
        <w:rPr>
          <w:rFonts w:ascii="Times New Roman" w:hAnsi="Times New Roman" w:eastAsia="宋体"/>
          <w:sz w:val="24"/>
        </w:rPr>
        <w:t>Yet federal R&amp;D funding has plummeted in percent­ age terms since the 1960s, from 1.86 percent of GDP in 1964 to just 0.66 percent of GDP in 2016.5 The United States used to spend more of its GDP on science and research than any nation in the world;</w:t>
      </w:r>
    </w:p>
    <w:p>
      <w:pPr>
        <w:pStyle w:val="DocBody"/>
      </w:pPr>
      <w:r>
        <w:rPr>
          <w:rFonts w:ascii="Times New Roman" w:hAnsi="Times New Roman" w:eastAsia="宋体"/>
          <w:sz w:val="24"/>
        </w:rPr>
        <w:t>today the US ranks eighth.6 The Creating Helpful Incentives to Produce Semi­ conductors (CHIPS) and Science Act of 2022 was supposed to begin reversing this yearslong decline by dramatically increasing federal funding for basic research. But those increases were subsequently scrapped. Current budget proposals call for fur­ ther reductions in the National Science Foundation budget (which funds all felds of fundamental sci­ ence and engineering outside of medicine) and the National Institutes of Health budget (which funds medical research).</w:t>
      </w:r>
    </w:p>
    <w:p>
      <w:pPr>
        <w:pStyle w:val="DocBody"/>
      </w:pPr>
      <w:r>
        <w:rPr>
          <w:rFonts w:ascii="Times New Roman" w:hAnsi="Times New Roman" w:eastAsia="宋体"/>
          <w:sz w:val="24"/>
        </w:rPr>
        <w:t>The United States still funds more basic research than China does, but China is copying the US inno­ vation playbook by investing more and more in basic research and concentrating talent in research univer­ sities. In fact, China’s basic research investment is rising six times faster than that of the United States.</w:t>
      </w:r>
    </w:p>
    <w:p>
      <w:pPr>
        <w:pStyle w:val="DocBody"/>
      </w:pPr>
      <w:r>
        <w:rPr>
          <w:rFonts w:ascii="Times New Roman" w:hAnsi="Times New Roman" w:eastAsia="宋体"/>
          <w:sz w:val="24"/>
        </w:rPr>
        <w:t>As fgure F.1 illustrates, China is poised to overtake the US by the end of the decade if current trends continue.</w:t>
      </w:r>
    </w:p>
    <w:p>
      <w:pPr>
        <w:pStyle w:val="DocBody"/>
      </w:pPr>
      <w:r>
        <w:rPr>
          <w:rFonts w:ascii="Times New Roman" w:hAnsi="Times New Roman" w:eastAsia="宋体"/>
          <w:sz w:val="24"/>
        </w:rPr>
        <w:t>Private-sector investment in technology companies and associated university research has increased sub­ stantially over time, and it may seem like an attractive substitute. But it is not the same. Private investors (rightly) expect returns on their investment, which naturally leads them to fund research avenues with a shorter-term focus and commercial viability. Federal funding for basic research, by contrast, is directed at research that has no foreseeable proft but addresses national issues for the public beneft, seeks to advance basic understanding, and can take a longer-term view to pursue moonshot ideas.7 To be sure, the rising dominance of private indus­ try in innovation brings signifcant benefts. But it is also generating serious and more hidden risks to the health of the entire American innovation ecosystem.</w:t>
      </w:r>
    </w:p>
    <w:p>
      <w:pPr>
        <w:pStyle w:val="DocBody"/>
      </w:pPr>
      <w:r>
        <w:rPr>
          <w:rFonts w:ascii="Times New Roman" w:hAnsi="Times New Roman" w:eastAsia="宋体"/>
          <w:sz w:val="24"/>
        </w:rPr>
        <w:t>In some areas, technology and talent are migrating from academia to the private sector, accelerating the development of commercial products while erod­ ing the foundation for the future. We are already reaching a tipping point in AI. In 2022, more than 70 percent of students who received PhDs in artif­ cial intelligence at US universities took industry jobs, leaving fewer faculty to teach the next generation.8 As the bipartisan National Security Commission on Artifcial Intelligence put it, “Talent follows talent.”9 Today, only a handful of the world’s largest compa­ nies have both the talent and the enormous com­ pute power necessary for developing sophisticated LLMs like ChatGPT. No university comes close.  In 2024, for example, Princeton University announced that it would tap endowment funds to purchase 300 advanced NVIDIA chips to use for research, costing about $9 million, while Meta announced plans to purchase 350,000 of the same chips by year’s end at an estimated cost of $10 billion.10 These trends raise several concerning implications.11 A very signifcant one is that research in the feld is likely to be skewed to applications driven by com­ mercial rather than public interests. The ability for universities—or anyone outside of the leading AI companies—to conduct independent analysis of the weaknesses, risks, and vulnerabilities of AI (espe­ cially LLMs recently in the news) will become more important and simultaneously more diffcult. Further, the more that industry offers unparalleled talent con­ centrations, computing power, training data, and the most sophisticated models, the more likely it is that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F.1  China is projected to overtake the United States in basic research and development spending Projected Gross Domestic Expenditure on Basic R&amp;D in Billions of US Dollars $300 $250 $200 $150 $100 $50 $0 United States China Note: The projection assumes the rate of change between 2012 and 2024 continues forward; it does not include the Trump administra­ tion’s proposed FY 2026 budget reductions to federally funded research.</w:t>
      </w:r>
    </w:p>
    <w:p>
      <w:pPr>
        <w:pStyle w:val="DocBody"/>
      </w:pPr>
      <w:r>
        <w:rPr>
          <w:rFonts w:ascii="Times New Roman" w:hAnsi="Times New Roman" w:eastAsia="宋体"/>
          <w:sz w:val="24"/>
        </w:rPr>
        <w:t>Source: OECD Main Science and Technology Indicators Dataset, https://www.oecd.org/en/data/indicators/gross-domestic-spending-on -r-d.html future generations of the best AI minds will continue to fock there, potentially eroding the nation’s ability to conduct broad-ranging foundational research in the feld.</w:t>
      </w:r>
    </w:p>
    <w:p>
      <w:pPr>
        <w:pStyle w:val="DocBody"/>
        <w:ind w:left="765"/>
      </w:pPr>
      <w:r>
        <w:rPr>
          <w:rFonts w:ascii="Times New Roman" w:hAnsi="Times New Roman" w:eastAsia="宋体"/>
          <w:sz w:val="24"/>
        </w:rPr>
        <w:t>The view from Stanford is unique, important— and needed now more than ever.</w:t>
      </w:r>
    </w:p>
    <w:p>
      <w:pPr>
        <w:pStyle w:val="DocBody"/>
      </w:pPr>
      <w:r>
        <w:rPr>
          <w:rFonts w:ascii="Times New Roman" w:hAnsi="Times New Roman" w:eastAsia="宋体"/>
          <w:sz w:val="24"/>
        </w:rPr>
        <w:t>Stanford University has a unique vantage point when it comes to technological innovation. It is not an accident that Silicon Valley surrounds Stanford; tech­ nology developed at Stanford in the 1930s served as the foundation for the pioneering companies like Varian Associates and Hewlett-Packard that frst shaped industry in the Valley. Since then, the univer­ sity has continued to fuel that innovation ecosystem.</w:t>
      </w:r>
    </w:p>
    <w:p>
      <w:pPr>
        <w:pStyle w:val="DocBody"/>
      </w:pPr>
      <w:r>
        <w:rPr>
          <w:rFonts w:ascii="Times New Roman" w:hAnsi="Times New Roman" w:eastAsia="宋体"/>
          <w:sz w:val="24"/>
        </w:rPr>
        <w:t>Stanford faculty, researchers, and former students have founded Alphabet, Cisco Systems, Instagram, LinkedIn, NVIDIA, Sun Microsystems, Yahoo!, and many other companies, together generating more annual revenues than most of the world’s econo­ mies. Start-ups take fight in our dorm rooms, class­ rooms, kitchens, and laboratories. Technological innovation is lived every day and up close on our campus—with all its benefts and downsides. This ecosystem and its culture, ideas, and perspectives often seem a world apart from the needs and norms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FOREWORD</w:t>
      </w:r>
    </w:p>
    <w:p>
      <w:pPr>
        <w:pStyle w:val="DocBody"/>
      </w:pPr>
      <w:r>
        <w:rPr>
          <w:rFonts w:ascii="Times New Roman" w:hAnsi="Times New Roman" w:eastAsia="宋体"/>
          <w:sz w:val="24"/>
        </w:rPr>
        <w:t>Bridging the divide between the locus of American policy and the heart of American technological innovation has never been more important.</w:t>
      </w:r>
    </w:p>
    <w:p>
      <w:pPr>
        <w:pStyle w:val="DocBody"/>
      </w:pPr>
      <w:r>
        <w:rPr>
          <w:rFonts w:ascii="Times New Roman" w:hAnsi="Times New Roman" w:eastAsia="宋体"/>
          <w:sz w:val="24"/>
        </w:rPr>
        <w:t>of Washington, DC. Bridging the divide between the locus of American policy and the heart of American technological innovation has never been more important.</w:t>
      </w:r>
    </w:p>
    <w:p>
      <w:pPr>
        <w:pStyle w:val="DocBody"/>
      </w:pPr>
      <w:r>
        <w:rPr>
          <w:rFonts w:ascii="Times New Roman" w:hAnsi="Times New Roman" w:eastAsia="宋体"/>
          <w:sz w:val="24"/>
        </w:rPr>
        <w:t>Stanford has a rich history of policy engagement, with scholars and alumni who serve at the highest levels of government as well as institutional initia­ tives that bring together policymakers and research­ ers to tackle the world’s toughest policy problems.</w:t>
      </w:r>
    </w:p>
    <w:p>
      <w:pPr>
        <w:pStyle w:val="DocBody"/>
      </w:pPr>
      <w:r>
        <w:rPr>
          <w:rFonts w:ascii="Times New Roman" w:hAnsi="Times New Roman" w:eastAsia="宋体"/>
          <w:sz w:val="24"/>
        </w:rPr>
        <w:t>And generations of Stanford engineering faculty, stu­ dents, and staff have had profound impact through their discoveries—from the klystron, a microwave amplifer developed in the 1930s that enabled radar and early satellite communications; to the algorithms driving Google; to optogenetics, a technique pio­ neered in 2005 that uses light to control neurons, enabling precise studies of brain function. In this moment of technological change, we must do even more to connect emerging technologies with policy.</w:t>
      </w:r>
    </w:p>
    <w:p>
      <w:pPr>
        <w:pStyle w:val="DocBody"/>
      </w:pPr>
      <w:r>
        <w:rPr>
          <w:rFonts w:ascii="Times New Roman" w:hAnsi="Times New Roman" w:eastAsia="宋体"/>
          <w:sz w:val="24"/>
        </w:rPr>
        <w:t>We are proud and excited to continue this unprec­ edented collaboration to bring policy analysis, social science, science, medicine, and engineering together in new ways.</w:t>
      </w:r>
    </w:p>
    <w:p>
      <w:pPr>
        <w:pStyle w:val="DocBody"/>
      </w:pPr>
      <w:r>
        <w:rPr>
          <w:rFonts w:ascii="Times New Roman" w:hAnsi="Times New Roman" w:eastAsia="宋体"/>
          <w:sz w:val="24"/>
        </w:rPr>
        <w:t>Today, technology policy and education efforts are often led by policy experts with limited technolog­ ical expertise. The Stanford Emerging Technology Review fips the script, enlisting many of the bright­ est scientifc and engineering minds at the university to share their knowledge of their respective felds by working alongside social scientists to translate their work to nonexpert audiences. We start with science and technology, not policy. And we go from there to emphasize the important interaction between sci­ ence and all aspects of policy.</w:t>
      </w:r>
    </w:p>
    <w:p>
      <w:pPr>
        <w:pStyle w:val="DocBody"/>
      </w:pPr>
      <w:r>
        <w:rPr>
          <w:rFonts w:ascii="Times New Roman" w:hAnsi="Times New Roman" w:eastAsia="宋体"/>
          <w:sz w:val="24"/>
        </w:rPr>
        <w:t>How to Use This Report:</w:t>
      </w:r>
    </w:p>
    <w:p>
      <w:pPr>
        <w:pStyle w:val="DocBody"/>
      </w:pPr>
      <w:r>
        <w:rPr>
          <w:rFonts w:ascii="Times New Roman" w:hAnsi="Times New Roman" w:eastAsia="宋体"/>
          <w:sz w:val="24"/>
        </w:rPr>
        <w:t>One Primer, Ten Major Technology Areas This report is intended to be a one-stop shopping primer that covers developments and implications in ten major emerging technology areas: artifcial intelligence; biotechnology and synthetic biology;</w:t>
      </w:r>
    </w:p>
    <w:p>
      <w:pPr>
        <w:pStyle w:val="DocBody"/>
      </w:pPr>
      <w:r>
        <w:rPr>
          <w:rFonts w:ascii="Times New Roman" w:hAnsi="Times New Roman" w:eastAsia="宋体"/>
          <w:sz w:val="24"/>
        </w:rPr>
        <w:t>cryptography and computer security; energy tech­ nologies; materials science; neuroscience; quantum technologies; robotics; semiconductors; and space.</w:t>
      </w:r>
    </w:p>
    <w:p>
      <w:pPr>
        <w:pStyle w:val="DocBody"/>
      </w:pPr>
      <w:r>
        <w:rPr>
          <w:rFonts w:ascii="Times New Roman" w:hAnsi="Times New Roman" w:eastAsia="宋体"/>
          <w:sz w:val="24"/>
        </w:rPr>
        <w:t>The list is broad by design, and it includes felds that are widely regarded as pivotal to shaping soci­ ety, economics, and geopolitics today and into the future.</w:t>
      </w:r>
    </w:p>
    <w:p>
      <w:pPr>
        <w:pStyle w:val="DocBody"/>
      </w:pPr>
      <w:r>
        <w:rPr>
          <w:rFonts w:ascii="Times New Roman" w:hAnsi="Times New Roman" w:eastAsia="宋体"/>
          <w:sz w:val="24"/>
        </w:rPr>
        <w:t>That said, the ten major technology areas covered in this report are nowhere near an exhaustive cat­ alog of technology research areas at Stanford. And the list may change year to year—not because a particular technology sputtered or we got it wrong, but because categorizing technologies is inherently dynamic; because limiting this report to ten areas imposes discipline on what we cover and how deeply we go; and because we seek to highlight relation­ ships among technologies in ways that may not be obvious. Quantum computing, for example, used to be covered in our chapter on semiconductors, but it is included in a new chapter on quantum technol­ ogies this year because of so much current interest in and concern about quantum computing, sensing, and communications. We had a separate chapter 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lasers last year, but this year’s report folds lasers into our crosscutting themes analysis because the feld is more of an enabling technology. Of note, nine of the ten technology chapters appearing in this edi­ tion are the same from 2025, and eight of the ten are the same in all three editions of the report.</w:t>
      </w:r>
    </w:p>
    <w:p>
      <w:pPr>
        <w:pStyle w:val="DocBody"/>
      </w:pPr>
      <w:r>
        <w:rPr>
          <w:rFonts w:ascii="Times New Roman" w:hAnsi="Times New Roman" w:eastAsia="宋体"/>
          <w:sz w:val="24"/>
        </w:rPr>
        <w:t>We have expanded our treatment of issues that cut across technological felds because these are both important and often overlooked. Themes include nonobvious insights that are important for decision makers to remember—like “frontier bias,” which is the natural but mistaken assumption that transfor­ mational technologies sit on only the frontiers of a feld. Indeed, DeepSeek AI’s LLM release last year is a cautionary tale that should remind us there are many pathways to success and that not all of them require the most advanced computational resources that American technology frms currently have.</w:t>
      </w:r>
    </w:p>
    <w:p>
      <w:pPr>
        <w:pStyle w:val="DocBody"/>
      </w:pPr>
      <w:r>
        <w:rPr>
          <w:rFonts w:ascii="Times New Roman" w:hAnsi="Times New Roman" w:eastAsia="宋体"/>
          <w:sz w:val="24"/>
        </w:rPr>
        <w:t>For each of the ten technology chapters, reviews of the feld were led by world-renowned, tenured Stanford faculty members who also delivered sem­ inars to faculty contributors, discussants, and SETR advisory board members within and outside their areas of expertise (bios of SETR faculty and contrib­ utors can be found at the end of this report). The SETR team also involved more than a dozen post­ doctoral scholars and undergraduate research assis­ tants who interviewed faculty across Stanford and drafted background materials.</w:t>
      </w:r>
    </w:p>
    <w:p>
      <w:pPr>
        <w:pStyle w:val="DocBody"/>
      </w:pPr>
      <w:r>
        <w:rPr>
          <w:rFonts w:ascii="Times New Roman" w:hAnsi="Times New Roman" w:eastAsia="宋体"/>
          <w:sz w:val="24"/>
        </w:rPr>
        <w:t>Each technology chapter begins with an overview of the basics—the major technical subfelds, concepts, and terms needed to understand how a technology works and could affect society. Next, we outline important developments and advances in the feld.</w:t>
      </w:r>
    </w:p>
    <w:p>
      <w:pPr>
        <w:pStyle w:val="DocBody"/>
      </w:pPr>
      <w:r>
        <w:rPr>
          <w:rFonts w:ascii="Times New Roman" w:hAnsi="Times New Roman" w:eastAsia="宋体"/>
          <w:sz w:val="24"/>
        </w:rPr>
        <w:t>Then we provide an over-the-horizon view of the technology and its future development. Each chap­ ter concludes with a policy section that covers the most crucial considerations for policymakers over the next few years. The report ends with a chapter that looks across the ten technologies, offering anal­ ysis of implications for economic growth, national security, environmental and energy sustainability, health and medicine, and civil society.</w:t>
      </w:r>
    </w:p>
    <w:p>
      <w:pPr>
        <w:pStyle w:val="DocBody"/>
      </w:pPr>
      <w:r>
        <w:rPr>
          <w:rFonts w:ascii="Times New Roman" w:hAnsi="Times New Roman" w:eastAsia="宋体"/>
          <w:sz w:val="24"/>
        </w:rPr>
        <w:t>Three points bear highlighting. First, we offer no spe­ cifc policy recommendations in this report. That is by design. Washington is littered with reports offering policy recommendations that were long forgotten, overtaken by events, or both. Opinions are plentiful.</w:t>
      </w:r>
    </w:p>
    <w:p>
      <w:pPr>
        <w:pStyle w:val="DocBody"/>
      </w:pPr>
      <w:r>
        <w:rPr>
          <w:rFonts w:ascii="Times New Roman" w:hAnsi="Times New Roman" w:eastAsia="宋体"/>
          <w:sz w:val="24"/>
        </w:rPr>
        <w:t>Expert insights based on leading research are not.</w:t>
      </w:r>
    </w:p>
    <w:p>
      <w:pPr>
        <w:pStyle w:val="DocBody"/>
      </w:pPr>
      <w:r>
        <w:rPr>
          <w:rFonts w:ascii="Times New Roman" w:hAnsi="Times New Roman" w:eastAsia="宋体"/>
          <w:sz w:val="24"/>
        </w:rPr>
        <w:t>We aim to provide a reference resource that is both timeless and timely, an annual state-of-the-art guide that can inform successive generations of policymak­ ers about how to think about evolving technological felds and their implications. Individual SETR faculty may well have views about what should be done.</w:t>
      </w:r>
    </w:p>
    <w:p>
      <w:pPr>
        <w:pStyle w:val="DocBody"/>
      </w:pPr>
      <w:r>
        <w:rPr>
          <w:rFonts w:ascii="Times New Roman" w:hAnsi="Times New Roman" w:eastAsia="宋体"/>
          <w:sz w:val="24"/>
        </w:rPr>
        <w:t>Some of us engage in policy writing and advising.</w:t>
      </w:r>
    </w:p>
    <w:p>
      <w:pPr>
        <w:pStyle w:val="DocBody"/>
      </w:pPr>
      <w:r>
        <w:rPr>
          <w:rFonts w:ascii="Times New Roman" w:hAnsi="Times New Roman" w:eastAsia="宋体"/>
          <w:sz w:val="24"/>
        </w:rPr>
        <w:t>But the mission of this collective report is informing, not advocating. We encourage readers interested in learning more about specifc felds and policy ideas to contact our team at SETReview2026@stanford.edu.</w:t>
      </w:r>
    </w:p>
    <w:p>
      <w:pPr>
        <w:pStyle w:val="DocBody"/>
      </w:pPr>
      <w:r>
        <w:rPr>
          <w:rFonts w:ascii="Times New Roman" w:hAnsi="Times New Roman" w:eastAsia="宋体"/>
          <w:sz w:val="24"/>
        </w:rPr>
        <w:t>Second, SETR offers a view from Stanford, not the view from Stanford. There is no single view of any­ thing in a university. Faculty involved in this report may not agree with everything in it. Their colleagues would probably offer a different lay of the technology landscape with varying assessments about impor­ tant developments and over-the-horizon issues.</w:t>
      </w:r>
    </w:p>
    <w:p>
      <w:pPr>
        <w:pStyle w:val="DocBody"/>
      </w:pPr>
      <w:r>
        <w:rPr>
          <w:rFonts w:ascii="Times New Roman" w:hAnsi="Times New Roman" w:eastAsia="宋体"/>
          <w:sz w:val="24"/>
        </w:rPr>
        <w:t>This report is intended to refect an informed judg­ ment about the state of these ten felds—guided by SETR’s faculty.</w:t>
      </w:r>
    </w:p>
    <w:p>
      <w:pPr>
        <w:pStyle w:val="DocBody"/>
      </w:pPr>
      <w:r>
        <w:rPr>
          <w:rFonts w:ascii="Times New Roman" w:hAnsi="Times New Roman" w:eastAsia="宋体"/>
          <w:sz w:val="24"/>
        </w:rPr>
        <w:t>Third, this report is intended to be the introduc­ tory product that translates a broad swath of technological research for nontechnical readers.</w:t>
      </w:r>
    </w:p>
    <w:p>
      <w:pPr>
        <w:pStyle w:val="DocBody"/>
      </w:pPr>
      <w:r>
        <w:rPr>
          <w:rFonts w:ascii="Times New Roman" w:hAnsi="Times New Roman" w:eastAsia="宋体"/>
          <w:sz w:val="24"/>
        </w:rPr>
        <w:t>Other SETR offerings provide deeper dives into spe­ cifc technological areas that should be of interest for subject-matter experts.</w:t>
      </w:r>
    </w:p>
    <w:p>
      <w:pPr>
        <w:pStyle w:val="DocBody"/>
      </w:pPr>
      <w:r>
        <w:rPr>
          <w:rFonts w:ascii="Times New Roman" w:hAnsi="Times New Roman" w:eastAsia="宋体"/>
          <w:sz w:val="24"/>
        </w:rPr>
        <w:t>Ensuring continued American leadership in science and technology is essential, and it’s a team effort.</w:t>
      </w:r>
    </w:p>
    <w:p>
      <w:pPr>
        <w:pStyle w:val="DocBody"/>
      </w:pPr>
      <w:r>
        <w:rPr>
          <w:rFonts w:ascii="Times New Roman" w:hAnsi="Times New Roman" w:eastAsia="宋体"/>
          <w:sz w:val="24"/>
        </w:rPr>
        <w:t>We hope this third edition of the Stanford Emerging Technology Review continues to spark meaningful STANFORD EMERGING TECHNOLOGY REVIEW</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FOREWORD</w:t>
      </w:r>
    </w:p>
    <w:p>
      <w:pPr>
        <w:pStyle w:val="DocBody"/>
      </w:pPr>
      <w:r>
        <w:rPr>
          <w:rFonts w:ascii="Times New Roman" w:hAnsi="Times New Roman" w:eastAsia="宋体"/>
          <w:sz w:val="24"/>
        </w:rPr>
        <w:t>dialogue, better policy, and lasting impact. The promise of emerging technology is boundless if, like our founding fathers, we are willing to pursue bold ideas and take determined action.</w:t>
      </w:r>
    </w:p>
    <w:p>
      <w:pPr>
        <w:pStyle w:val="DocBody"/>
      </w:pPr>
      <w:r>
        <w:rPr>
          <w:rFonts w:ascii="Times New Roman" w:hAnsi="Times New Roman" w:eastAsia="宋体"/>
          <w:sz w:val="24"/>
        </w:rPr>
        <w:t>Condoleezza Rice Jennifer Widom Amy Zegart Co-chairs, Stanford Emerging Technology Review NOTES</w:t>
      </w:r>
    </w:p>
    <w:p>
      <w:pPr>
        <w:pStyle w:val="DocBody"/>
        <w:ind w:left="765"/>
      </w:pPr>
      <w:r>
        <w:rPr>
          <w:rFonts w:ascii="Times New Roman" w:hAnsi="Times New Roman" w:eastAsia="宋体"/>
          <w:sz w:val="24"/>
        </w:rPr>
        <w:t>“On the Origins of Google,” NSF Stories, National Science Foundation, August 17, 2004, https://www.nsf.gov/news/origins -google.</w:t>
      </w:r>
    </w:p>
    <w:p>
      <w:pPr>
        <w:pStyle w:val="DocBody"/>
        <w:ind w:left="765"/>
      </w:pPr>
      <w:r>
        <w:rPr>
          <w:rFonts w:ascii="Times New Roman" w:hAnsi="Times New Roman" w:eastAsia="宋体"/>
          <w:sz w:val="24"/>
        </w:rPr>
        <w:t>Simon Baker, “China Overtakes United States on Contribution to Research in Nature Index,” Nature, May 19, 2023, https://doi .org/10.1038/d41586-023-01705-7.</w:t>
      </w:r>
    </w:p>
    <w:p>
      <w:pPr>
        <w:pStyle w:val="DocBody"/>
        <w:ind w:left="765"/>
      </w:pPr>
      <w:r>
        <w:rPr>
          <w:rFonts w:ascii="Times New Roman" w:hAnsi="Times New Roman" w:eastAsia="宋体"/>
          <w:sz w:val="24"/>
        </w:rPr>
        <w:t>Amy Zegart and Emerson Johnston, “A Deep Peek into Deep- Seek AI’s Talent and Implications for US Innovation,” Hoover Tech­ nology Policy Accelerator / HAI White Paper, April 21, 2025, https:// www.hoover.org/research/deep-peek-deepseek-ais-talent-and -implications-us-innovation.</w:t>
      </w:r>
    </w:p>
    <w:p>
      <w:pPr>
        <w:pStyle w:val="DocBody"/>
        <w:ind w:left="765"/>
      </w:pPr>
      <w:r>
        <w:rPr>
          <w:rFonts w:ascii="Times New Roman" w:hAnsi="Times New Roman" w:eastAsia="宋体"/>
          <w:sz w:val="24"/>
        </w:rPr>
        <w:t>Amy Zegart, “The Crumbling Foundations of American Strength,” Foreign Affairs, September/October 2024.</w:t>
      </w:r>
    </w:p>
    <w:p>
      <w:pPr>
        <w:pStyle w:val="DocBody"/>
        <w:ind w:left="765"/>
      </w:pPr>
      <w:r>
        <w:rPr>
          <w:rFonts w:ascii="Times New Roman" w:hAnsi="Times New Roman" w:eastAsia="宋体"/>
          <w:sz w:val="24"/>
        </w:rPr>
        <w:t>James Manyika and William H. McRaven, Innovation and National Security: Keeping Our Edge, Independent Task Force Report No. 77 (Council on Foreign Relations, 2019), 10, https://www .cfr.org/task-force-report/innovation-national-security-keeping -our-edge/cdn/ff/AH68jSeiBTGOynFw4tEuCAb06i8AdHdZ5 w9w4QyKLbQ/1676399371/public/2023-02/TFR_Innovation _Strategy.pdf.</w:t>
      </w:r>
    </w:p>
    <w:p>
      <w:pPr>
        <w:pStyle w:val="DocBody"/>
        <w:ind w:left="765"/>
      </w:pPr>
      <w:r>
        <w:rPr>
          <w:rFonts w:ascii="Times New Roman" w:hAnsi="Times New Roman" w:eastAsia="宋体"/>
          <w:sz w:val="24"/>
        </w:rPr>
        <w:t>Abby Joseph Cohen, “The US Risks a Heavy Price for Cutbacks in Research Spending,” Financial Times, February 25, 2025, https:// www.ft.com/content/0d064fab-acf0-4f34-9e3a-a667372f8ef7.</w:t>
      </w:r>
    </w:p>
    <w:p>
      <w:pPr>
        <w:pStyle w:val="DocBody"/>
        <w:ind w:left="765"/>
      </w:pPr>
      <w:r>
        <w:rPr>
          <w:rFonts w:ascii="Times New Roman" w:hAnsi="Times New Roman" w:eastAsia="宋体"/>
          <w:sz w:val="24"/>
        </w:rPr>
        <w:t>Manyika and McRaven, Innovation and National Security, 21.</w:t>
      </w:r>
    </w:p>
    <w:p>
      <w:pPr>
        <w:pStyle w:val="DocBody"/>
        <w:ind w:left="765"/>
      </w:pPr>
      <w:r>
        <w:rPr>
          <w:rFonts w:ascii="Times New Roman" w:hAnsi="Times New Roman" w:eastAsia="宋体"/>
          <w:sz w:val="24"/>
        </w:rPr>
        <w:t>Nestor Maslej, Loredana Fattorini, Raymond Perrault, et al., The AI Index 2024 Annual Report, AI Index Steering Committee, Institute for Human-Centered AI (Stanford University, 2024), 335, https://hai.stanford.edu/ai-index/2024-ai-index-report.</w:t>
      </w:r>
    </w:p>
    <w:p>
      <w:pPr>
        <w:pStyle w:val="DocBody"/>
        <w:ind w:left="765"/>
      </w:pPr>
      <w:r>
        <w:rPr>
          <w:rFonts w:ascii="Times New Roman" w:hAnsi="Times New Roman" w:eastAsia="宋体"/>
          <w:sz w:val="24"/>
        </w:rPr>
        <w:t>Eric Schmidt and Robert Work, NSCAI Interim Report (National Security Commission on Artifcial Intelligence, 2020), 30, https:// apps.dtic.mil/sti/pdfs/AD1112059.pdf.</w:t>
      </w:r>
    </w:p>
    <w:p>
      <w:pPr>
        <w:pStyle w:val="DocBody"/>
        <w:ind w:left="765"/>
      </w:pPr>
      <w:r>
        <w:rPr>
          <w:rFonts w:ascii="Times New Roman" w:hAnsi="Times New Roman" w:eastAsia="宋体"/>
          <w:sz w:val="24"/>
        </w:rPr>
        <w:t>Poornima Apte, “Princeton Invests in New 300-GPU Cluster for Academic AI Research,” AI at Princeton, March 15, 2024, https:// ai.princeton.edu/news/2024/princeton-invests-new-300-gpu -cluster-academic-ai-research; Michael Kan, “Zuckerberg’s Meta Is Spending Billions to Buy 350,000 Nvidia H100 GPUs,” PCMag, Jan­ uary 18, 2024, https://www.pcmag.com/news/zuckerbergs-meta-is -spending-billions-to-buy-350000-nvidia-h100-gpus; Kif Leswing, “Nvidia’s Latest AI Chip Will Cost More than $30,000, CEO Says,”</w:t>
      </w:r>
    </w:p>
    <w:p>
      <w:pPr>
        <w:pStyle w:val="DocBody"/>
      </w:pPr>
      <w:r>
        <w:rPr>
          <w:rFonts w:ascii="Times New Roman" w:hAnsi="Times New Roman" w:eastAsia="宋体"/>
          <w:sz w:val="24"/>
        </w:rPr>
        <w:t>CNBC, March 19, 2024, https://www.cnbc.com/2024/03/19/nvidias -blackwell-ai-chip-will-cost-more-than-30000-ceo-says.html.</w:t>
      </w:r>
    </w:p>
    <w:p>
      <w:pPr>
        <w:pStyle w:val="DocBody"/>
        <w:ind w:left="765"/>
      </w:pPr>
      <w:r>
        <w:rPr>
          <w:rFonts w:ascii="Times New Roman" w:hAnsi="Times New Roman" w:eastAsia="宋体"/>
          <w:sz w:val="24"/>
        </w:rPr>
        <w:t>Roman Jurowetzki, Daniel Hain, Juan Mateos-Garcia, and Kon­ stantinos Stathoulopoulos, “The Privatization of AI Research (-ers):</w:t>
      </w:r>
    </w:p>
    <w:p>
      <w:pPr>
        <w:pStyle w:val="DocBody"/>
      </w:pPr>
      <w:r>
        <w:rPr>
          <w:rFonts w:ascii="Times New Roman" w:hAnsi="Times New Roman" w:eastAsia="宋体"/>
          <w:sz w:val="24"/>
        </w:rPr>
        <w:t>Causes and Potential Consequences—From University-Industry Interaction to Public Research Brain-Drain?,” preprint, arXiv, 2021, https://arxiv.org/ftp/arxiv/papers/2102/2102.01648.pdf.</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US government departments. However, SETR focus technologies are likely to change over time. This is not because we were incorrect but because science and technology never sleep, the borders between fields are porous, and different people categorize similar research in different ways.</w:t>
      </w:r>
    </w:p>
    <w:p>
      <w:pPr>
        <w:pStyle w:val="DocBody"/>
      </w:pPr>
      <w:r>
        <w:rPr>
          <w:rFonts w:ascii="Times New Roman" w:hAnsi="Times New Roman" w:eastAsia="宋体"/>
          <w:sz w:val="24"/>
        </w:rPr>
        <w:t>Report Design This report is organized principally by technology, with each area covered in a stand-alone chapter that gives an overview of the field, highlights key developments, offers an over-the-horizon view of important technological issues, and reviews key policy considerations. Although these chapters can be read individually, one of the most important and unusual hallmarks of this moment is convergence:</w:t>
      </w:r>
    </w:p>
    <w:p>
      <w:pPr>
        <w:pStyle w:val="DocBody"/>
      </w:pPr>
      <w:r>
        <w:rPr>
          <w:rFonts w:ascii="Times New Roman" w:hAnsi="Times New Roman" w:eastAsia="宋体"/>
          <w:sz w:val="24"/>
        </w:rPr>
        <w:t>Emerging technologies are intersecting and inter­ acting in a host of ways, with important implications for policy. We examine these broader dynamics in chapters 11 and 12. In chapter 11, we describe a number of themes and commonalities that cut across many of the technologies we describe earlier in the report. In chapter 12, we consolidate technological developments across all ten areas and discuss how they apply to five policy domains: economic growth, national security, environmental and energy sustain­ ability, health and medicine, and civil society.</w:t>
      </w:r>
    </w:p>
    <w:p>
      <w:pPr>
        <w:pStyle w:val="DocBody"/>
      </w:pPr>
      <w:r>
        <w:rPr>
          <w:rFonts w:ascii="Times New Roman" w:hAnsi="Times New Roman" w:eastAsia="宋体"/>
          <w:sz w:val="24"/>
        </w:rPr>
        <w:t>Three tensions run throughout and are worth keep­ ing in mind:</w:t>
      </w:r>
    </w:p>
    <w:p>
      <w:pPr>
        <w:pStyle w:val="DocBody"/>
      </w:pPr>
      <w:r>
        <w:rPr>
          <w:rFonts w:ascii="Times New Roman" w:hAnsi="Times New Roman" w:eastAsia="宋体"/>
          <w:sz w:val="24"/>
        </w:rPr>
        <w:t>°   Timeliness and timelessness    Each chapter seeks to strike a balance between covering recent developments in science and the headlines, and providing essential knowledge about how a field Emerging technologies have never been more important or difficult to understand. Breakthrough advances seem to be everywhere, from ChatGPT to the COVID-19 mRNA vaccines to constellations of cheap commercial shoebox-size satellites that can track events on Earth in near-real time. This is a pivotal technological moment offering both tre­ mendous promise and unprecedented challenges.</w:t>
      </w:r>
    </w:p>
    <w:p>
      <w:pPr>
        <w:pStyle w:val="DocBody"/>
      </w:pPr>
      <w:r>
        <w:rPr>
          <w:rFonts w:ascii="Times New Roman" w:hAnsi="Times New Roman" w:eastAsia="宋体"/>
          <w:sz w:val="24"/>
        </w:rPr>
        <w:t>Policymakers need better expert resources to help them understand the burgeoning and complex array of technological developments — more easily and more continuously.</w:t>
      </w:r>
    </w:p>
    <w:p>
      <w:pPr>
        <w:pStyle w:val="DocBody"/>
      </w:pPr>
      <w:r>
        <w:rPr>
          <w:rFonts w:ascii="Times New Roman" w:hAnsi="Times New Roman" w:eastAsia="宋体"/>
          <w:sz w:val="24"/>
        </w:rPr>
        <w:t>The Stanford Emerging Technology Review (SETR )</w:t>
      </w:r>
    </w:p>
    <w:p>
      <w:pPr>
        <w:pStyle w:val="DocBody"/>
      </w:pPr>
      <w:r>
        <w:rPr>
          <w:rFonts w:ascii="Times New Roman" w:hAnsi="Times New Roman" w:eastAsia="宋体"/>
          <w:sz w:val="24"/>
        </w:rPr>
        <w:t>is designed to meet this need, offering an easy-to- use reference tool that harnesses the expertise of Stanford University’s leading science and engineer­ ing faculty in ten major technological areas.</w:t>
      </w:r>
    </w:p>
    <w:p>
      <w:pPr>
        <w:pStyle w:val="DocBody"/>
      </w:pPr>
      <w:r>
        <w:rPr>
          <w:rFonts w:ascii="Times New Roman" w:hAnsi="Times New Roman" w:eastAsia="宋体"/>
          <w:sz w:val="24"/>
        </w:rPr>
        <w:t>SETR 2026 FOCUS TECHNOLOGIES Artificial Intelligence Biotechnology and Synthetic Biology Cryptography and Computer Security Energy Technologies Materials Science Neuroscience Quantum Technologies Robotics Semiconductors Space These particular fields were chosen for this report because they leverage areas of deep expertise at Stanford and cover many critical and emerging technologies identified by the Office of Science and Technology Policy in the White House and by other EXECUTIVE SUMMARY STANFORD EMERGING TECHNOLOGY REVIEW</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works, what is important within it, and what chal­ lenges lie ahead.</w:t>
      </w:r>
    </w:p>
    <w:p>
      <w:pPr>
        <w:pStyle w:val="DocBody"/>
      </w:pPr>
      <w:r>
        <w:rPr>
          <w:rFonts w:ascii="Times New Roman" w:hAnsi="Times New Roman" w:eastAsia="宋体"/>
          <w:sz w:val="24"/>
        </w:rPr>
        <w:t>Technical depth and breadth This report inten­ ° tionally skews toward breadth, offering a thirty- thousand-foot view of a vast technological landscape in one compendium. Readers should consider it an introductory course. Other prod­ ucts and educational tools released in the future will offer additional insights into each feld.</w:t>
      </w:r>
    </w:p>
    <w:p>
      <w:pPr>
        <w:pStyle w:val="DocBody"/>
      </w:pPr>
      <w:r>
        <w:rPr>
          <w:rFonts w:ascii="Times New Roman" w:hAnsi="Times New Roman" w:eastAsia="宋体"/>
          <w:sz w:val="24"/>
        </w:rPr>
        <w:t>Technical and nontechnical aspects of inno­ ° vation We start with the science but do not end with the science. Technological breakthroughs are necessary but not suffcient conditions for successful innovation. Economic, political, and societal factors play enormous and often hidden roles. Johannes Gutenberg invented the printing press in 1452, but it took more than 150  years before the Dutch invented the frst successful newspapers. This was not because they perfected the mechanics of movable type but because they decided to use less paper, making newspapers sustainably proftable for the frst time. Each chap­ ter in this report was written with an eye toward highlighting important economic, political, policy, legal, and societal factors likely to impede, shape, or accelerate progress.</w:t>
      </w:r>
    </w:p>
    <w:p>
      <w:pPr>
        <w:pStyle w:val="DocBody"/>
      </w:pPr>
      <w:r>
        <w:rPr>
          <w:rFonts w:ascii="Times New Roman" w:hAnsi="Times New Roman" w:eastAsia="宋体"/>
          <w:sz w:val="24"/>
        </w:rPr>
        <w:t>Technologies and Takeaways at a Glance Artifcial Intelligence Artifcial intelligence (AI) is a computer’s ability to perform some of the functions associated with the human brain, including perceiving, reasoning, learn­ ing, interacting, problem-solving, and even exer­ cising creativity. In the past year, some of the main AI-related headlines focused on the rapid evolution of the feld, including in areas such as large lan­ guage models and multimodal models integrating vision and language, and on AI’s growing adoption by both good and bad actors in society.</w:t>
      </w:r>
    </w:p>
    <w:p>
      <w:pPr>
        <w:pStyle w:val="DocBody"/>
      </w:pPr>
      <w:r>
        <w:rPr>
          <w:rFonts w:ascii="Times New Roman" w:hAnsi="Times New Roman" w:eastAsia="宋体"/>
          <w:sz w:val="24"/>
        </w:rPr>
        <w:t>KEY CHAPTER TAKEAWAYS ° AI is a foundational technology that is super­ charging other scientifc felds and, like electricity and the internet, has the potential to transform societies, economies, and politics worldwide.</w:t>
      </w:r>
    </w:p>
    <w:p>
      <w:pPr>
        <w:pStyle w:val="DocBody"/>
      </w:pPr>
      <w:r>
        <w:rPr>
          <w:rFonts w:ascii="Times New Roman" w:hAnsi="Times New Roman" w:eastAsia="宋体"/>
          <w:sz w:val="24"/>
        </w:rPr>
        <w:t>° Despite rapid progress in the past several years, even the most advanced AI models still have many failure modes and vulnerabilities to cyber­ attacks that are unpredictable, not widely appre­ ciated nor easily fxed, and capable of leading to unintended consequences.</w:t>
      </w:r>
    </w:p>
    <w:p>
      <w:pPr>
        <w:pStyle w:val="DocBody"/>
      </w:pPr>
      <w:r>
        <w:rPr>
          <w:rFonts w:ascii="Times New Roman" w:hAnsi="Times New Roman" w:eastAsia="宋体"/>
          <w:sz w:val="24"/>
        </w:rPr>
        <w:t>° Nations are competing to shape the global rules and standards for AI, making interoperability, sizeable national compute resources, and inter­ national governance frameworks critical levers of geopolitical infuence.</w:t>
      </w:r>
    </w:p>
    <w:p>
      <w:pPr>
        <w:pStyle w:val="DocBody"/>
      </w:pPr>
      <w:r>
        <w:rPr>
          <w:rFonts w:ascii="Times New Roman" w:hAnsi="Times New Roman" w:eastAsia="宋体"/>
          <w:sz w:val="24"/>
        </w:rPr>
        <w:t>Biotechnology and Synthetic Biology Biotechnology is the use of cellular and biomolecular processes to develop products or services. Synthetic biology is a subset of biotechnology that involves using engineering tools to modify or create biolog­ ical functions—like creating a bacterium that can glow in the presence of explosives. Synthetic biol­ ogy is what created the COVID-19 mRNA vaccine in record time (although the effort relied on decades of ExECUTIVE SUMMARY</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 include time stamping and ensuring the provenance of information, identity management, supply chain management, and cryptocurrencies.</w:t>
      </w:r>
    </w:p>
    <w:p>
      <w:pPr>
        <w:pStyle w:val="DocBody"/>
      </w:pPr>
      <w:r>
        <w:rPr>
          <w:rFonts w:ascii="Times New Roman" w:hAnsi="Times New Roman" w:eastAsia="宋体"/>
          <w:sz w:val="24"/>
        </w:rPr>
        <w:t>KEY CHAPTER TAKEAWAYS °   Cryptography is essential for protecting infor­ mation, but alone it cannot secure cyberspace against all threats; it must operate in concert with the broader field of computer security.</w:t>
      </w:r>
    </w:p>
    <w:p>
      <w:pPr>
        <w:pStyle w:val="DocBody"/>
      </w:pPr>
      <w:r>
        <w:rPr>
          <w:rFonts w:ascii="Times New Roman" w:hAnsi="Times New Roman" w:eastAsia="宋体"/>
          <w:sz w:val="24"/>
        </w:rPr>
        <w:t>°   Cryptography is the enabling technology of blockchain, which is the enabling technology of cryptocurrencies.</w:t>
      </w:r>
    </w:p>
    <w:p>
      <w:pPr>
        <w:pStyle w:val="DocBody"/>
      </w:pPr>
      <w:r>
        <w:rPr>
          <w:rFonts w:ascii="Times New Roman" w:hAnsi="Times New Roman" w:eastAsia="宋体"/>
          <w:sz w:val="24"/>
        </w:rPr>
        <w:t>°   Rather than pursue a central bank digital cur­ rency, the United States has adopted a policy preference for privately issued digital assets, pro­ moting stablecoins and other cryptocurrencies as vehicles for financial innovation and resilience.</w:t>
      </w:r>
    </w:p>
    <w:p>
      <w:pPr>
        <w:pStyle w:val="DocBody"/>
      </w:pPr>
      <w:r>
        <w:rPr>
          <w:rFonts w:ascii="Times New Roman" w:hAnsi="Times New Roman" w:eastAsia="宋体"/>
          <w:sz w:val="24"/>
        </w:rPr>
        <w:t>Energy Technologies Energy is a vital strategic resource for nations that typically involves generation, transmission, and stor­ age. Success in managing energy issues will depend on tackling the “energy trilemma,” which is the task of balancing affordability and reliability with reduced greenhouse gas emissions. Energy mix and innova­ tion are key to efforts addressing all three aspects of the trilemma. An important policy issue is achieving greater national consensus about energy goals to enable strategic and effective research and devel­ opment (R&amp;D) programs and funding.</w:t>
      </w:r>
    </w:p>
    <w:p>
      <w:pPr>
        <w:pStyle w:val="DocBody"/>
      </w:pPr>
      <w:r>
        <w:rPr>
          <w:rFonts w:ascii="Times New Roman" w:hAnsi="Times New Roman" w:eastAsia="宋体"/>
          <w:sz w:val="24"/>
        </w:rPr>
        <w:t>KEY CHAPTER TAKEAWAYS °   Although many clean energy technologies are now available and increasingly affordable, scal­ ing them up and building the infrastructure for them will take decades due to infrastructure iner­ tia, stakeholder complexity, and the “energy tri­ lemma,” which balances reliability, affordability, and cleanliness.</w:t>
      </w:r>
    </w:p>
    <w:p>
      <w:pPr>
        <w:pStyle w:val="DocBody"/>
      </w:pPr>
      <w:r>
        <w:rPr>
          <w:rFonts w:ascii="Times New Roman" w:hAnsi="Times New Roman" w:eastAsia="宋体"/>
          <w:sz w:val="24"/>
        </w:rPr>
        <w:t>earlier research). Just as rockets enabled humans to overcome the constraints of gravity to explore the universe, synthetic biology is enabling humans to overcome the constraints of lineage to develop new living organisms.</w:t>
      </w:r>
    </w:p>
    <w:p>
      <w:pPr>
        <w:pStyle w:val="DocBody"/>
      </w:pPr>
      <w:r>
        <w:rPr>
          <w:rFonts w:ascii="Times New Roman" w:hAnsi="Times New Roman" w:eastAsia="宋体"/>
          <w:sz w:val="24"/>
        </w:rPr>
        <w:t>KEY CHAPTER TAKEAWAYS °   Biotechnology is emerging as a general-­purpose technology by which anything bioengineers learn to encode in DNA can be grown whenever and wherever needed — essentially enabling the pro­ duction of a wide range of products through biological processes across multiple sectors.</w:t>
      </w:r>
    </w:p>
    <w:p>
      <w:pPr>
        <w:pStyle w:val="DocBody"/>
      </w:pPr>
      <w:r>
        <w:rPr>
          <w:rFonts w:ascii="Times New Roman" w:hAnsi="Times New Roman" w:eastAsia="宋体"/>
          <w:sz w:val="24"/>
        </w:rPr>
        <w:t>°   The United States is still not executing well on strategies for emerging biotechnology and has relied too heavily on private-sector investment to support foundational work needed to scale and sustain progress.</w:t>
      </w:r>
    </w:p>
    <w:p>
      <w:pPr>
        <w:pStyle w:val="DocBody"/>
      </w:pPr>
      <w:r>
        <w:rPr>
          <w:rFonts w:ascii="Times New Roman" w:hAnsi="Times New Roman" w:eastAsia="宋体"/>
          <w:sz w:val="24"/>
        </w:rPr>
        <w:t>°   Biotechnology is one of the most important areas of technological competition between the United States and China, and China is now leveraging two decades of strategic investment to secure global leadership. Absent swift and ambitious actions, the United States risks biotechnological surprise and a loss of biotechnology sovereignty.</w:t>
      </w:r>
    </w:p>
    <w:p>
      <w:pPr>
        <w:pStyle w:val="DocBody"/>
      </w:pPr>
      <w:r>
        <w:rPr>
          <w:rFonts w:ascii="Times New Roman" w:hAnsi="Times New Roman" w:eastAsia="宋体"/>
          <w:sz w:val="24"/>
        </w:rPr>
        <w:t>Cryptography and Computer Security The word cryptography originates from Greek words that mean “secret writing.” In ancient times, cryp­ tography involved the use of ciphers and secret codes. Today, it relies on sophisticated mathemat­ ical models to protect data from being altered or accessed inappropriately. Cryptography is often invisible, but it is essential for most internet activi­ ties, such as messaging, e-commerce, and banking.</w:t>
      </w:r>
    </w:p>
    <w:p>
      <w:pPr>
        <w:pStyle w:val="DocBody"/>
      </w:pPr>
      <w:r>
        <w:rPr>
          <w:rFonts w:ascii="Times New Roman" w:hAnsi="Times New Roman" w:eastAsia="宋体"/>
          <w:sz w:val="24"/>
        </w:rPr>
        <w:t>In recent years, a type of cryptographic technology called blockchain — which records transactions in dis­ tributed ledgers in the computing cloud that cannot be altered retroactively without being detected — has been used for a variety of applications. These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ExECUTIVE SUMMARY</w:t>
      </w:r>
    </w:p>
    <w:p>
      <w:pPr>
        <w:pStyle w:val="DocBody"/>
      </w:pPr>
      <w:r>
        <w:rPr>
          <w:rFonts w:ascii="Times New Roman" w:hAnsi="Times New Roman" w:eastAsia="宋体"/>
          <w:sz w:val="24"/>
        </w:rPr>
        <w:t>The US has shifted from climate urgency to energy ° dominance, redirecting support from renewables and electric vehicles to fssion, coal, and natural gas. Globally, similar trends prevail as nations record peak fossil fuel use and scale back renew­ able investments, prioritizing energy security over decarbonization.</w:t>
      </w:r>
    </w:p>
    <w:p>
      <w:pPr>
        <w:pStyle w:val="DocBody"/>
      </w:pPr>
      <w:r>
        <w:rPr>
          <w:rFonts w:ascii="Times New Roman" w:hAnsi="Times New Roman" w:eastAsia="宋体"/>
          <w:sz w:val="24"/>
        </w:rPr>
        <w:t>Energy innovation is fragmented, diverse, and ° geopolitically strategic, with progress in technol­ ogies like fssion, geothermal, fusion, and bat­ teries reshaping the energy frontier. To compete with China, US technology leadership depends on sustained R&amp;D funding, robust supply chains, and strategic industrial policies.</w:t>
      </w:r>
    </w:p>
    <w:p>
      <w:pPr>
        <w:pStyle w:val="DocBody"/>
      </w:pPr>
      <w:r>
        <w:rPr>
          <w:rFonts w:ascii="Times New Roman" w:hAnsi="Times New Roman" w:eastAsia="宋体"/>
          <w:sz w:val="24"/>
        </w:rPr>
        <w:t>Materials Science Materials science studies the structure and proper­ ties of materials—from those visible to the naked eye to microscopic features—and how they can be engi­ neered to change performance. Contributions to the feld have led to better semiconductors, “smart ban­ dages” with integrated sensors and simulators to accelerate healing, more easily recyclable plastics, and more energy-effcient solar cells. Materials sci­ ence has also been key to the development of addi­ tive manufacturing, often known as 3-D printing.</w:t>
      </w:r>
    </w:p>
    <w:p>
      <w:pPr>
        <w:pStyle w:val="DocBody"/>
      </w:pPr>
      <w:r>
        <w:rPr>
          <w:rFonts w:ascii="Times New Roman" w:hAnsi="Times New Roman" w:eastAsia="宋体"/>
          <w:sz w:val="24"/>
        </w:rPr>
        <w:t>KEY CHAPTER TAKEAWAYS Materials science is a foundational technology that ° underlies advances in many other felds, including robotics, space, energy, and synthetic biology.</w:t>
      </w:r>
    </w:p>
    <w:p>
      <w:pPr>
        <w:pStyle w:val="DocBody"/>
      </w:pPr>
      <w:r>
        <w:rPr>
          <w:rFonts w:ascii="Times New Roman" w:hAnsi="Times New Roman" w:eastAsia="宋体"/>
          <w:sz w:val="24"/>
        </w:rPr>
        <w:t>The feld will exploit artifcial intelligence as ° another promising tool to predict new materials with new properties and to identify novel uses for known materials.</w:t>
      </w:r>
    </w:p>
    <w:p>
      <w:pPr>
        <w:pStyle w:val="DocBody"/>
      </w:pPr>
      <w:r>
        <w:rPr>
          <w:rFonts w:ascii="Times New Roman" w:hAnsi="Times New Roman" w:eastAsia="宋体"/>
          <w:sz w:val="24"/>
        </w:rPr>
        <w:t>Future progress in materials science requires new ° funding mechanisms and access to additional computational power to more effectively transi­ tion from innovation to implementation.</w:t>
      </w:r>
    </w:p>
    <w:p>
      <w:pPr>
        <w:pStyle w:val="DocBody"/>
      </w:pPr>
      <w:r>
        <w:rPr>
          <w:rFonts w:ascii="Times New Roman" w:hAnsi="Times New Roman" w:eastAsia="宋体"/>
          <w:sz w:val="24"/>
        </w:rPr>
        <w:t>Neuroscience Neuroscience is the study of the human brain and the nervous system—its structure, function, healthy and diseased states, and life cycle from embryonic development to degeneration in later years. The brain is perhaps the least understood and yet most important organ in the human body. Three major research subfelds of neuroscience are neuroengi­ neering (e.g., brain–machine interfaces), neurohealth (e.g., brain degeneration and aging), and neurodis­ covery (e.g., the science of addiction).</w:t>
      </w:r>
    </w:p>
    <w:p>
      <w:pPr>
        <w:pStyle w:val="DocBody"/>
      </w:pPr>
      <w:r>
        <w:rPr>
          <w:rFonts w:ascii="Times New Roman" w:hAnsi="Times New Roman" w:eastAsia="宋体"/>
          <w:sz w:val="24"/>
        </w:rPr>
        <w:t>KEY CHAPTER TAKEAWAYS Advances in human genetics and experimental ° neuroscience, along with computing and neuro­ science theory, have led to some progress in sev­ eral areas, including understanding and treating addiction and neurodegenerative diseases, and designing brain–machine interfaces for restoring vision.</w:t>
      </w:r>
    </w:p>
    <w:p>
      <w:pPr>
        <w:pStyle w:val="DocBody"/>
      </w:pPr>
      <w:r>
        <w:rPr>
          <w:rFonts w:ascii="Times New Roman" w:hAnsi="Times New Roman" w:eastAsia="宋体"/>
          <w:sz w:val="24"/>
        </w:rPr>
        <w:t>American leadership is essential for establishing ° and upholding global norms about ethics and human subjects research in neuroscience, but this leadership is slipping with decreased strate­ gic planning and increased foreign investments in the feld.</w:t>
      </w:r>
    </w:p>
    <w:p>
      <w:pPr>
        <w:pStyle w:val="DocBody"/>
      </w:pPr>
      <w:r>
        <w:rPr>
          <w:rFonts w:ascii="Times New Roman" w:hAnsi="Times New Roman" w:eastAsia="宋体"/>
          <w:sz w:val="24"/>
        </w:rPr>
        <w:t>Popular interest in neuroscience vastly exceeds ° the current scientifc understanding of the brain, giving rise to overhyped claims in the public domain that revolutionary advances are just around the corner.</w:t>
      </w:r>
    </w:p>
    <w:p>
      <w:pPr>
        <w:pStyle w:val="DocBody"/>
      </w:pPr>
      <w:r>
        <w:rPr>
          <w:rFonts w:ascii="Times New Roman" w:hAnsi="Times New Roman" w:eastAsia="宋体"/>
          <w:sz w:val="24"/>
        </w:rPr>
        <w:t>Quantum Technologies Quantum technologies exploit the unusual princi­ ples of quantum mechanics, such as superposition and entanglement, to create new capabilities in computing, communication, and sensing. Quantum computers are moving toward solving problems that classical systems cannot, with applications in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cryptography, materials science, and chemistry.</w:t>
      </w:r>
    </w:p>
    <w:p>
      <w:pPr>
        <w:pStyle w:val="DocBody"/>
      </w:pPr>
      <w:r>
        <w:rPr>
          <w:rFonts w:ascii="Times New Roman" w:hAnsi="Times New Roman" w:eastAsia="宋体"/>
          <w:sz w:val="24"/>
        </w:rPr>
        <w:t>Quantum networking may enable secure commu­ nications and scalable computing, while quantum sensors are already advancing navigation, medicine, and environmental monitoring. Though quantum technology (especially computing) is still relatively early in its development, global investment is accel­ erating, making sustained research and careful policymaking essential to balance innovation, secu­ rity, and competition.</w:t>
      </w:r>
    </w:p>
    <w:p>
      <w:pPr>
        <w:pStyle w:val="DocBody"/>
      </w:pPr>
      <w:r>
        <w:rPr>
          <w:rFonts w:ascii="Times New Roman" w:hAnsi="Times New Roman" w:eastAsia="宋体"/>
          <w:sz w:val="24"/>
        </w:rPr>
        <w:t>KEY CHAPTER TAKEAWAYS Quantum computing is advancing rapidly, making ° clear progress toward solving practical problems such as breaking existing public-key encryption algorithms, enabling new materials design, and supporting applications in chemistry. More specu­ lative uses include machine learning, weather modeling, and fnancial portfolio optimization.</w:t>
      </w:r>
    </w:p>
    <w:p>
      <w:pPr>
        <w:pStyle w:val="DocBody"/>
      </w:pPr>
      <w:r>
        <w:rPr>
          <w:rFonts w:ascii="Times New Roman" w:hAnsi="Times New Roman" w:eastAsia="宋体"/>
          <w:sz w:val="24"/>
        </w:rPr>
        <w:t>Quantum networking and sensing are emerg­ ° ing as powerful technologies—networking may be critical for scaling computers to utility levels, while sensors are already transforming felds such as medical imaging and gravitational detection.</w:t>
      </w:r>
    </w:p>
    <w:p>
      <w:pPr>
        <w:pStyle w:val="DocBody"/>
      </w:pPr>
      <w:r>
        <w:rPr>
          <w:rFonts w:ascii="Times New Roman" w:hAnsi="Times New Roman" w:eastAsia="宋体"/>
          <w:sz w:val="24"/>
        </w:rPr>
        <w:t>Government-funded basic research in academic ° labs remains the foundation for breakthroughs, and sustained investment is essential to main­ tain leadership as companies push applications toward real-world utility.</w:t>
      </w:r>
    </w:p>
    <w:p>
      <w:pPr>
        <w:pStyle w:val="DocBody"/>
      </w:pPr>
      <w:r>
        <w:rPr>
          <w:rFonts w:ascii="Times New Roman" w:hAnsi="Times New Roman" w:eastAsia="宋体"/>
          <w:sz w:val="24"/>
        </w:rPr>
        <w:t>Robotics Robotics is an integrative feld that draws on advances in multiple technologies rather than a single discipline. The question “What is a robot?”</w:t>
      </w:r>
    </w:p>
    <w:p>
      <w:pPr>
        <w:pStyle w:val="DocBody"/>
      </w:pPr>
      <w:r>
        <w:rPr>
          <w:rFonts w:ascii="Times New Roman" w:hAnsi="Times New Roman" w:eastAsia="宋体"/>
          <w:sz w:val="24"/>
        </w:rPr>
        <w:t>is harder to answer than it appears. At a minimum, the emerging consensus among researchers is that a robot is a physical entity that has ways of sensing itself and the world around it and can create physical effects on that world. Robots are already used across a range of sectors in a variety of ways—including assembly-line manufacturing, space exploration, autonomous vehicles, tele-operated surgery, military reconnaissance, and disaster assistance.</w:t>
      </w:r>
    </w:p>
    <w:p>
      <w:pPr>
        <w:pStyle w:val="DocBody"/>
      </w:pPr>
      <w:r>
        <w:rPr>
          <w:rFonts w:ascii="Times New Roman" w:hAnsi="Times New Roman" w:eastAsia="宋体"/>
          <w:sz w:val="24"/>
        </w:rPr>
        <w:t>KEY CHAPTER TAKEAWAYS Artifcial intelligence holds signifcant potential ° to advance complex robotic systems, but the speed of future advances will depend on the availability of high-quality training data and the systematic integration of data-rich foundation models, simulated interactions between robots and their environment, and understanding of the real physical world.</w:t>
      </w:r>
    </w:p>
    <w:p>
      <w:pPr>
        <w:pStyle w:val="DocBody"/>
      </w:pPr>
      <w:r>
        <w:rPr>
          <w:rFonts w:ascii="Times New Roman" w:hAnsi="Times New Roman" w:eastAsia="宋体"/>
          <w:sz w:val="24"/>
        </w:rPr>
        <w:t>Humanoid robots show promise for specialized ° industrial and healthcare roles, although wide­ spread adoption of them faces challenges linked to their cost, technical complexity, energy eff­ ciency, safety, and training data quality.</w:t>
      </w:r>
    </w:p>
    <w:p>
      <w:pPr>
        <w:pStyle w:val="DocBody"/>
      </w:pPr>
      <w:r>
        <w:rPr>
          <w:rFonts w:ascii="Times New Roman" w:hAnsi="Times New Roman" w:eastAsia="宋体"/>
          <w:sz w:val="24"/>
        </w:rPr>
        <w:t>Advances in autonomous, low-cost, and commu­ ° nication-resilient robotic systems are transform­ ing important aspects of modern warfare.</w:t>
      </w:r>
    </w:p>
    <w:p>
      <w:pPr>
        <w:pStyle w:val="DocBody"/>
      </w:pPr>
      <w:r>
        <w:rPr>
          <w:rFonts w:ascii="Times New Roman" w:hAnsi="Times New Roman" w:eastAsia="宋体"/>
          <w:sz w:val="24"/>
        </w:rPr>
        <w:t>Semiconductors Semiconductors, or chips, are crucial and ubiqui­ tous components used in everything from refrigera­ tors and toys to smartphones, cars, computers, and fghter jets. Chip production involves two distinct steps: (1) design, which requires talented engineers to design complex integrated circuits involving mil­ lions of components, and (2) fabrication, which is the task of manufacturing chips in large, specially designed factories called “fabs.” Because fabs involve highly specialized equipment and facili­ ties, they can cost billions of dollars. US companies still play a leading role in semiconductor design, but capacity for semiconductor manufacturing in America has plummeted, leaving the country heav­ ily dependent on foreign chips, most notably from Taiwan. The Creating Helpful Incentives to Produce Semiconductors (CHIPS) and Science Act of 2022</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ExECUTIVE SUMMARY</w:t>
      </w:r>
    </w:p>
    <w:p>
      <w:pPr>
        <w:pStyle w:val="DocBody"/>
      </w:pPr>
      <w:r>
        <w:rPr>
          <w:rFonts w:ascii="Times New Roman" w:hAnsi="Times New Roman" w:eastAsia="宋体"/>
          <w:sz w:val="24"/>
        </w:rPr>
        <w:t>was intended to help the US semiconductor indus­ try regain a foothold in fabrication, but progress will take years, if not decades.</w:t>
      </w:r>
    </w:p>
    <w:p>
      <w:pPr>
        <w:pStyle w:val="DocBody"/>
      </w:pPr>
      <w:r>
        <w:rPr>
          <w:rFonts w:ascii="Times New Roman" w:hAnsi="Times New Roman" w:eastAsia="宋体"/>
          <w:sz w:val="24"/>
        </w:rPr>
        <w:t>KEY CHAPTER TAKEAWAYS The growing demand for artifcial intelligence (AI)</w:t>
      </w:r>
    </w:p>
    <w:p>
      <w:pPr>
        <w:pStyle w:val="DocBody"/>
      </w:pPr>
      <w:r>
        <w:rPr>
          <w:rFonts w:ascii="Times New Roman" w:hAnsi="Times New Roman" w:eastAsia="宋体"/>
          <w:sz w:val="24"/>
        </w:rPr>
        <w:t>° and machine learning is driving innovations in chip fabrication, along with advances in memory technologies and high-bandwidth interconnects such as photonic links, all of which are essential for enhancing computational power, managing energy effciency, and meeting the increasing data needs of modern applications.</w:t>
      </w:r>
    </w:p>
    <w:p>
      <w:pPr>
        <w:pStyle w:val="DocBody"/>
      </w:pPr>
      <w:r>
        <w:rPr>
          <w:rFonts w:ascii="Times New Roman" w:hAnsi="Times New Roman" w:eastAsia="宋体"/>
          <w:sz w:val="24"/>
        </w:rPr>
        <w:t>Semiconductor manufacturing is the most pre­ ° cise manufacturing process that exists. It is used to advance work in energy and biotechnology in addition to information technology and AI.</w:t>
      </w:r>
    </w:p>
    <w:p>
      <w:pPr>
        <w:pStyle w:val="DocBody"/>
      </w:pPr>
      <w:r>
        <w:rPr>
          <w:rFonts w:ascii="Times New Roman" w:hAnsi="Times New Roman" w:eastAsia="宋体"/>
          <w:sz w:val="24"/>
        </w:rPr>
        <w:t>Strategic technology containment efforts directed ° against China help constrain Chinese capabilities in the short term. However, they are likely to drive China into a technology posture that is consider­ ably more decoupled from the West and hence less vulnerable to Western pressure in the future.</w:t>
      </w:r>
    </w:p>
    <w:p>
      <w:pPr>
        <w:pStyle w:val="DocBody"/>
      </w:pPr>
      <w:r>
        <w:rPr>
          <w:rFonts w:ascii="Times New Roman" w:hAnsi="Times New Roman" w:eastAsia="宋体"/>
          <w:sz w:val="24"/>
        </w:rPr>
        <w:t>Space Space technologies include any technology devel­ oped to conduct or support activities approximately sixty miles or more beyond Earth’s atmosphere.</w:t>
      </w:r>
    </w:p>
    <w:p>
      <w:pPr>
        <w:pStyle w:val="DocBody"/>
      </w:pPr>
      <w:r>
        <w:rPr>
          <w:rFonts w:ascii="Times New Roman" w:hAnsi="Times New Roman" w:eastAsia="宋体"/>
          <w:sz w:val="24"/>
        </w:rPr>
        <w:t>A single space mission is a system of systems— including everything from the spacecraft itself to propulsion, data storage and processing, electrical power generation and distribution, thermal control to ensure that components are within their opera­ tional and survival limits, and ground stations. While in the past, space was the exclusive province of government spy satellites and discovery missions, the number and capabilities of commercial satel­ lites have increased dramatically in recent years.</w:t>
      </w:r>
    </w:p>
    <w:p>
      <w:pPr>
        <w:pStyle w:val="DocBody"/>
      </w:pPr>
      <w:r>
        <w:rPr>
          <w:rFonts w:ascii="Times New Roman" w:hAnsi="Times New Roman" w:eastAsia="宋体"/>
          <w:sz w:val="24"/>
        </w:rPr>
        <w:t>There were roughly one thousand total active satel­ lites in orbit in 2014; today there are around eleven thousand—a fgure that will likely rise to several tens of thousands in the next decade.</w:t>
      </w:r>
    </w:p>
    <w:p>
      <w:pPr>
        <w:pStyle w:val="DocBody"/>
      </w:pPr>
      <w:r>
        <w:rPr>
          <w:rFonts w:ascii="Times New Roman" w:hAnsi="Times New Roman" w:eastAsia="宋体"/>
          <w:sz w:val="24"/>
        </w:rPr>
        <w:t>KEY CHAPTER TAKEAWAYS A burgeoning “NewSpace” economy driven by ° private innovation and investment is transform­ ing space launch, in-space logistics, communi­ cations, and key space actors in a domain that until now has been dominated by superpower governments.</w:t>
      </w:r>
    </w:p>
    <w:p>
      <w:pPr>
        <w:pStyle w:val="DocBody"/>
      </w:pPr>
      <w:r>
        <w:rPr>
          <w:rFonts w:ascii="Times New Roman" w:hAnsi="Times New Roman" w:eastAsia="宋体"/>
          <w:sz w:val="24"/>
        </w:rPr>
        <w:t>Space is a fnite planetary resource. Because of ° dramatic increases in satellites, debris, and geo­ political space competition, new technologies and new international policy frameworks will be needed to manage the traffc of vehicles, pre­ vent international confict in space, and ensure responsible stewardship of this global commons.</w:t>
      </w:r>
    </w:p>
    <w:p>
      <w:pPr>
        <w:pStyle w:val="DocBody"/>
      </w:pPr>
      <w:r>
        <w:rPr>
          <w:rFonts w:ascii="Times New Roman" w:hAnsi="Times New Roman" w:eastAsia="宋体"/>
          <w:sz w:val="24"/>
        </w:rPr>
        <w:t>The Trump administration has shifted priorities ° heavily toward human exploration of the Moon and Mars. This is at the expense of robotic explo­ ration, space science, and aeronautics missions, leading to signifcant planned budget and per­ sonnel cuts to NASA. This trend may risk the long-term superiority of the United States in the global race for talent and technology.</w:t>
      </w:r>
    </w:p>
    <w:p>
      <w:pPr>
        <w:pStyle w:val="DocBody"/>
      </w:pPr>
      <w:r>
        <w:rPr>
          <w:rFonts w:ascii="Times New Roman" w:hAnsi="Times New Roman" w:eastAsia="宋体"/>
          <w:sz w:val="24"/>
        </w:rPr>
        <w:t>Important Crosscuting Themes Chapter 11 discusses ffteen themes that cut across the technological areas. We split these themes into four categories.</w:t>
      </w:r>
    </w:p>
    <w:p>
      <w:pPr>
        <w:pStyle w:val="DocBody"/>
      </w:pPr>
      <w:r>
        <w:rPr>
          <w:rFonts w:ascii="Times New Roman" w:hAnsi="Times New Roman" w:eastAsia="宋体"/>
          <w:sz w:val="24"/>
        </w:rPr>
        <w:t>Governance and Geopolitics of Emerging Tech­ ° nology examines how governments and political systems shape global technological progress.</w:t>
      </w:r>
    </w:p>
    <w:p>
      <w:pPr>
        <w:pStyle w:val="DocBody"/>
      </w:pPr>
      <w:r>
        <w:rPr>
          <w:rFonts w:ascii="Times New Roman" w:hAnsi="Times New Roman" w:eastAsia="宋体"/>
          <w:sz w:val="24"/>
        </w:rPr>
        <w:t>– Innovation that emerges too fast threatens the legitimate interests of those who might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be negatively affected, while innovation that moves too slowly increases the likelihood that a nation will lose frst-mover advantages.</w:t>
      </w:r>
    </w:p>
    <w:p>
      <w:pPr>
        <w:pStyle w:val="DocBody"/>
      </w:pPr>
      <w:r>
        <w:rPr>
          <w:rFonts w:ascii="Times New Roman" w:hAnsi="Times New Roman" w:eastAsia="宋体"/>
          <w:sz w:val="24"/>
        </w:rPr>
        <w:t>– National monopolies on technology are increasingly diffcult to maintain. Even inno­ vations that are solely American born (an increasingly rare occurrence) are unlikely to remain in the exclusive control of American actors for long periods.</w:t>
      </w:r>
    </w:p>
    <w:p>
      <w:pPr>
        <w:pStyle w:val="DocBody"/>
      </w:pPr>
      <w:r>
        <w:rPr>
          <w:rFonts w:ascii="Times New Roman" w:hAnsi="Times New Roman" w:eastAsia="宋体"/>
          <w:sz w:val="24"/>
        </w:rPr>
        <w:t>– The US government is no longer the primary driver of technological innovation or funder of research and development (R&amp;D).</w:t>
      </w:r>
    </w:p>
    <w:p>
      <w:pPr>
        <w:pStyle w:val="DocBody"/>
      </w:pPr>
      <w:r>
        <w:rPr>
          <w:rFonts w:ascii="Times New Roman" w:hAnsi="Times New Roman" w:eastAsia="宋体"/>
          <w:sz w:val="24"/>
        </w:rPr>
        <w:t>– While democracies provide greater freedom for scientifc exploration, authoritarian regimes can direct sustained funding and focus on technologies they believe are most important.</w:t>
      </w:r>
    </w:p>
    <w:p>
      <w:pPr>
        <w:pStyle w:val="DocBody"/>
      </w:pPr>
      <w:r>
        <w:rPr>
          <w:rFonts w:ascii="Times New Roman" w:hAnsi="Times New Roman" w:eastAsia="宋体"/>
          <w:sz w:val="24"/>
        </w:rPr>
        <w:t>Innovation Pathways and Patterns of Progress ° explores the diverse ways in which technological progress unfolds.</w:t>
      </w:r>
    </w:p>
    <w:p>
      <w:pPr>
        <w:pStyle w:val="DocBody"/>
      </w:pPr>
      <w:r>
        <w:rPr>
          <w:rFonts w:ascii="Times New Roman" w:hAnsi="Times New Roman" w:eastAsia="宋体"/>
          <w:sz w:val="24"/>
        </w:rPr>
        <w:t>– Technological progress is often unpredictable and nonlinear, with periods of slow develop­ ment interrupted by sudden breakthroughs.</w:t>
      </w:r>
    </w:p>
    <w:p>
      <w:pPr>
        <w:pStyle w:val="DocBody"/>
      </w:pPr>
      <w:r>
        <w:rPr>
          <w:rFonts w:ascii="Times New Roman" w:hAnsi="Times New Roman" w:eastAsia="宋体"/>
          <w:sz w:val="24"/>
        </w:rPr>
        <w:t>While some felds, like semiconductors, have shown steady improvement, most technolo­ gies advance through cycles of experimenta­ tion, feedback, and convergence of multiple innovations.</w:t>
      </w:r>
    </w:p>
    <w:p>
      <w:pPr>
        <w:pStyle w:val="DocBody"/>
      </w:pPr>
      <w:r>
        <w:rPr>
          <w:rFonts w:ascii="Times New Roman" w:hAnsi="Times New Roman" w:eastAsia="宋体"/>
          <w:sz w:val="24"/>
        </w:rPr>
        <w:t>– Nonscientifc factors, such as engineering fea­ sibility, economic viability, manufacturing chal­ lenges, and societal acceptance, infuence the adoption of technology based on scientifc advances.</w:t>
      </w:r>
    </w:p>
    <w:p>
      <w:pPr>
        <w:pStyle w:val="DocBody"/>
      </w:pPr>
      <w:r>
        <w:rPr>
          <w:rFonts w:ascii="Times New Roman" w:hAnsi="Times New Roman" w:eastAsia="宋体"/>
          <w:sz w:val="24"/>
        </w:rPr>
        <w:t>– Hype can distort perceptions, leading to infated expectations that outpace practical utility and distortions in resource allocation.</w:t>
      </w:r>
    </w:p>
    <w:p>
      <w:pPr>
        <w:pStyle w:val="DocBody"/>
      </w:pPr>
      <w:r>
        <w:rPr>
          <w:rFonts w:ascii="Times New Roman" w:hAnsi="Times New Roman" w:eastAsia="宋体"/>
          <w:sz w:val="24"/>
        </w:rPr>
        <w:t>– Frontier bias causes overemphasis on new technologies and sometimes results in over­ looking impactful uses of established ones.</w:t>
      </w:r>
    </w:p>
    <w:p>
      <w:pPr>
        <w:pStyle w:val="DocBody"/>
      </w:pPr>
      <w:r>
        <w:rPr>
          <w:rFonts w:ascii="Times New Roman" w:hAnsi="Times New Roman" w:eastAsia="宋体"/>
          <w:sz w:val="24"/>
        </w:rPr>
        <w:t>– The synergies between different technologies are large and growing, which makes under­ standing the interactions between different felds all the more important.</w:t>
      </w:r>
    </w:p>
    <w:p>
      <w:pPr>
        <w:pStyle w:val="DocBody"/>
      </w:pPr>
      <w:r>
        <w:rPr>
          <w:rFonts w:ascii="Times New Roman" w:hAnsi="Times New Roman" w:eastAsia="宋体"/>
          <w:sz w:val="24"/>
        </w:rPr>
        <w:t>Human Capital and Knowledge Ecosystems ° highlights the critical roles of people, universities, and funding structures in driving and sustaining innovation.</w:t>
      </w:r>
    </w:p>
    <w:p>
      <w:pPr>
        <w:pStyle w:val="DocBody"/>
      </w:pPr>
      <w:r>
        <w:rPr>
          <w:rFonts w:ascii="Times New Roman" w:hAnsi="Times New Roman" w:eastAsia="宋体"/>
          <w:sz w:val="24"/>
        </w:rPr>
        <w:t>– Human capital is the foundation of scientifc and technological progress. Sustained invest­ ment in it is the single most critical factor in ensuring long-term national competitiveness and scientifc advancement.</w:t>
      </w:r>
    </w:p>
    <w:p>
      <w:pPr>
        <w:pStyle w:val="DocBody"/>
      </w:pPr>
      <w:r>
        <w:rPr>
          <w:rFonts w:ascii="Times New Roman" w:hAnsi="Times New Roman" w:eastAsia="宋体"/>
          <w:sz w:val="24"/>
        </w:rPr>
        <w:t>– Universities are central to both high-risk research and science, technology, engineer­ ing, and mathematics (STEM) education. Yet federal R&amp;D funding as a share of GDP has declined, and policy ambiguities hinder inter­ national collaboration.</w:t>
      </w:r>
    </w:p>
    <w:p>
      <w:pPr>
        <w:pStyle w:val="DocBody"/>
      </w:pPr>
      <w:r>
        <w:rPr>
          <w:rFonts w:ascii="Times New Roman" w:hAnsi="Times New Roman" w:eastAsia="宋体"/>
          <w:sz w:val="24"/>
        </w:rPr>
        <w:t>– The “valley of death” between research feasi­ bility and commercial viability remains a major barrier to advancing innovations to market.</w:t>
      </w:r>
    </w:p>
    <w:p>
      <w:pPr>
        <w:pStyle w:val="DocBody"/>
      </w:pPr>
      <w:r>
        <w:rPr>
          <w:rFonts w:ascii="Times New Roman" w:hAnsi="Times New Roman" w:eastAsia="宋体"/>
          <w:sz w:val="24"/>
        </w:rPr>
        <w:t>New funding models are needed to bridge this gap and sustain America’s technological leadership.</w:t>
      </w:r>
    </w:p>
    <w:p>
      <w:pPr>
        <w:pStyle w:val="DocBody"/>
      </w:pPr>
      <w:r>
        <w:rPr>
          <w:rFonts w:ascii="Times New Roman" w:hAnsi="Times New Roman" w:eastAsia="宋体"/>
          <w:sz w:val="24"/>
        </w:rPr>
        <w:t>Infrastructure for Innovation encompasses vital ° systems and structures that support innovation on a large scale.</w:t>
      </w:r>
    </w:p>
    <w:p>
      <w:pPr>
        <w:pStyle w:val="DocBody"/>
      </w:pPr>
      <w:r>
        <w:rPr>
          <w:rFonts w:ascii="Times New Roman" w:hAnsi="Times New Roman" w:eastAsia="宋体"/>
          <w:sz w:val="24"/>
        </w:rPr>
        <w:t>– Standards enable interoperability, lower costs, and support global trade but can also stife innovation and be manipulated for market control or geopolitical advantage.</w:t>
      </w:r>
    </w:p>
    <w:p>
      <w:pPr>
        <w:pStyle w:val="DocBody"/>
      </w:pPr>
      <w:r>
        <w:rPr>
          <w:rFonts w:ascii="Times New Roman" w:hAnsi="Times New Roman" w:eastAsia="宋体"/>
          <w:sz w:val="24"/>
        </w:rPr>
        <w:t>– Manufacturing is vital for economic resilience and security, especially amid global supply chain disruptions and strategic competition with China and other nations. Technological advances like robotics and artifcial intel­ ligence are reshaping production, while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ExECUTIVE SUMMARY</w:t>
      </w:r>
    </w:p>
    <w:p>
      <w:pPr>
        <w:pStyle w:val="DocBody"/>
      </w:pPr>
      <w:r>
        <w:rPr>
          <w:rFonts w:ascii="Times New Roman" w:hAnsi="Times New Roman" w:eastAsia="宋体"/>
          <w:sz w:val="24"/>
        </w:rPr>
        <w:t>policies such as the CHIPS and Science Act of 2022 aim to boost domestic capacity.</w:t>
      </w:r>
    </w:p>
    <w:p>
      <w:pPr>
        <w:pStyle w:val="DocBody"/>
      </w:pPr>
      <w:r>
        <w:rPr>
          <w:rFonts w:ascii="Times New Roman" w:hAnsi="Times New Roman" w:eastAsia="宋体"/>
          <w:sz w:val="24"/>
        </w:rPr>
        <w:t>– Cybersecurity protects data, systems, and intellectual property from threats, ensuring research integrity and confdentiality. However, maintaining robust security can confict with the open culture of research environments.</w:t>
      </w:r>
    </w:p>
    <w:p>
      <w:pPr>
        <w:pStyle w:val="DocBody"/>
      </w:pPr>
      <w:r>
        <w:rPr>
          <w:rFonts w:ascii="Times New Roman" w:hAnsi="Times New Roman" w:eastAsia="宋体"/>
          <w:sz w:val="24"/>
        </w:rPr>
        <w:t>Finally, each of the ten technology felds covered in this report bears on fve policy areas that are of interest to policymakers: economic growth, national security, environmental and energy sustainability, health and medicine, and civil society. Chapter 12 identifes applications and consequences of each feld as they apply to these policy areas.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INTRODUCTION interests, including a stronger national security pos­ ture, greater national pride and self-confdence, eco­ nomic infuence, and diplomatic leverage. But four other points about S&amp;T are equally important:</w:t>
      </w:r>
    </w:p>
    <w:p>
      <w:pPr>
        <w:pStyle w:val="DocBody"/>
      </w:pPr>
      <w:r>
        <w:rPr>
          <w:rFonts w:ascii="Times New Roman" w:hAnsi="Times New Roman" w:eastAsia="宋体"/>
          <w:sz w:val="24"/>
        </w:rPr>
        <w:t>Advances in S&amp;T must be accompanied by strong ° public policy if they are to serve the national inter­ est. Coupling advanced technology with poor policy to infuence that technology rarely ends well.</w:t>
      </w:r>
    </w:p>
    <w:p>
      <w:pPr>
        <w:pStyle w:val="DocBody"/>
      </w:pPr>
      <w:r>
        <w:rPr>
          <w:rFonts w:ascii="Times New Roman" w:hAnsi="Times New Roman" w:eastAsia="宋体"/>
          <w:sz w:val="24"/>
        </w:rPr>
        <w:t>Advantages gained from S&amp;T advances are tran­ ° sient. Attempting to restrict the transfer of scien­ tifc and technical knowledge to other nations may delay its spread, but the frst successful demon­ stration of a technological advance on the part of the United States is often the impetus for other nations to launch their own efforts to catch up.</w:t>
      </w:r>
    </w:p>
    <w:p>
      <w:pPr>
        <w:pStyle w:val="DocBody"/>
      </w:pPr>
      <w:r>
        <w:rPr>
          <w:rFonts w:ascii="Times New Roman" w:hAnsi="Times New Roman" w:eastAsia="宋体"/>
          <w:sz w:val="24"/>
        </w:rPr>
        <w:t>Internationally, S&amp;T is not always a zero-sum ° game, as advances originating in one nation often beneft others. For example, the internet is a US-born innovation whose uses have spread around the world—and the US itself has gained from that spread.</w:t>
      </w:r>
    </w:p>
    <w:p>
      <w:pPr>
        <w:pStyle w:val="DocBody"/>
      </w:pPr>
      <w:r>
        <w:rPr>
          <w:rFonts w:ascii="Times New Roman" w:hAnsi="Times New Roman" w:eastAsia="宋体"/>
          <w:sz w:val="24"/>
        </w:rPr>
        <w:t>International competition also occurs with our ° allies and partners, who engage in the S&amp;T space, developing technology or deploying policy that can leave the United States at a disadvantage.</w:t>
      </w:r>
    </w:p>
    <w:p>
      <w:pPr>
        <w:pStyle w:val="DocBody"/>
      </w:pPr>
      <w:r>
        <w:rPr>
          <w:rFonts w:ascii="Times New Roman" w:hAnsi="Times New Roman" w:eastAsia="宋体"/>
          <w:sz w:val="24"/>
        </w:rPr>
        <w:t>The Role of Science and Technology in Advancing National Interests Vannevar Bush, an engineer and policymaker who oversaw the development of the Manhattan Project, was the nation’s frst presidential science advisor.</w:t>
      </w:r>
    </w:p>
    <w:p>
      <w:pPr>
        <w:pStyle w:val="DocBody"/>
      </w:pPr>
      <w:r>
        <w:rPr>
          <w:rFonts w:ascii="Times New Roman" w:hAnsi="Times New Roman" w:eastAsia="宋体"/>
          <w:sz w:val="24"/>
        </w:rPr>
        <w:t>In 1945, he wrote, “Advances in science when put to practical use mean more jobs, higher wages, shorter hours, more abundant crops, more leisure for recreation, for study, for learning how to live without the deadening drudgery. .  .  . Advances in science will also bring higher standards of living, will lead to the prevention or cure of diseases, will pro­ mote conservation of our limited national resources, and will assure means of defense against aggression.”1 Science and technology (S&amp;T) remain essential to our national interests. Advances in them are closely tied to national needs in transportation, agriculture, commu­ nication, energy, education, environment, health, and defense—as well as to millions of American jobs. S&amp;T also underpins and drives many strategic objectives in foreign policy, such as reducing the proliferation of weapons of mass destruction, strengthening relation­ ships with allies and partners, improving humanitarian assistance, and promoting growth in developing and transitional economies.2 Research and development in S&amp;T felds such as information technology, bio­ technology, materials science, and space will impact both “hard power” issues—defense, arms control, nonproliferation—and “soft power” concerns, such as climate change, infectious and chronic diseases, and energy supply and demand.3 S&amp;T is one important battleground for seeking advan­ tage in geopolitical competition, because advances in scientifc and technical felds can contribute to national Policy for S&amp;T Policymakers have a wide variety of tools to infu­ ence the conduct of S&amp;T research and development.</w:t>
      </w:r>
    </w:p>
    <w:p>
      <w:pPr>
        <w:pStyle w:val="DocBody"/>
      </w:pPr>
      <w:r>
        <w:rPr>
          <w:rFonts w:ascii="Times New Roman" w:hAnsi="Times New Roman" w:eastAsia="宋体"/>
          <w:sz w:val="24"/>
        </w:rPr>
        <w:t>Many of these are obvious, such as research funding, tax incentives to frms, intellectual property rights, export controls, classifcation authority,4 regulation, public procurement, funding and other aid to strate­ gic sectors, and labor force training and education.</w:t>
      </w:r>
    </w:p>
    <w:p>
      <w:pPr>
        <w:pStyle w:val="DocBody"/>
      </w:pPr>
      <w:r>
        <w:rPr>
          <w:rFonts w:ascii="Times New Roman" w:hAnsi="Times New Roman" w:eastAsia="宋体"/>
          <w:sz w:val="24"/>
        </w:rPr>
        <w:t>STANFORD EMERGING TECHNOLOGY REVIEW</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However, policy need not be directed at S&amp;T to meaningfully impact it. For example, immigration policy is not primarily directed at the S&amp;T workforce, but it can have profound effects on the talent avail­ able to academic and industry research. Policy ori­ ented in one direction attracts talent to the United States, while policy oriented in another diminishes such talent. Or consider the national economic envi­ ronment: Stable fscal and monetary policies make it easier for private-sector decision makers to plan and invest for the long term—a critical consideration when many S&amp;T advances must be nurtured along an extended path from conception to maturity.</w:t>
      </w:r>
    </w:p>
    <w:p>
      <w:pPr>
        <w:pStyle w:val="DocBody"/>
      </w:pPr>
      <w:r>
        <w:rPr>
          <w:rFonts w:ascii="Times New Roman" w:hAnsi="Times New Roman" w:eastAsia="宋体"/>
          <w:sz w:val="24"/>
        </w:rPr>
        <w:t>Ten S&amp;T Fields Chapters 1 through 10 describe in more detail ten S&amp;T felds important to the national agenda. Our selection of these felds was driven by several fac­ tors: inclusion on common lists of key technolo­ gies developed by government, the private sector, and academia, as well as think tanks; and discus­ sions with science and engineering colleagues at Stanford University and other research universities.</w:t>
      </w:r>
    </w:p>
    <w:p>
      <w:pPr>
        <w:pStyle w:val="DocBody"/>
      </w:pPr>
      <w:r>
        <w:rPr>
          <w:rFonts w:ascii="Times New Roman" w:hAnsi="Times New Roman" w:eastAsia="宋体"/>
          <w:sz w:val="24"/>
        </w:rPr>
        <w:t>We do not claim that any one of these ten is more important than any other, and the report addresses them in alphabetical order. Indeed, one of the unex­ pected aspects of this technological moment is convergence: New technologies are intersecting, overlapping, and driving each other in all sorts of ways—some obvious, some more hidden.</w:t>
      </w:r>
    </w:p>
    <w:p>
      <w:pPr>
        <w:pStyle w:val="DocBody"/>
      </w:pPr>
      <w:r>
        <w:rPr>
          <w:rFonts w:ascii="Times New Roman" w:hAnsi="Times New Roman" w:eastAsia="宋体"/>
          <w:sz w:val="24"/>
        </w:rPr>
        <w:t>As noted in the foreword, sometimes the technolo­ gies covered in the report change. This year’s edition of SETR includes a new chapter dedicated to quan­ tum technologies. This is substantially longer than the rest of the chapters, but the extra length doesn’t mean that this technology area is more important than the others; it simply refects how the science behind quantum technologies can be hard to grasp and often counterintuitive, even for experts, requir­ ing more words to provide a clear and comprehensi­ ble introduction to the subject.</w:t>
      </w:r>
    </w:p>
    <w:p>
      <w:pPr>
        <w:pStyle w:val="DocBody"/>
      </w:pPr>
      <w:r>
        <w:rPr>
          <w:rFonts w:ascii="Times New Roman" w:hAnsi="Times New Roman" w:eastAsia="宋体"/>
          <w:sz w:val="24"/>
        </w:rPr>
        <w:t>The description of each feld is divided into four parts. The frst is an overview of the feld. The second addresses noteworthy key developments in the domain that are relevant to understanding the feld from a policy perspective. The third, providing an over­the­horizon perspective, addresses technologi­ cal and other developments that are likely to become important in the near future. The last part highlights policy issues that are relevant to the feld in question.</w:t>
      </w:r>
    </w:p>
    <w:p>
      <w:pPr>
        <w:pStyle w:val="DocBody"/>
      </w:pPr>
      <w:r>
        <w:rPr>
          <w:rFonts w:ascii="Times New Roman" w:hAnsi="Times New Roman" w:eastAsia="宋体"/>
          <w:sz w:val="24"/>
        </w:rPr>
        <w:t>In addition to the chapters on individual technol­ ogies, this report contains a chapter addressing themes that cut across many—and sometimes all—of the felds in question. These themes came up repeat­ edly in our conversations with Stanford faculty and provide a broader perspective on how science and society can interact productively for national beneft.</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Vannevar Bush, Science: The Endless Frontier (US Govern­ ment Printing Offce, 1945), https://www.nsf.gov/od/lpa/nsf50 /vbush1945.htm.</w:t>
      </w:r>
    </w:p>
    <w:p>
      <w:pPr>
        <w:pStyle w:val="DocBody"/>
        <w:ind w:left="765"/>
      </w:pPr>
      <w:r>
        <w:rPr>
          <w:rFonts w:ascii="Times New Roman" w:hAnsi="Times New Roman" w:eastAsia="宋体"/>
          <w:sz w:val="24"/>
        </w:rPr>
        <w:t>National Research Council, The Pervasive Role of Science, Technology, and Health in Foreign Policy: Imperatives for the Department of State (National Academies Press, 1999), https:// doi.org/10.17226/9688.</w:t>
      </w:r>
    </w:p>
    <w:p>
      <w:pPr>
        <w:pStyle w:val="DocBody"/>
        <w:ind w:left="765"/>
      </w:pPr>
      <w:r>
        <w:rPr>
          <w:rFonts w:ascii="Times New Roman" w:hAnsi="Times New Roman" w:eastAsia="宋体"/>
          <w:sz w:val="24"/>
        </w:rPr>
        <w:t>National Intelligence Council, Global Trends 2015: A Dialogue About the Future with Nongovernment Offcials (National Intelli­ gence Council, 2000),https://www.dni.gov/fles/documents/Global %20Trends_2015%20Report.pdf; National Intelligence Council, Mapping the Global Future: Report of the National Intelligence Council’s 2020 Project (National Intelligence Council, 2004), https://www.dni.gov/fles/documents/Global%20Trends_Mapping %20the%20Global%20Future%202020%20Project.pdf.</w:t>
      </w:r>
    </w:p>
    <w:p>
      <w:pPr>
        <w:pStyle w:val="DocBody"/>
        <w:ind w:left="765"/>
      </w:pPr>
      <w:r>
        <w:rPr>
          <w:rFonts w:ascii="Times New Roman" w:hAnsi="Times New Roman" w:eastAsia="宋体"/>
          <w:sz w:val="24"/>
        </w:rPr>
        <w:t>Under some circumstances (such as when federal funding is involved), the US government may have the authority to classify research even if that research was performed without access to classifed information.</w:t>
      </w:r>
    </w:p>
    <w:p>
      <w:pPr>
        <w:pStyle w:val="DocBody"/>
      </w:pPr>
      <w:r>
        <w:rPr>
          <w:rFonts w:ascii="Times New Roman" w:hAnsi="Times New Roman" w:eastAsia="宋体"/>
          <w:sz w:val="24"/>
        </w:rPr>
        <w:t>INTRODUCTION</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ARTIFICIAL INTELLIGENCE ° Artifcial intelligence (AI) is a foundational tech­ nology that is supercharging other scientifc felds and, like electricity and the internet, has the potential to transform societies, economies, and politics worldwide.</w:t>
      </w:r>
    </w:p>
    <w:p>
      <w:pPr>
        <w:pStyle w:val="DocBody"/>
      </w:pPr>
      <w:r>
        <w:rPr>
          <w:rFonts w:ascii="Times New Roman" w:hAnsi="Times New Roman" w:eastAsia="宋体"/>
          <w:sz w:val="24"/>
        </w:rPr>
        <w:t>° Despite rapid progress in the past several years, even the most advanced AI models still have many failure modes and vulnerabilities to cyber­ attacks that are unpredictable, not widely appre­ ciated nor easily fxed, and capable of leading to unintended consequences.</w:t>
      </w:r>
    </w:p>
    <w:p>
      <w:pPr>
        <w:pStyle w:val="DocBody"/>
      </w:pPr>
      <w:r>
        <w:rPr>
          <w:rFonts w:ascii="Times New Roman" w:hAnsi="Times New Roman" w:eastAsia="宋体"/>
          <w:sz w:val="24"/>
        </w:rPr>
        <w:t>° Nations are competing to shape the global rules and standards for AI, making interoperability, sizeable national compute resources, and inter­ national governance frameworks critical levers of geopolitical infuence.</w:t>
      </w:r>
    </w:p>
    <w:p>
      <w:pPr>
        <w:pStyle w:val="DocBody"/>
      </w:pPr>
      <w:r>
        <w:rPr>
          <w:rFonts w:ascii="Times New Roman" w:hAnsi="Times New Roman" w:eastAsia="宋体"/>
          <w:sz w:val="24"/>
        </w:rPr>
        <w:t>KEY TAKEAWAYS Overview Artifcial intelligence (AI), a term coined by computer scientist and Stanford professor John McCarthy in 1955, was originally defned as “the science and engineering of making intelligent machines.” In turn, intelligence might be defned as the ability to learn and perform suitable techniques to solve prob­ lems and achieve goals appropriate to the context in an uncertain, ever-varying world.1 AI could be said to refer to a computer’s ability to display this type of intelligence.</w:t>
      </w:r>
    </w:p>
    <w:p>
      <w:pPr>
        <w:pStyle w:val="DocBody"/>
      </w:pPr>
      <w:r>
        <w:rPr>
          <w:rFonts w:ascii="Times New Roman" w:hAnsi="Times New Roman" w:eastAsia="宋体"/>
          <w:sz w:val="24"/>
        </w:rPr>
        <w:t>The emphasis today in AI is on machines that can learn as well as humans can learn, or at least some­ what comparably so. However, because machines are not limited by the constraints of human biol­ ogy, AI systems may be able to run at much higher speeds and digest larger volumes and types of infor­ mation than humans are capable of.</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Today, AI promises to be a fundamental enabler of technological advancement in many felds, arguably of comparable importance to electricity in an earlier era or the internet in more recent years. The science of computing, worldwide availability of networks, and civilization-scale data—everything collectively underlying the AI of today and tomorrow—are poised to have similar impact on technological prog­ ress in the future. Moreover, the users of AI will not be limited to those with specialized training; instead, the average person on the street will increasingly interact directly with sophisticated AI applications for a multitude of everyday activities.</w:t>
      </w:r>
    </w:p>
    <w:p>
      <w:pPr>
        <w:pStyle w:val="DocBody"/>
      </w:pPr>
      <w:r>
        <w:rPr>
          <w:rFonts w:ascii="Times New Roman" w:hAnsi="Times New Roman" w:eastAsia="宋体"/>
          <w:sz w:val="24"/>
        </w:rPr>
        <w:t>The global AI market is projected to be worth $244.22 billion in 2025, with North America receiv­ ing 33.8 percent of total AI revenues.2 The Stanford Institute for Human-Centered Artifcial Intelligence (HAI) AI Index 2025 Annual Report found that private investment in all AI start-ups totaled $150.79 billion in 2024, surpassing the previous record high of over $120 billion, in 2021, after two consecutive years of decline.3 One estimate forecasts that generative AI—which can create novel text, images, video, and audio output and is discussed in more detail later in this chapter—could raise global GDP by $7 trillion and raise productivity growth by 1.5  percent over a 10-year period if it is adopted widely.4 Private fund­ ing for generative AI start-ups surged to $33.94 bil­ lion in 2024, an 18.7 percent increase from 2023.5 The question of what subfelds are considered part of AI is a matter of ongoing debate, and the bound­ aries between these felds are often fuid. Some of the core subfelds follow:</w:t>
      </w:r>
    </w:p>
    <w:p>
      <w:pPr>
        <w:pStyle w:val="DocBody"/>
      </w:pPr>
      <w:r>
        <w:rPr>
          <w:rFonts w:ascii="Times New Roman" w:hAnsi="Times New Roman" w:eastAsia="宋体"/>
          <w:sz w:val="24"/>
        </w:rPr>
        <w:t>Machine learning (ML) Enabling computers to ° perform tasks without explicit instructions, often by generalizing from patterns in data. This includes deep learning that relies on multilayered artifcial neural networks—which process information in a way inspired by the human brain—to model and understand complex relationships within data.</w:t>
      </w:r>
    </w:p>
    <w:p>
      <w:pPr>
        <w:pStyle w:val="DocBody"/>
      </w:pPr>
      <w:r>
        <w:rPr>
          <w:rFonts w:ascii="Times New Roman" w:hAnsi="Times New Roman" w:eastAsia="宋体"/>
          <w:sz w:val="24"/>
        </w:rPr>
        <w:t>Natural language processing Equipping ° machines with capabilities to understand, inter­ pret, and produce spoken words and written texts, often using ML techniques.</w:t>
      </w:r>
    </w:p>
    <w:p>
      <w:pPr>
        <w:pStyle w:val="DocBody"/>
      </w:pPr>
      <w:r>
        <w:rPr>
          <w:rFonts w:ascii="Times New Roman" w:hAnsi="Times New Roman" w:eastAsia="宋体"/>
          <w:sz w:val="24"/>
        </w:rPr>
        <w:t>Computer vision Enabling machines to recog­ ° nize and understand visual information from the world, convert it into digital data, and make deci­ sions based on these data, often through apply­ ing ML.</w:t>
      </w:r>
    </w:p>
    <w:p>
      <w:pPr>
        <w:pStyle w:val="DocBody"/>
      </w:pPr>
      <w:r>
        <w:rPr>
          <w:rFonts w:ascii="Times New Roman" w:hAnsi="Times New Roman" w:eastAsia="宋体"/>
          <w:sz w:val="24"/>
        </w:rPr>
        <w:t>Much of today’s AI is based on ML, though it draws on other subfelds as well. ML requires data and computing power—often called compute6—and much of today’s AI research requires access to these on an enormous scale. The importance of ML is underscored by the award of the 2024 Nobel Prize in Physics (for foundational discoveries enabling ML with artifcial neural networks7) and the Nobel Prize in Chemistry (for solving the problem of protein structure prediction using AI-based techniques8).</w:t>
      </w:r>
    </w:p>
    <w:p>
      <w:pPr>
        <w:pStyle w:val="DocBody"/>
      </w:pPr>
      <w:r>
        <w:rPr>
          <w:rFonts w:ascii="Times New Roman" w:hAnsi="Times New Roman" w:eastAsia="宋体"/>
          <w:sz w:val="24"/>
        </w:rPr>
        <w:t>In general, a traditional ML model is developed to solve a particular problem, with different problems calling for different models; for problems suffciently different from each other, entirely new models need to be developed. By contrast, foundation models, a relative newcomer to AI, discussed later in this chap­ ter, may be used across a variety of problems.</w:t>
      </w:r>
    </w:p>
    <w:p>
      <w:pPr>
        <w:pStyle w:val="DocBody"/>
      </w:pPr>
      <w:r>
        <w:rPr>
          <w:rFonts w:ascii="Times New Roman" w:hAnsi="Times New Roman" w:eastAsia="宋体"/>
          <w:sz w:val="24"/>
        </w:rPr>
        <w:t>ML requires large amounts of data from which it can learn. These data can take various forms, including text, images, videos, sensor readings, and more. Learning from these data is called train­ ing the AI model. The quality and quantity of data play a crucial role in determining the performance and capabilities of AI systems. Without suffcient high-quality data, models may generate inaccurate or skewed outcomes. Research continues on how to train systems effciently: One option is to start from existing models and use a much smaller amount of specially curated data to refne those models’ per­ formance for specialized purposes; another option is to compress existing large models into much smaller ones.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01  ARTIFICIAL INTELLIGENCE</w:t>
      </w:r>
    </w:p>
    <w:p>
      <w:pPr>
        <w:pStyle w:val="DocBody"/>
      </w:pPr>
      <w:r>
        <w:rPr>
          <w:rFonts w:ascii="Times New Roman" w:hAnsi="Times New Roman" w:eastAsia="宋体"/>
          <w:sz w:val="24"/>
        </w:rPr>
        <w:t>For a sense of scale, estimates of the data required to train GPT-4—one of OpenAI’s large language models (LLMs), released in March 2023 and the base on which previous versions of ChatGPT were built—suggest that its training database consisted of the textual equivalent of around 100 million books, or about 10 trillion words, drawn from billions of web pages and scanned books. (LLMs are discussed in more detail below.)</w:t>
      </w:r>
    </w:p>
    <w:p>
      <w:pPr>
        <w:pStyle w:val="DocBody"/>
      </w:pPr>
      <w:r>
        <w:rPr>
          <w:rFonts w:ascii="Times New Roman" w:hAnsi="Times New Roman" w:eastAsia="宋体"/>
          <w:sz w:val="24"/>
        </w:rPr>
        <w:t>The hardware requirements for computing power are also substantial. For example, reports indicate that the training of GPT-4 took about 25,000 Nvidia A100 GPU deep-learning chips—at a cost of $10,000 each—running for about 100 days.9 Including both these chips and other hardware components used, the overall hardware costs for GPT-4 were at least a few hundred million dollars. And the chips underly­ ing this hardware are specialty ones often fabricated offshore.10 (Chapter 9, on semiconductors, discusses this point at greater length.)</w:t>
      </w:r>
    </w:p>
    <w:p>
      <w:pPr>
        <w:pStyle w:val="DocBody"/>
      </w:pPr>
      <w:r>
        <w:rPr>
          <w:rFonts w:ascii="Times New Roman" w:hAnsi="Times New Roman" w:eastAsia="宋体"/>
          <w:sz w:val="24"/>
        </w:rPr>
        <w:t>Lastly, AI models consume a lot of energy. Consider, frst, the training phase: One estimate of the elec­ tricity required to train a foundation model such as GPT-4 puts the fgure at about 50 million kilowatt- hours (kWh).11 The average American household uses about 11,000 kWh per year, meaning the energy needed to train GPT-4 was approximately the same as that used by 4,500 average homes in a year.</w:t>
      </w:r>
    </w:p>
    <w:p>
      <w:pPr>
        <w:pStyle w:val="DocBody"/>
      </w:pPr>
      <w:r>
        <w:rPr>
          <w:rFonts w:ascii="Times New Roman" w:hAnsi="Times New Roman" w:eastAsia="宋体"/>
          <w:sz w:val="24"/>
        </w:rPr>
        <w:t>Paying for this energy adds signifcant cost and raises environmental concerns, even before a single person actually uses a model.</w:t>
      </w:r>
    </w:p>
    <w:p>
      <w:pPr>
        <w:pStyle w:val="DocBody"/>
      </w:pPr>
      <w:r>
        <w:rPr>
          <w:rFonts w:ascii="Times New Roman" w:hAnsi="Times New Roman" w:eastAsia="宋体"/>
          <w:sz w:val="24"/>
        </w:rPr>
        <w:t>Once a model is up and running, the cost of energy used to power queries can add up fast. This is known as the inference phase. For ChatGPT, the energy used per query is around 0.002 of a kilowatt-hour, or 2 watt-hours (Wh).12 (For comparison, a single Google search requires about 0.3 Wh,13 and an alka­ line AAA battery contains about 2 Wh of energy.)</w:t>
      </w:r>
    </w:p>
    <w:p>
      <w:pPr>
        <w:pStyle w:val="DocBody"/>
      </w:pPr>
      <w:r>
        <w:rPr>
          <w:rFonts w:ascii="Times New Roman" w:hAnsi="Times New Roman" w:eastAsia="宋体"/>
          <w:sz w:val="24"/>
        </w:rPr>
        <w:t>Given hundreds of millions of queries per day, the operating energy requirement of ChatGPT might be a few hundred thousand kilowatt-hours per day, at a cost of several tens of thousands of dollars.</w:t>
      </w:r>
    </w:p>
    <w:p>
      <w:pPr>
        <w:pStyle w:val="DocBody"/>
      </w:pPr>
      <w:r>
        <w:rPr>
          <w:rFonts w:ascii="Times New Roman" w:hAnsi="Times New Roman" w:eastAsia="宋体"/>
          <w:sz w:val="24"/>
        </w:rPr>
        <w:t>With the recent focus on what are called reasoning models—foundation models that seemingly “think”</w:t>
      </w:r>
    </w:p>
    <w:p>
      <w:pPr>
        <w:pStyle w:val="DocBody"/>
      </w:pPr>
      <w:r>
        <w:rPr>
          <w:rFonts w:ascii="Times New Roman" w:hAnsi="Times New Roman" w:eastAsia="宋体"/>
          <w:sz w:val="24"/>
        </w:rPr>
        <w:t>through problems step by step before presenting the user with an output—such inference costs have substantially increased in the past year.</w:t>
      </w:r>
    </w:p>
    <w:p>
      <w:pPr>
        <w:pStyle w:val="DocBody"/>
      </w:pPr>
      <w:r>
        <w:rPr>
          <w:rFonts w:ascii="Times New Roman" w:hAnsi="Times New Roman" w:eastAsia="宋体"/>
          <w:sz w:val="24"/>
        </w:rPr>
        <w:t>AI is expected to automate a wide range of tasks. But it also has particular promise in augmenting human capabilities and further enabling people to do what they are best at doing.14 AI systems can work along­ side humans, complementing and assisting their work rather than replacing them. Some present-day examples follow.</w:t>
      </w:r>
    </w:p>
    <w:p>
      <w:pPr>
        <w:pStyle w:val="DocBody"/>
      </w:pPr>
      <w:r>
        <w:rPr>
          <w:rFonts w:ascii="Times New Roman" w:hAnsi="Times New Roman" w:eastAsia="宋体"/>
          <w:sz w:val="24"/>
        </w:rPr>
        <w:t>Healthcare Medical diagnostics An AI system that can pre­ ° dict and detect the onset of strokes qualifed for Medicare reimbursement in 2020.15 Drug discovery An AI-enabled search iden­ ° tifed a compound that inhibits the growth of a bacterium responsible for many drug-resistant infections, such as pneumonia and meningitis, by sifting through a library of seven thousand poten­ tial drug compounds for an appropriate chemical structure.16 Patient safety Smart AI sensors and cameras ° can improve patient safety in intensive care units, in operating rooms, and even at home by improv­ ing healthcare providers’ and caregivers’ ability to monitor and react to patient health develop­ ments, including falls and injuries.17 Agriculture Production optimization AI-enabled computer ° vision helps some salmon farmers pick out fsh that are the right size to keep, thus off-loading the labor-intensive task of sorting them.18 Crop management Some farmers are using ° AI to detect and destroy weeds in a targeted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manner, signifcantly decreasing environmen­ tal harm by using herbicides only on undesired vegetation rather than on entire felds. In some cases, this has reduced herbicide use by as much as 90 percent.19 Logistics and Transportation Autonomous trucking From January to August 2024, a consortium of companies autonomously drove trucks carrying tires for over 50,000 long-haul miles.20 Continued success could automate long- haul drives—the most boring, time-consuming part of a trucker’s job—while keeping human tasks like navigating the frst miles from factories and the last miles to customers.</w:t>
      </w:r>
    </w:p>
    <w:p>
      <w:pPr>
        <w:pStyle w:val="DocBody"/>
      </w:pPr>
      <w:r>
        <w:rPr>
          <w:rFonts w:ascii="Times New Roman" w:hAnsi="Times New Roman" w:eastAsia="宋体"/>
          <w:sz w:val="24"/>
        </w:rPr>
        <w:t>Law Legal review AI-based systems can reduce the time lawyers spend on contract review by as much as 60  percent. Further, such systems can enable lawyers to search case databases more rapidly than online human searches.21 of connections within the model, encoding learned patterns from training data and determining how much infuence each piece of information has on the model’s behavior.)</w:t>
      </w:r>
    </w:p>
    <w:p>
      <w:pPr>
        <w:pStyle w:val="DocBody"/>
      </w:pPr>
      <w:r>
        <w:rPr>
          <w:rFonts w:ascii="Times New Roman" w:hAnsi="Times New Roman" w:eastAsia="宋体"/>
          <w:sz w:val="24"/>
        </w:rPr>
        <w:t>Trained on large-scale data, foundation models can exhibit broad capabilities23 and are thus sometimes called general-purpose models. They excel at trans­ fer learning—applying knowledge learned in one context to another—making them more fexible and effcient than traditional task-specifc models. A single foundation model can be fne-tuned for vari­ ous tasks, often reducing the need to train separate models from scratch.</w:t>
      </w:r>
    </w:p>
    <w:p>
      <w:pPr>
        <w:pStyle w:val="DocBody"/>
      </w:pPr>
      <w:r>
        <w:rPr>
          <w:rFonts w:ascii="Times New Roman" w:hAnsi="Times New Roman" w:eastAsia="宋体"/>
          <w:sz w:val="24"/>
        </w:rPr>
        <w:t>These models are generally classifed as closed source, open weight, or open source. A closed- source model is a proprietary one developed and maintained by a specifc organization, usually a for- proft company, with its source code, data, and archi­ tecture kept confdential. Access to these models is typically restricted through technically enforced usage permissions, such as application program­ ming interfaces, allowing the developers to control the model’s distribution, usage, and updates.</w:t>
      </w:r>
    </w:p>
    <w:p>
      <w:pPr>
        <w:pStyle w:val="DocBody"/>
      </w:pPr>
      <w:r>
        <w:rPr>
          <w:rFonts w:ascii="Times New Roman" w:hAnsi="Times New Roman" w:eastAsia="宋体"/>
          <w:sz w:val="24"/>
        </w:rPr>
        <w:t>Key Developments Foundation Models Foundation models have dominated the conversa­ tion about AI since late 2022. These models are large- scale systems that are trained on vast amounts of diverse data and that can handle a variety of tasks.22 They often contain billions or trillions of parameters, and this vast scale allows them to capture more com­ plex patterns and relationships. (Parameters are the building blocks of a foundation model, with values set during training. Though not directly interpreta­ ble as discrete chunks of knowledge, parameters act like billions of adjustable knobs that collectively guide how the model learns patterns and makes decisions. The most essential part of a parameter is the weights it uses. Weights represent the strength By contrast, an open-source model is one whose code, data, and underlying architecture are publicly accessible, allowing anyone to use, modify, and dis­ tribute it freely. Open-weight models fall in between:</w:t>
      </w:r>
    </w:p>
    <w:p>
      <w:pPr>
        <w:pStyle w:val="DocBody"/>
      </w:pPr>
      <w:r>
        <w:rPr>
          <w:rFonts w:ascii="Times New Roman" w:hAnsi="Times New Roman" w:eastAsia="宋体"/>
          <w:sz w:val="24"/>
        </w:rPr>
        <w:t>Their weights are publicly released, but other com­ ponents, such as training data, are kept confdential.</w:t>
      </w:r>
    </w:p>
    <w:p>
      <w:pPr>
        <w:pStyle w:val="DocBody"/>
      </w:pPr>
      <w:r>
        <w:rPr>
          <w:rFonts w:ascii="Times New Roman" w:hAnsi="Times New Roman" w:eastAsia="宋体"/>
          <w:sz w:val="24"/>
        </w:rPr>
        <w:t>The most well-known type of foundation model is an LLM—a system trained on very large volumes of textual content. LLMs are an example of generative AI, a type of AI that can produce new material based on how it has been trained and the inputs it is given.</w:t>
      </w:r>
    </w:p>
    <w:p>
      <w:pPr>
        <w:pStyle w:val="DocBody"/>
      </w:pPr>
      <w:r>
        <w:rPr>
          <w:rFonts w:ascii="Times New Roman" w:hAnsi="Times New Roman" w:eastAsia="宋体"/>
          <w:sz w:val="24"/>
        </w:rPr>
        <w:t>Models trained on text can generate new text based on a statistical analysis that makes predictions about what other words are likely to be found immediately after the occurrence of certain words.</w:t>
      </w:r>
    </w:p>
    <w:p>
      <w:pPr>
        <w:pStyle w:val="DocBody"/>
      </w:pPr>
      <w:r>
        <w:rPr>
          <w:rFonts w:ascii="Times New Roman" w:hAnsi="Times New Roman" w:eastAsia="宋体"/>
          <w:sz w:val="24"/>
        </w:rPr>
        <w:t>These models do not think or feel like humans do, even though their responses may make it seem like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01  ARTIFICIAL INTELLIGENCE</w:t>
      </w:r>
    </w:p>
    <w:p>
      <w:pPr>
        <w:pStyle w:val="DocBody"/>
      </w:pPr>
      <w:r>
        <w:rPr>
          <w:rFonts w:ascii="Times New Roman" w:hAnsi="Times New Roman" w:eastAsia="宋体"/>
          <w:sz w:val="24"/>
        </w:rPr>
        <w:t>they do. Instead, LLMs use statistical analysis based on training data. For example, because the word sequence “thank you” is far more likely to occur than “thank zebras,” a person’s query to an LLM asking it to draft a thank-you note to a colleague is unlikely to generate the response “thank zebras.”</w:t>
      </w:r>
    </w:p>
    <w:p>
      <w:pPr>
        <w:pStyle w:val="DocBody"/>
      </w:pPr>
      <w:r>
        <w:rPr>
          <w:rFonts w:ascii="Times New Roman" w:hAnsi="Times New Roman" w:eastAsia="宋体"/>
          <w:sz w:val="24"/>
        </w:rPr>
        <w:t>LLMs generate humanlike language across many subjects, producing potentially useful content such as code, poetry, legal summaries, and medical advice. They outperform median human scores on exams in obstetrics and gynecology;24 divergent thinking tests;25 and the LSAT, the GRE, and vari­ ous Advanced Placement exams.26 However, they do not necessarily master the underlying skills that these tests assess and still make errors and fail unex­ pectedly. Developing valid evaluation metrics that accurately capture the true capabilities, limitations, and risks of foundation models remains an open and ongoing research challenge.27 Well-known closed-source LLMs include certain of OpenAI’s models, such as those in the GPT series;</w:t>
      </w:r>
    </w:p>
    <w:p>
      <w:pPr>
        <w:pStyle w:val="DocBody"/>
      </w:pPr>
      <w:r>
        <w:rPr>
          <w:rFonts w:ascii="Times New Roman" w:hAnsi="Times New Roman" w:eastAsia="宋体"/>
          <w:sz w:val="24"/>
        </w:rPr>
        <w:t>Anthropic’s Claude Opus 4.1; and Google’s Gemini 2.5 Pro. Well-known open-source or open-weight LLMs include Meta’s Llama 4, Google’s Gemma 2, and Cohere’s Command R.</w:t>
      </w:r>
    </w:p>
    <w:p>
      <w:pPr>
        <w:pStyle w:val="DocBody"/>
      </w:pPr>
      <w:r>
        <w:rPr>
          <w:rFonts w:ascii="Times New Roman" w:hAnsi="Times New Roman" w:eastAsia="宋体"/>
          <w:sz w:val="24"/>
        </w:rPr>
        <w:t>Specialized foundation models have also been developed in other modalities such as images, audio, and video.</w:t>
      </w:r>
    </w:p>
    <w:p>
      <w:pPr>
        <w:pStyle w:val="DocBody"/>
      </w:pPr>
      <w:r>
        <w:rPr>
          <w:rFonts w:ascii="Times New Roman" w:hAnsi="Times New Roman" w:eastAsia="宋体"/>
          <w:sz w:val="24"/>
        </w:rPr>
        <w:t>Foundation models for images are able to gen­ ° erate new images based on a user’s text input.</w:t>
      </w:r>
    </w:p>
    <w:p>
      <w:pPr>
        <w:pStyle w:val="DocBody"/>
      </w:pPr>
      <w:r>
        <w:rPr>
          <w:rFonts w:ascii="Times New Roman" w:hAnsi="Times New Roman" w:eastAsia="宋体"/>
          <w:sz w:val="24"/>
        </w:rPr>
        <w:t>Novel methods for handling images, combined with the use of very large collections of pic­ tures and text for training, have led to models that can turn written descriptions into images that are quickly becoming comparable to—and sometimes indistinguishable from—real-life photographs and artwork created by humans.</w:t>
      </w:r>
    </w:p>
    <w:p>
      <w:pPr>
        <w:pStyle w:val="DocBody"/>
      </w:pPr>
      <w:r>
        <w:rPr>
          <w:rFonts w:ascii="Times New Roman" w:hAnsi="Times New Roman" w:eastAsia="宋体"/>
          <w:sz w:val="24"/>
        </w:rPr>
        <w:t>Examples include OpenAI’s DALL-E 3, the open- source Stable Diffusion, Google’s Imagen, Adobe Firefy, and Meta’s Make-A-Scene.</w:t>
      </w:r>
    </w:p>
    <w:p>
      <w:pPr>
        <w:pStyle w:val="DocBody"/>
      </w:pPr>
      <w:r>
        <w:rPr>
          <w:rFonts w:ascii="Times New Roman" w:hAnsi="Times New Roman" w:eastAsia="宋体"/>
          <w:sz w:val="24"/>
        </w:rPr>
        <w:t>An example of a foundation model for audio is ° UniAudio, which handles all audio types and employs predictive algorithms to generate high-quality speech, sound, and music, surpassing leading methods in tasks such as text to speech, speech enhancement, and voice conversion.</w:t>
      </w:r>
    </w:p>
    <w:p>
      <w:pPr>
        <w:pStyle w:val="DocBody"/>
      </w:pPr>
      <w:r>
        <w:rPr>
          <w:rFonts w:ascii="Times New Roman" w:hAnsi="Times New Roman" w:eastAsia="宋体"/>
          <w:sz w:val="24"/>
        </w:rPr>
        <w:t>Foundation models in video such as Meta’s Emu ° Video and OpenAI’s Sora represent a signifcant advancement in video generation. Emu frst gen­ erates an image from a text input and then creates a video based on both the text and the generated image. Sora also enables the user to turn exist­ ing images into videos while also editing videos through textual input.</w:t>
      </w:r>
    </w:p>
    <w:p>
      <w:pPr>
        <w:pStyle w:val="DocBody"/>
      </w:pPr>
      <w:r>
        <w:rPr>
          <w:rFonts w:ascii="Times New Roman" w:hAnsi="Times New Roman" w:eastAsia="宋体"/>
          <w:sz w:val="24"/>
        </w:rPr>
        <w:t>Multimodal Models AI systems that incorporate multiple modali­ ties—text, images, and sound—within single models are becoming increasingly popular. This multimodal approach, shown in fgure 1.1, aims to create more humanlike experiences by leveraging various senses such as sight, speech, and hearing to mirror how humans interact with the world.</w:t>
      </w:r>
    </w:p>
    <w:p>
      <w:pPr>
        <w:pStyle w:val="DocBody"/>
      </w:pPr>
      <w:r>
        <w:rPr>
          <w:rFonts w:ascii="Times New Roman" w:hAnsi="Times New Roman" w:eastAsia="宋体"/>
          <w:sz w:val="24"/>
        </w:rPr>
        <w:t>Multimodal AI systems have diverse applications across sectors. They can enhance accessibility for people with disabilities through real-time transcrip­ tion, sign language translation, and detailed image descriptions. They can also eliminate language bar­ riers via cost-effective, near-real-time translation services. In education, multimodal AI can support personalized learning by adapting content to vari­ ous formats and learner types, improving engage­ ment and comprehension.</w:t>
      </w:r>
    </w:p>
    <w:p>
      <w:pPr>
        <w:pStyle w:val="DocBody"/>
      </w:pPr>
      <w:r>
        <w:rPr>
          <w:rFonts w:ascii="Times New Roman" w:hAnsi="Times New Roman" w:eastAsia="宋体"/>
          <w:sz w:val="24"/>
        </w:rPr>
        <w:t>When integrated with virtual and augmented reality, AI can create immersive, highly realistic training envi­ ronments that are particularly valuable in felds like healthcare. The advent of multimodal AI is also set to further transform human–computer interactions, enabling more intuitive communication and expand­ ing the range of tasks that AI systems can handle.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Limitations and Risks of Current AI Systems Potential positive impacts of AI will likely come from societal applications. But no technology is an unal­ loyed good. Negative impacts are expected both from current AI limitations and future advances. Key issues include the following:</w:t>
      </w:r>
    </w:p>
    <w:p>
      <w:pPr>
        <w:pStyle w:val="DocBody"/>
      </w:pPr>
      <w:r>
        <w:rPr>
          <w:rFonts w:ascii="Times New Roman" w:hAnsi="Times New Roman" w:eastAsia="宋体"/>
          <w:sz w:val="24"/>
        </w:rPr>
        <w:t>Explainability AI systems generally cannot ° explain their reasoning or data sources. While explanations aren’t always needed, in critical domains, like medical decision making, they are essential for user confdence and trust.</w:t>
      </w:r>
    </w:p>
    <w:p>
      <w:pPr>
        <w:pStyle w:val="DocBody"/>
      </w:pPr>
      <w:r>
        <w:rPr>
          <w:rFonts w:ascii="Times New Roman" w:hAnsi="Times New Roman" w:eastAsia="宋体"/>
          <w:sz w:val="24"/>
        </w:rPr>
        <w:t>Bias and fairness Models trained on biased ° datasets reproduce those biases. For example, a facial recognition system trained mainly on one ethnic group may perform poorly on others, likely leading to disproportionate harms.28 Because data refects historical inequities, models inevita­ bly embed them, too.</w:t>
      </w:r>
    </w:p>
    <w:p>
      <w:pPr>
        <w:pStyle w:val="DocBody"/>
      </w:pPr>
      <w:r>
        <w:rPr>
          <w:rFonts w:ascii="Times New Roman" w:hAnsi="Times New Roman" w:eastAsia="宋体"/>
          <w:sz w:val="24"/>
        </w:rPr>
        <w:t>Vulnerability to attacks Small changes to data ° or inputs can trick AI into false conclusions. For example, small changes, invisible to the naked eye, made to the individual pixels of a stop sign image can cause an AI to classify it as a yield sign.29 (Chapter 3, on cryptography and computer security, discusses this point in greater detail.) This could prove particularly dangerous for systems used in medicine or the military. Newer models (e.g., multimodal models and agents, covered later in this chapter) expand possible attack vectors.</w:t>
      </w:r>
    </w:p>
    <w:p>
      <w:pPr>
        <w:pStyle w:val="DocBody"/>
      </w:pPr>
      <w:r>
        <w:rPr>
          <w:rFonts w:ascii="Times New Roman" w:hAnsi="Times New Roman" w:eastAsia="宋体"/>
          <w:sz w:val="24"/>
        </w:rPr>
        <w:t>Deepfakes AI provides the capability for gener­ ° ating highly realistic but entirely inauthentic audio and video imagery. This has obvious implications for evidence presented in courtrooms and for efforts to manipulate political contests. However, despite widespread concerns expressed in 2024 about the potential effects of deepfakes on elec­ tions, fake audio, images, and videos did not play as transformative or disruptive a role as feared in the 2024 US elections.30 Of particular interest is the observation that traditional “cheap fakes”— relatively crude attempts made by manipulating videos and other content—were more prevalent than AI-generated deepfakes. Nevertheless, concerns remain about the potential impact on future democratic processes as the sophistication and usage of AI-generated deepfakes increase.</w:t>
      </w:r>
    </w:p>
    <w:p>
      <w:pPr>
        <w:pStyle w:val="DocBody"/>
      </w:pPr>
      <w:r>
        <w:rPr>
          <w:rFonts w:ascii="Times New Roman" w:hAnsi="Times New Roman" w:eastAsia="宋体"/>
          <w:sz w:val="24"/>
        </w:rPr>
        <w:t>FIGURE 1.1  Multimodal AI systems can transform one type of input into a different type of output Single-modal AI model Input Process Output AI Text Text Multimodal AI model Input Process Output Text AI Image Sound Video Text Images Sounds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01  ARTIFICIAL INTELLIGENCE</w:t>
      </w:r>
    </w:p>
    <w:p>
      <w:pPr>
        <w:pStyle w:val="DocBody"/>
      </w:pPr>
      <w:r>
        <w:rPr>
          <w:rFonts w:ascii="Times New Roman" w:hAnsi="Times New Roman" w:eastAsia="宋体"/>
          <w:sz w:val="24"/>
        </w:rPr>
        <w:t>AI agents ideally operate by executing tasks with minimal human input and oversight. . . . Yet, from a technical standpoint, present-day [agents] face major limitations.</w:t>
      </w:r>
    </w:p>
    <w:p>
      <w:pPr>
        <w:pStyle w:val="DocBody"/>
      </w:pPr>
      <w:r>
        <w:rPr>
          <w:rFonts w:ascii="Times New Roman" w:hAnsi="Times New Roman" w:eastAsia="宋体"/>
          <w:sz w:val="24"/>
        </w:rPr>
        <w:t>Privacy Many LLMs are trained on vast amounts ° of internet data, often without careful fltering, and such data can include individuals’ personal information. Once incorporated into training datasets, this information may be reproduced or disclosed by the model. Additionally, as AI han­ dles sensitive tasks like mental health support, privacy concerns will grow.</w:t>
      </w:r>
    </w:p>
    <w:p>
      <w:pPr>
        <w:pStyle w:val="DocBody"/>
      </w:pPr>
      <w:r>
        <w:rPr>
          <w:rFonts w:ascii="Times New Roman" w:hAnsi="Times New Roman" w:eastAsia="宋体"/>
          <w:sz w:val="24"/>
        </w:rPr>
        <w:t>Overtrust and overreliance Familiarity increases ° user trust, but people may become too compla­ cent when employing AI tools. For example, a recent study showed that developers who used AI coding assistants wrote less secure code—yet they believed that what they were producing was more secure.31 Hallucinations Hallucinations occur whenever ° models generate plausible but false outputs, leaving users unaware that the outputs are fab­ ricated. In September 2024, a Stanford profes­ sor asked an AI to list ten of her publications. It returned fve real publications and fve invented ones, complete with convincing titles and sum­ maries. When she fagged the errors as halluci­ nations, the model simply produced two new fabricated results.</w:t>
      </w:r>
    </w:p>
    <w:p>
      <w:pPr>
        <w:pStyle w:val="DocBody"/>
      </w:pPr>
      <w:r>
        <w:rPr>
          <w:rFonts w:ascii="Times New Roman" w:hAnsi="Times New Roman" w:eastAsia="宋体"/>
          <w:sz w:val="24"/>
        </w:rPr>
        <w:t>Researchers are aware of these problems and are working on fxes, but solutions often don’t general­ ize beyond specifc cases.</w:t>
      </w:r>
    </w:p>
    <w:p>
      <w:pPr>
        <w:pStyle w:val="DocBody"/>
      </w:pPr>
      <w:r>
        <w:rPr>
          <w:rFonts w:ascii="Times New Roman" w:hAnsi="Times New Roman" w:eastAsia="宋体"/>
          <w:sz w:val="24"/>
        </w:rPr>
        <w:t>Over the Horizon AI Agents AI agents ideally operate by executing tasks with min­ imal human input and oversight, such as setting peo­ ple’s daily agendas and coordinating software tools.</w:t>
      </w:r>
    </w:p>
    <w:p>
      <w:pPr>
        <w:pStyle w:val="DocBody"/>
      </w:pPr>
      <w:r>
        <w:rPr>
          <w:rFonts w:ascii="Times New Roman" w:hAnsi="Times New Roman" w:eastAsia="宋体"/>
          <w:sz w:val="24"/>
        </w:rPr>
        <w:t>Such agents are gaining traction in activities within enterprises such as customer service and invoice pro­ cessing. OpenAI’s strategy for ChatGPT involves it becoming a “super assistant” that handles everyday tasks such as drafting emails, offering medical advice, and managing fnances.32 Yet, from a technical stand­ point, present-day AI agents face major limitations.</w:t>
      </w:r>
    </w:p>
    <w:p>
      <w:pPr>
        <w:pStyle w:val="DocBody"/>
      </w:pPr>
      <w:r>
        <w:rPr>
          <w:rFonts w:ascii="Times New Roman" w:hAnsi="Times New Roman" w:eastAsia="宋体"/>
          <w:sz w:val="24"/>
        </w:rPr>
        <w:t>Memory The basic unit that an LLM reads and ° generates to process text—whether a whole word, part of a word, or punctuation—is known as a token. For AI agents to be effective, they need to remember things, such as when a meeting was scheduled in a previous session. An agent’s memory is limited by context length, which is the maximum number of input and output tokens the system can handle at any one time. Although the context length of top systems has expanded dramatically in recent years, it is still not enough to remember all the details needed to execute many multistep tasks, especially across different sessions. Efforts to increase cross-session memory and enhance long-term storage are still nascent.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Reliability Even with adequate memory, agents ° can suffer from goal drift, infnite loops, and resource exhaustion, which undermine their use­ fulness in real-world settings.</w:t>
      </w:r>
    </w:p>
    <w:p>
      <w:pPr>
        <w:pStyle w:val="DocBody"/>
      </w:pPr>
      <w:r>
        <w:rPr>
          <w:rFonts w:ascii="Times New Roman" w:hAnsi="Times New Roman" w:eastAsia="宋体"/>
          <w:sz w:val="24"/>
        </w:rPr>
        <w:t>– Goal drift occurs when an AI agent fails to con­ sistently pursue its original objective during task execution and instead begins to focus on less relevant objectives, which can result in undesired behavior or outcomes.</w:t>
      </w:r>
    </w:p>
    <w:p>
      <w:pPr>
        <w:pStyle w:val="DocBody"/>
      </w:pPr>
      <w:r>
        <w:rPr>
          <w:rFonts w:ascii="Times New Roman" w:hAnsi="Times New Roman" w:eastAsia="宋体"/>
          <w:sz w:val="24"/>
        </w:rPr>
        <w:t>– Infnite loops occur when an agent “gets stuck,”</w:t>
      </w:r>
    </w:p>
    <w:p>
      <w:pPr>
        <w:pStyle w:val="DocBody"/>
      </w:pPr>
      <w:r>
        <w:rPr>
          <w:rFonts w:ascii="Times New Roman" w:hAnsi="Times New Roman" w:eastAsia="宋体"/>
          <w:sz w:val="24"/>
        </w:rPr>
        <w:t>repeatedly performing the same actions or rea­ soning steps without making progress toward its goal.</w:t>
      </w:r>
    </w:p>
    <w:p>
      <w:pPr>
        <w:pStyle w:val="DocBody"/>
      </w:pPr>
      <w:r>
        <w:rPr>
          <w:rFonts w:ascii="Times New Roman" w:hAnsi="Times New Roman" w:eastAsia="宋体"/>
          <w:sz w:val="24"/>
        </w:rPr>
        <w:t>– Resource exhaustion happens when an agent consumes excessive computational or memory resources due to complex processing, repeated retries, or ineffective algorithms, resulting in degraded performance or system failure.</w:t>
      </w:r>
    </w:p>
    <w:p>
      <w:pPr>
        <w:pStyle w:val="DocBody"/>
      </w:pPr>
      <w:r>
        <w:rPr>
          <w:rFonts w:ascii="Times New Roman" w:hAnsi="Times New Roman" w:eastAsia="宋体"/>
          <w:sz w:val="24"/>
        </w:rPr>
        <w:t>Interoperability Most agents cannot seam­ ° lessly communicate with other agents or external systems. However, in November 2024, the Model Context Protocol (MCP), an open standard for secure, effcient agent-to-system integration, was introduced by Anthropic; since then, it has been adopted by OpenAI, Google DeepMind, Microsoft, and others. The MCP provides a universal interface for an agent to read fles, execute functions, handle contextual prompts, and connect with external tools, data sources, and applications, enabling AI agents to access real-time data and perform actions beyond their training data.</w:t>
      </w:r>
    </w:p>
    <w:p>
      <w:pPr>
        <w:pStyle w:val="DocBody"/>
      </w:pPr>
      <w:r>
        <w:rPr>
          <w:rFonts w:ascii="Times New Roman" w:hAnsi="Times New Roman" w:eastAsia="宋体"/>
          <w:sz w:val="24"/>
        </w:rPr>
        <w:t>Effciency, Specialization, and Synthetic Data Progress in AI is shifting from building ever more resource-intensive models to using resources more effciently. For example, because of limited supplies of real data, synthetic data is increasingly used.</w:t>
      </w:r>
    </w:p>
    <w:p>
      <w:pPr>
        <w:pStyle w:val="DocBody"/>
      </w:pPr>
      <w:r>
        <w:rPr>
          <w:rFonts w:ascii="Times New Roman" w:hAnsi="Times New Roman" w:eastAsia="宋体"/>
          <w:sz w:val="24"/>
        </w:rPr>
        <w:t>(In this context, synthetic data is artifcially gener­ ated data that are designed to mimic the statistical properties and patterns of real-world data. However, such data do not themselves reveal anything real about the world.)</w:t>
      </w:r>
    </w:p>
    <w:p>
      <w:pPr>
        <w:pStyle w:val="DocBody"/>
      </w:pPr>
      <w:r>
        <w:rPr>
          <w:rFonts w:ascii="Times New Roman" w:hAnsi="Times New Roman" w:eastAsia="宋体"/>
          <w:sz w:val="24"/>
        </w:rPr>
        <w:t>In addition, because large models consume signif­ cant amounts of energy, AI engineers are focusing on models that can be constructed with fewer computa­ tional resources. For example, one approach is to do individual calculations at a lower level of precision (that is, using fewer bits to represent a number), thus reducing the volume of data processed and memory used. Individual calculations are therefore less accu­ rate, but the model is trained using a huge number of calculations on different though similar data; aver­ aging over many such calculations can compensate for the loss of accuracy in individual ones. A variety of other approaches also rely on eliminating parts of model training that may be unnecessary or redun­ dant for a given purpose.</w:t>
      </w:r>
    </w:p>
    <w:p>
      <w:pPr>
        <w:pStyle w:val="DocBody"/>
      </w:pPr>
      <w:r>
        <w:rPr>
          <w:rFonts w:ascii="Times New Roman" w:hAnsi="Times New Roman" w:eastAsia="宋体"/>
          <w:sz w:val="24"/>
        </w:rPr>
        <w:t>Future AI gains will increasingly depend not just on large compute capacity and large amounts of data but also on domain-specifc data and effciency- focused innovations. Quantum computing (discussed in chapter 7, on quantum technologies) may lower the requirements of ML for energy and compute, although it is unclear whether such enhancements are within reach of current technologies.33 Embodied AI Embodied AI means AI that is able to sense and act in the real world (e.g., through its integration into robots or other physical devices). This has the poten­ tial to enhance robotic capabilities and expand the range of interactions robots have with the physi­ cal world. Systems combining robots and AI could potentially address knowledge tasks, physical tasks, or combinations of both. (This topic is explored further in chapter 8, on robotics.) As research pro­ gresses in AI autonomy and reasoning, embodied AI systems may be able to handle increasingly complex tasks with greater independence. This could lead to applications in various felds such as logistics and domestic assistance.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01  ARTIFICIAL INTELLIGENCE</w:t>
      </w:r>
    </w:p>
    <w:p>
      <w:pPr>
        <w:pStyle w:val="DocBody"/>
      </w:pPr>
      <w:r>
        <w:rPr>
          <w:rFonts w:ascii="Times New Roman" w:hAnsi="Times New Roman" w:eastAsia="宋体"/>
          <w:sz w:val="24"/>
        </w:rPr>
        <w:t>Policy Issues The Future of Work Within fve to ten years, more workers will have AI integrated into their workfows or will have their jobs replaced entirely by AI systems, a potential disrup­ tion to the job market.34 LLMs have already shown they are sometimes useful in felds like law, customer support, coding, and journalism. These develop­ ments raise concerns about AI’s signifcant impact on many knowledge-based jobs and employment overall. However, uncertainty abounds. What and how many present-day jobs will disappear? Which tasks could best be handled by AI? And what new jobs might be created by the technology today and in the future?</w:t>
      </w:r>
    </w:p>
    <w:p>
      <w:pPr>
        <w:pStyle w:val="DocBody"/>
      </w:pPr>
      <w:r>
        <w:rPr>
          <w:rFonts w:ascii="Times New Roman" w:hAnsi="Times New Roman" w:eastAsia="宋体"/>
          <w:sz w:val="24"/>
        </w:rPr>
        <w:t>Some broad outlines and trends are clear.</w:t>
      </w:r>
    </w:p>
    <w:p>
      <w:pPr>
        <w:pStyle w:val="DocBody"/>
      </w:pPr>
      <w:r>
        <w:rPr>
          <w:rFonts w:ascii="Times New Roman" w:hAnsi="Times New Roman" w:eastAsia="宋体"/>
          <w:sz w:val="24"/>
        </w:rPr>
        <w:t>Individuals whose jobs entail routine white-collar ° work may be more affected than those whose jobs require physical labor; some will experience painful shifts in the short term.35 AI is helping some workers to increase their ° productivity and job satisfaction.36 At the same time, other workers are already losing their jobs as AI demonstrates some competence for busi­ ness operations—despite potentially underper­ forming the humans it replaces.37 In some cases, companies are deciding that the cost savings of eliminating human workers outweigh the draw­ backs of mediocre AI performance.</w:t>
      </w:r>
    </w:p>
    <w:p>
      <w:pPr>
        <w:pStyle w:val="DocBody"/>
      </w:pPr>
      <w:r>
        <w:rPr>
          <w:rFonts w:ascii="Times New Roman" w:hAnsi="Times New Roman" w:eastAsia="宋体"/>
          <w:sz w:val="24"/>
        </w:rPr>
        <w:t>Training displaced workers to be more compet­ ° itive in an AI-enabled economy does not solve the problem if new jobs are not available. The nature and extent of new roles resulting from widespread AI deployment are not clear at this point. However, historically, the introduction of new technologies has not resulted in a long-term net loss of jobs.38 Governance and Regulation of AI Governments around the world have been increas­ ingly focused on establishing regulations and guide­ lines for AI.</w:t>
      </w:r>
    </w:p>
    <w:p>
      <w:pPr>
        <w:pStyle w:val="DocBody"/>
      </w:pPr>
      <w:r>
        <w:rPr>
          <w:rFonts w:ascii="Times New Roman" w:hAnsi="Times New Roman" w:eastAsia="宋体"/>
          <w:sz w:val="24"/>
        </w:rPr>
        <w:t>In the United States, the Trump administration revoked the Biden administration’s Executive Order (EO) 14110, Safe, Secure, and Trustworthy Devel­ opment and Use of Artifcial Intelligence. It subse­ quently issued a new EO titled Removing Barriers to American Leadership in Artifcial Intelligence, aiming to promote AI innovation and leadership by eliminat­ ing the restrictions and requirements on AI contained in EO 14110. In August 2025, the administration launched America’s AI Action Plan, which outlines a policy road map to “accelerate innovation, build American AI infrastructure, and lead in international diplomacy and security.”39 This plan faces challenges, especially regarding alignment with concurrent pro­ posals to scale back broader scientifc research funding.</w:t>
      </w:r>
    </w:p>
    <w:p>
      <w:pPr>
        <w:pStyle w:val="DocBody"/>
      </w:pPr>
      <w:r>
        <w:rPr>
          <w:rFonts w:ascii="Times New Roman" w:hAnsi="Times New Roman" w:eastAsia="宋体"/>
          <w:sz w:val="24"/>
        </w:rPr>
        <w:t>In addition, friction between state and federal approaches to AI governance is growing. States are experimenting with their own AI legislation, often proposing requirements that go well beyond federal guidance. Advocates view this “policy laboratory”</w:t>
      </w:r>
    </w:p>
    <w:p>
      <w:pPr>
        <w:pStyle w:val="DocBody"/>
      </w:pPr>
      <w:r>
        <w:rPr>
          <w:rFonts w:ascii="Times New Roman" w:hAnsi="Times New Roman" w:eastAsia="宋体"/>
          <w:sz w:val="24"/>
        </w:rPr>
        <w:t>approach as essential for innovation in governance;</w:t>
      </w:r>
    </w:p>
    <w:p>
      <w:pPr>
        <w:pStyle w:val="DocBody"/>
      </w:pPr>
      <w:r>
        <w:rPr>
          <w:rFonts w:ascii="Times New Roman" w:hAnsi="Times New Roman" w:eastAsia="宋体"/>
          <w:sz w:val="24"/>
        </w:rPr>
        <w:t>critics warn it creates a fragmented compliance land­ scape that hampers interstate commerce. Recent state action, as described in table 1.1, underscores the emerging rule-making patchwork.</w:t>
      </w:r>
    </w:p>
    <w:p>
      <w:pPr>
        <w:pStyle w:val="DocBody"/>
      </w:pPr>
      <w:r>
        <w:rPr>
          <w:rFonts w:ascii="Times New Roman" w:hAnsi="Times New Roman" w:eastAsia="宋体"/>
          <w:sz w:val="24"/>
        </w:rPr>
        <w:t>In the European Union, the most ambitious attempts to regulate AI came into force in August 2024 with the EU Artifcial Intelligence Act. The act forbids cer­ tain applications of AI, such as individual predictive policing based solely on a person’s data profle or tracking of their emotional state in the workplace and educational institutions, unless for medical or safety reasons.40 Additionally, it imposes a number of requirements on high-risk AI systems and foundation models, addressing transparency and explainability, human oversight, cybersecurity, and robustness.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TABLE 1.1  Selected states’ actions regarding AI legislation State Legislation Key provisions Colorado Senate Bill 24-205 (Colorado AI Act)</w:t>
      </w:r>
    </w:p>
    <w:p>
      <w:pPr>
        <w:pStyle w:val="DocBody"/>
      </w:pPr>
      <w:r>
        <w:rPr>
          <w:rFonts w:ascii="Times New Roman" w:hAnsi="Times New Roman" w:eastAsia="宋体"/>
          <w:sz w:val="24"/>
        </w:rPr>
        <w:t>Texas Texas Responsible Artifcial Intelligence Governance Act California Multiple AI bills (15+), including Assembly Bill 2013 Mandates duties on developers and deployers of “high-risk”</w:t>
      </w:r>
    </w:p>
    <w:p>
      <w:pPr>
        <w:pStyle w:val="DocBody"/>
      </w:pPr>
      <w:r>
        <w:rPr>
          <w:rFonts w:ascii="Times New Roman" w:hAnsi="Times New Roman" w:eastAsia="宋体"/>
          <w:sz w:val="24"/>
        </w:rPr>
        <w:t>AI systems to prevent algorithmic discrimination Prohibits AI systems used for behavioral manipulation, discrimination, or deployment of deepfakes Targets generative AI systems and requires training data disclosure for AI systems used by Californians To help operationalize these rules, the European AI Offce oversaw one of the earliest and most formalized multi-stakeholder consultations in AI policy to date: the General-Purpose AI (GPAI) Code of Practice. Developed by thirteen independent experts with input from nearly one thousand partici­ pants across member states, academia, civil society, and industry, the code supplements the EU AI Act by offering detailed provisions on transparency, copy­ right, and safety and security—giving foundation model developers a recognized pathway to meeting certain requirements of the EU AI Act with greater legal clarity and reduced enforcement risk.</w:t>
      </w:r>
    </w:p>
    <w:p>
      <w:pPr>
        <w:pStyle w:val="DocBody"/>
      </w:pPr>
      <w:r>
        <w:rPr>
          <w:rFonts w:ascii="Times New Roman" w:hAnsi="Times New Roman" w:eastAsia="宋体"/>
          <w:sz w:val="24"/>
        </w:rPr>
        <w:t>Other important international AI governance developments include the AI Summit series. The frst AI Safety Summit, held in November 2023 at Bletchley Park in the United Kingdom,41 issued the Bletchley Declaration. In it, the European Union and twenty-eight nations collectively endorsed inter­ national cooperation to manage risks associated with highly capable general-purpose AI models.</w:t>
      </w:r>
    </w:p>
    <w:p>
      <w:pPr>
        <w:pStyle w:val="DocBody"/>
      </w:pPr>
      <w:r>
        <w:rPr>
          <w:rFonts w:ascii="Times New Roman" w:hAnsi="Times New Roman" w:eastAsia="宋体"/>
          <w:sz w:val="24"/>
        </w:rPr>
        <w:t>The summit also led to the establishment of the United Kingdom’s AI Safety Institute (now the UK AI Security Institute) and the US AI Safety Institute (now the Center for AI Standards and Innovation), located within the National Institute of Standards and Technology. Similar institutions have since been established in a number of other countries, includ­ ing Japan, Singapore, South Korea, Canada, France, Kenya, Australia, and the European Union.</w:t>
      </w:r>
    </w:p>
    <w:p>
      <w:pPr>
        <w:pStyle w:val="DocBody"/>
      </w:pPr>
      <w:r>
        <w:rPr>
          <w:rFonts w:ascii="Times New Roman" w:hAnsi="Times New Roman" w:eastAsia="宋体"/>
          <w:sz w:val="24"/>
        </w:rPr>
        <w:t>The Seoul Declaration, from the AI Seoul Summit 2024, built on the Bletchley Declaration to acknowl­ edge the importance of interoperability between national AI governance frameworks to maximize benefts and minimize risks from advanced AI sys­ tems. In contrast, the 2025 Artifcial Intelligence Action Summit, in France, marked a notable shift from the safety-oriented tone of earlier gatherings, placing greater emphasis on accelerating innovation and industrial adoption of AI.</w:t>
      </w:r>
    </w:p>
    <w:p>
      <w:pPr>
        <w:pStyle w:val="DocBody"/>
      </w:pPr>
      <w:r>
        <w:rPr>
          <w:rFonts w:ascii="Times New Roman" w:hAnsi="Times New Roman" w:eastAsia="宋体"/>
          <w:sz w:val="24"/>
        </w:rPr>
        <w:t>National Security and Geopolitics The intensifying technological race between the United States and China regarding AI is entering a new phase. While the United States continues to push the technical frontier with increasingly capable models, China is aggressively diffusing existing AI capabilities across every sector—from education to manufacturing to governance—aiming to lock in large-scale network advantages at home and abroad. China’s open-source model releases, such as DeepSeek, further challenge America’s frontier status, accelerate global adoption, and undermine US containment efforts.</w:t>
      </w:r>
    </w:p>
    <w:p>
      <w:pPr>
        <w:pStyle w:val="DocBody"/>
      </w:pPr>
      <w:r>
        <w:rPr>
          <w:rFonts w:ascii="Times New Roman" w:hAnsi="Times New Roman" w:eastAsia="宋体"/>
          <w:sz w:val="24"/>
        </w:rPr>
        <w:t>Infrastructure—especially compute capacity—has become a critical, strategic global resource that is vital to remaining competitive in economic, mili­ tary, cyber, and intelligence domains. For example, countries like Canada and the United Kingdom have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01  ARTIFICIAL INTELLIGENCE</w:t>
      </w:r>
    </w:p>
    <w:p>
      <w:pPr>
        <w:pStyle w:val="DocBody"/>
      </w:pPr>
      <w:r>
        <w:rPr>
          <w:rFonts w:ascii="Times New Roman" w:hAnsi="Times New Roman" w:eastAsia="宋体"/>
          <w:sz w:val="24"/>
        </w:rPr>
        <w:t>announced major compute infrastructure projects.42 In the United States, the privately funded Stargate AI infrastructure initiative was launched in January 2025. First reports suggested this would invest as much as $500 billion over the next few years, although a more recent report suggests a scaling back of initial objectives.43 The United States also began piloting the National ArtifciaI Intelligence Research Resource (NAIRR) in January 2024. Supported by the Trump administra­ tion, NAIRR is a federally backed initiative to give aca­ demics and civil-society researchers shared access to advanced compute, high-quality data, and AI tools. However, it is noteworthy that investments for AI from high-tech companies exceeded $27 billion in 2023 alone. This fgure is far larger than the $2.6  billion authorized for appropriation over six years for NAIRR under the Creating Resources for Every American To Experiment with Artifcial Intelligence (CREATE AI) Act of 2025.</w:t>
      </w:r>
    </w:p>
    <w:p>
      <w:pPr>
        <w:pStyle w:val="DocBody"/>
      </w:pPr>
      <w:r>
        <w:rPr>
          <w:rFonts w:ascii="Times New Roman" w:hAnsi="Times New Roman" w:eastAsia="宋体"/>
          <w:sz w:val="24"/>
        </w:rPr>
        <w:t>Export Controls Export controls are often used to slow the advances of rivals, but open-source diffusion and break­ throughs in compute-effcient training may erode their impact. This leaves policymakers with a strate­ gic choice: focus on restraining competitors through export controls, or accelerate domestic innovation and the global adoption of domestic products—or attempt both simultaneously. Under the Biden administration, and initially under the Trump admin­ istration, the United States has taken the export control route. However, in August 2025 reports sug­ gested a shift, with President Trump and Chinese President Xi Jinping considering an arrangement allowing US chipmakers Nvidia and AMD (Advanced Micro Devices) to sell certain chips to China in exchange for a 15 percent revenue share to the US government.44 Use in the Military AI is expected to have a profound impact on militar­ ies worldwide.45 Weapons systems, command and control, logistics, acquisition, and training will all seek to leverage AI to operate more effectively and effciently, at lower cost and with less risk to friendly forces. Trying to overcome decades of institutional inertia, the US Department of Defense is dedicat­ ing billions of dollars to institutional reforms and research advances aimed at integrating AI into its warfghting and war preparation strategies. Senior military offcials are concerned that failure to adapt to the emerging opportunities and challenges pre­ sented by AI would pose signifcant national security risks, particularly considering that both Russia and China are investing heavily in AI capabilities.</w:t>
      </w:r>
    </w:p>
    <w:p>
      <w:pPr>
        <w:pStyle w:val="DocBody"/>
      </w:pPr>
      <w:r>
        <w:rPr>
          <w:rFonts w:ascii="Times New Roman" w:hAnsi="Times New Roman" w:eastAsia="宋体"/>
          <w:sz w:val="24"/>
        </w:rPr>
        <w:t>Talent The United States is eating its seed corn with respect to the AI talent pool. Faculty at Stanford and other universities report that the number of students study­ ing in AI who are joining industry, particularly start­ ups, is increasing at the expense of those pursuing academic careers and contributing to foundational AI The resources needed to train GPT-4 far exceed those available through grants or any other sources to any reasonably sized group of the top US research universities.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1.2  Most new AI PhDs hired in North America are flocking to industry Employment of new AI PhDs (% of total) in the United States and Canada by sector, 2010–22 New AI PhD graduates (% of total)</w:t>
      </w:r>
    </w:p>
    <w:p>
      <w:pPr>
        <w:pStyle w:val="DocBody"/>
      </w:pPr>
      <w:r>
        <w:rPr>
          <w:rFonts w:ascii="Times New Roman" w:hAnsi="Times New Roman" w:eastAsia="宋体"/>
          <w:sz w:val="24"/>
        </w:rPr>
        <w:t>70% 60% 50% 40% 30% 20% 10% 0% Industry Academia Government 70.71% 19.95% 0.76% Source: Adapted from Nestor Maslej, Loredana Fattorini, Raymond Perrault, et al., The AI Index 2024 Annual Report, AI Index Steering Committee, Institute for Human-Centered AI, Stanford University, Stanford, CA, April 2024. Data from CRA Taulbee Survey, 2023 research. The United States is thus experiencing an AI “brain drain” that does not favor the US research enterprise or its innovation capacity (fgure 1.2).</w:t>
      </w:r>
    </w:p>
    <w:p>
      <w:pPr>
        <w:pStyle w:val="DocBody"/>
      </w:pPr>
      <w:r>
        <w:rPr>
          <w:rFonts w:ascii="Times New Roman" w:hAnsi="Times New Roman" w:eastAsia="宋体"/>
          <w:sz w:val="24"/>
        </w:rPr>
        <w:t>Many factors are contributing to this trend. One is that industry careers offer compensation far exceed­ ing academic packages. Academic researchers must also secure money for equipment, compute, and staff, often relying on government funding that is typically small compared to what large companies might be willing to invest in their own researchers.</w:t>
      </w:r>
    </w:p>
    <w:p>
      <w:pPr>
        <w:pStyle w:val="DocBody"/>
      </w:pPr>
      <w:r>
        <w:rPr>
          <w:rFonts w:ascii="Times New Roman" w:hAnsi="Times New Roman" w:eastAsia="宋体"/>
          <w:sz w:val="24"/>
        </w:rPr>
        <w:t>Consider, for example, that the resources needed to build and train GPT-4 far exceed those available through grants or any other sources to any reason­ ably sized group of the top US research universities, let alone any single university. This gap is exacer­ bated by recent cuts in federal research funding.</w:t>
      </w:r>
    </w:p>
    <w:p>
      <w:pPr>
        <w:pStyle w:val="DocBody"/>
      </w:pPr>
      <w:r>
        <w:rPr>
          <w:rFonts w:ascii="Times New Roman" w:hAnsi="Times New Roman" w:eastAsia="宋体"/>
          <w:sz w:val="24"/>
        </w:rPr>
        <w:t>Industry often makes decisions more rapidly than government grant makers and imposes fewer regu­ lations on the conduct of research. Large companies are also at an advantage because they have research- supporting infrastructure in place, such as compute facilities and data warehouses.</w:t>
      </w:r>
    </w:p>
    <w:p>
      <w:pPr>
        <w:pStyle w:val="DocBody"/>
      </w:pPr>
      <w:r>
        <w:rPr>
          <w:rFonts w:ascii="Times New Roman" w:hAnsi="Times New Roman" w:eastAsia="宋体"/>
          <w:sz w:val="24"/>
        </w:rPr>
        <w:t>Finally, other nations are actively recruiting talent that in the past tended to favor employment in the United States. China’s recruitment of top scientifc talent, especially ethnic Chinese in the United States, is being driven through offers of benefts such as high salaries and generous research funding. Countries like Canada and the United Kingdom actively recruit US-based researchers and offer AI-focused visas. The brain drain has been exacerbated by changes in US immigration policy that have caused top research­ ers to leave and deterred talented international stu­ dents from studying in the United States.</w:t>
      </w:r>
    </w:p>
    <w:p>
      <w:pPr>
        <w:pStyle w:val="DocBody"/>
      </w:pPr>
      <w:r>
        <w:rPr>
          <w:rFonts w:ascii="Times New Roman" w:hAnsi="Times New Roman" w:eastAsia="宋体"/>
          <w:sz w:val="24"/>
        </w:rPr>
        <w:t>Copyright Many foundation models have been trained on vast amounts of data found on the internet. These data</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01  ARTIFICIAL INTELLIGENCE</w:t>
      </w:r>
    </w:p>
    <w:p>
      <w:pPr>
        <w:pStyle w:val="DocBody"/>
      </w:pPr>
      <w:r>
        <w:rPr>
          <w:rFonts w:ascii="Times New Roman" w:hAnsi="Times New Roman" w:eastAsia="宋体"/>
          <w:sz w:val="24"/>
        </w:rPr>
        <w:t>have generally been used without the consent or permission of their owners, and a number of lawsuits were fled over this issue in 2023–24. They include Getty Images v. Stability AI over alleged infringe­ ment on copyrights of photographs;46 The New York Times v. OpenAI and Microsoft over alleged use of millions of articles published by the Times;47 and Sony Music, Universal Music Group, and Warner Records v. AI start-ups Suno and Udio over alleged use of protected content to train their music-generation systems.48 Such cases have raised important questions about appropriately compensating and acknowl­ edging data creators whose data is used to train AI models.</w:t>
      </w:r>
    </w:p>
    <w:p>
      <w:pPr>
        <w:pStyle w:val="DocBody"/>
      </w:pPr>
      <w:r>
        <w:rPr>
          <w:rFonts w:ascii="Times New Roman" w:hAnsi="Times New Roman" w:eastAsia="宋体"/>
          <w:sz w:val="24"/>
        </w:rPr>
        <w:t>At the time of this writing (September 2025), one major copyright lawsuit against an AI company has reached a settlement. Anthropic, an AI developer, agreed to pay $1.5 billion to settle a class-action suit brought by authors and publishers;49 the set­ tlement was approved on a preliminary basis by the judge overseeing the case as this publication went to press.50 Even if it is approved, it will not create a legal precedent because of the out-of­ court nature of the settlement. Whether the use of publicly available web data to train AI models is legally permissible remains, and will remain, unset­ tled across jurisdictions until more court decisions are rendered.</w:t>
      </w:r>
    </w:p>
    <w:p>
      <w:pPr>
        <w:pStyle w:val="DocBody"/>
      </w:pPr>
      <w:r>
        <w:rPr>
          <w:rFonts w:ascii="Times New Roman" w:hAnsi="Times New Roman" w:eastAsia="宋体"/>
          <w:sz w:val="24"/>
        </w:rPr>
        <w:t>Glossary Compute: The processing power, typically mea­ sured in number of specialized chips and scale of energy use, required to train and run AI models.</w:t>
      </w:r>
    </w:p>
    <w:p>
      <w:pPr>
        <w:pStyle w:val="DocBody"/>
      </w:pPr>
      <w:r>
        <w:rPr>
          <w:rFonts w:ascii="Times New Roman" w:hAnsi="Times New Roman" w:eastAsia="宋体"/>
          <w:sz w:val="24"/>
        </w:rPr>
        <w:t>Distillation: A technique for compressing a large, complex AI model into a smaller one that is faster and more effcient while retaining most of its capabilities.</w:t>
      </w:r>
    </w:p>
    <w:p>
      <w:pPr>
        <w:pStyle w:val="DocBody"/>
      </w:pPr>
      <w:r>
        <w:rPr>
          <w:rFonts w:ascii="Times New Roman" w:hAnsi="Times New Roman" w:eastAsia="宋体"/>
          <w:sz w:val="24"/>
        </w:rPr>
        <w:t>Generative AI/Foundation models: Large, general- purpose AI systems trained on vast datasets that can generate text, images, code, or other outputs and be adapted to many downstream applications.</w:t>
      </w:r>
    </w:p>
    <w:p>
      <w:pPr>
        <w:pStyle w:val="DocBody"/>
      </w:pPr>
      <w:r>
        <w:rPr>
          <w:rFonts w:ascii="Times New Roman" w:hAnsi="Times New Roman" w:eastAsia="宋体"/>
          <w:sz w:val="24"/>
        </w:rPr>
        <w:t>Inference: The stage when a trained AI model is used to generate predictions, outputs, or decisions in response to new inputs.</w:t>
      </w:r>
    </w:p>
    <w:p>
      <w:pPr>
        <w:pStyle w:val="DocBody"/>
      </w:pPr>
      <w:r>
        <w:rPr>
          <w:rFonts w:ascii="Times New Roman" w:hAnsi="Times New Roman" w:eastAsia="宋体"/>
          <w:sz w:val="24"/>
        </w:rPr>
        <w:t>Model training: The process of teaching an AI system by exposing it to large datasets and adjust­ ing its parameters until it can perform a given task (or a set of tasks) effectively.</w:t>
      </w:r>
    </w:p>
    <w:p>
      <w:pPr>
        <w:pStyle w:val="DocBody"/>
      </w:pPr>
      <w:r>
        <w:rPr>
          <w:rFonts w:ascii="Times New Roman" w:hAnsi="Times New Roman" w:eastAsia="宋体"/>
          <w:sz w:val="24"/>
        </w:rPr>
        <w:t>Multimodal AI: AI systems designed to process and integrate multiple kinds of data such as text, images, audio, or video into a single model.</w:t>
      </w:r>
    </w:p>
    <w:p>
      <w:pPr>
        <w:pStyle w:val="DocBody"/>
      </w:pPr>
      <w:r>
        <w:rPr>
          <w:rFonts w:ascii="Times New Roman" w:hAnsi="Times New Roman" w:eastAsia="宋体"/>
          <w:sz w:val="24"/>
        </w:rPr>
        <w:t>Open source/Open weight/Closed source: Terms describing how freely AI models are shared; open- source makes training data, code, and weights public; open-weight shares only the trained parame­ ters; and closed-source restricts access entirely.</w:t>
      </w:r>
    </w:p>
    <w:p>
      <w:pPr>
        <w:pStyle w:val="DocBody"/>
      </w:pPr>
      <w:r>
        <w:rPr>
          <w:rFonts w:ascii="Times New Roman" w:hAnsi="Times New Roman" w:eastAsia="宋体"/>
          <w:sz w:val="24"/>
        </w:rPr>
        <w:t>Scaling laws: Observed patterns showing that, as AI models are trained with more data, parameters, and compute, their performance improves in predictable ways but also with potentially diminishing returns and real-world limits.</w:t>
      </w:r>
    </w:p>
    <w:p>
      <w:pPr>
        <w:pStyle w:val="DocBody"/>
      </w:pPr>
      <w:r>
        <w:rPr>
          <w:rFonts w:ascii="Times New Roman" w:hAnsi="Times New Roman" w:eastAsia="宋体"/>
          <w:sz w:val="24"/>
        </w:rPr>
        <w:t>Synthetic data: Artifcially generated data such as simulated text, images, or code used to supplement or replace real-world data for training and testing AI systems.</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Christopher Manning, “Artifcial Intelligence Defnitions,” Stan­ ford Institute for Human-Centered AI, September 2020, https://hai .stanford.edu/sites/default/fles/2020-09/AI-Defnitions-HAI.pdf.</w:t>
      </w:r>
    </w:p>
    <w:p>
      <w:pPr>
        <w:pStyle w:val="DocBody"/>
        <w:ind w:left="765"/>
      </w:pPr>
      <w:r>
        <w:rPr>
          <w:rFonts w:ascii="Times New Roman" w:hAnsi="Times New Roman" w:eastAsia="宋体"/>
          <w:sz w:val="24"/>
        </w:rPr>
        <w:t>“Artifcial Intelligence—Worldwide,”</w:t>
      </w:r>
    </w:p>
    <w:p>
      <w:pPr>
        <w:pStyle w:val="DocBody"/>
      </w:pPr>
      <w:r>
        <w:rPr>
          <w:rFonts w:ascii="Times New Roman" w:hAnsi="Times New Roman" w:eastAsia="宋体"/>
          <w:sz w:val="24"/>
        </w:rPr>
        <w:t>Statista, accessed August 15, 2025, https://www.statista.com/outlook/tmo/artifcial -intelligence/worldwide.</w:t>
      </w:r>
    </w:p>
    <w:p>
      <w:pPr>
        <w:pStyle w:val="DocBody"/>
        <w:ind w:left="765"/>
      </w:pPr>
      <w:r>
        <w:rPr>
          <w:rFonts w:ascii="Times New Roman" w:hAnsi="Times New Roman" w:eastAsia="宋体"/>
          <w:sz w:val="24"/>
        </w:rPr>
        <w:t>Nestor Maslej, Loredana Fattorini, Raymond Perrault, et al., The AI Index 2024 Annual Report, AI Index Steering Committee, Stanford Institute for Human-Centered AI, Stanford University, May 2024, https://aiindex.stanford.edu/wp-content/uploads/2024/05 /HAI_AI-Index-Report-2024.pdf.</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ind w:left="765"/>
      </w:pPr>
      <w:r>
        <w:rPr>
          <w:rFonts w:ascii="Times New Roman" w:hAnsi="Times New Roman" w:eastAsia="宋体"/>
          <w:sz w:val="24"/>
        </w:rPr>
        <w:t>“Generative AI Could Raise Global GDP by 7%,” Goldman Sachs, April 5, 2023, https://www.goldmansachs.com/intelligence /pages/generative-ai-could-raise-global-gdp-by-7-percent.html.</w:t>
      </w:r>
    </w:p>
    <w:p>
      <w:pPr>
        <w:pStyle w:val="DocBody"/>
        <w:ind w:left="765"/>
      </w:pPr>
      <w:r>
        <w:rPr>
          <w:rFonts w:ascii="Times New Roman" w:hAnsi="Times New Roman" w:eastAsia="宋体"/>
          <w:sz w:val="24"/>
        </w:rPr>
        <w:t>Maslej, Fattorini, Perrault, et al., The AI Index 2024 Report.</w:t>
      </w:r>
    </w:p>
    <w:p>
      <w:pPr>
        <w:pStyle w:val="DocBody"/>
        <w:ind w:left="765"/>
      </w:pPr>
      <w:r>
        <w:rPr>
          <w:rFonts w:ascii="Times New Roman" w:hAnsi="Times New Roman" w:eastAsia="宋体"/>
          <w:sz w:val="24"/>
        </w:rPr>
        <w:t>Jafar Alzubi, Anand Nayyar, and Akshi Kumar, “Machine Learn­ ing from Theory to Algorithms: An Overview,” Journal of Physics:</w:t>
      </w:r>
    </w:p>
    <w:p>
      <w:pPr>
        <w:pStyle w:val="DocBody"/>
      </w:pPr>
      <w:r>
        <w:rPr>
          <w:rFonts w:ascii="Times New Roman" w:hAnsi="Times New Roman" w:eastAsia="宋体"/>
          <w:sz w:val="24"/>
        </w:rPr>
        <w:t>Conference Series 1142, Second National Conference on Com­ putational Intelligence (December 2018), https://doi.org/10.1088 /1742-6596/1142/1/012012.</w:t>
      </w:r>
    </w:p>
    <w:p>
      <w:pPr>
        <w:pStyle w:val="DocBody"/>
        <w:ind w:left="765"/>
      </w:pPr>
      <w:r>
        <w:rPr>
          <w:rFonts w:ascii="Times New Roman" w:hAnsi="Times New Roman" w:eastAsia="宋体"/>
          <w:sz w:val="24"/>
        </w:rPr>
        <w:t>“Summary,” the Nobel Prize in Physics 2024, the Nobel Prize, October 12, 2024, https://www.nobelprize.org/prizes/physics /2024/summary/.</w:t>
      </w:r>
    </w:p>
    <w:p>
      <w:pPr>
        <w:pStyle w:val="DocBody"/>
        <w:ind w:left="765"/>
      </w:pPr>
      <w:r>
        <w:rPr>
          <w:rFonts w:ascii="Times New Roman" w:hAnsi="Times New Roman" w:eastAsia="宋体"/>
          <w:sz w:val="24"/>
        </w:rPr>
        <w:t>“Summary,” the Nobel Prize in Chemistry 2024, the Nobel Prize, October 12, 2024, https://www.nobelprize.org/prizes/chemistry /2024/summary/.</w:t>
      </w:r>
    </w:p>
    <w:p>
      <w:pPr>
        <w:pStyle w:val="DocBody"/>
        <w:ind w:left="765"/>
      </w:pPr>
      <w:r>
        <w:rPr>
          <w:rFonts w:ascii="Times New Roman" w:hAnsi="Times New Roman" w:eastAsia="宋体"/>
          <w:sz w:val="24"/>
        </w:rPr>
        <w:t>Kif Leswing, “Meet the $10,000 Nvidia Chip Powering the Race for A.I.,” CNBC, February 23, 2023, https://www.cnbc .com/2023/02/23/nvidias-a100-is-the-10000-chip-powering-the -race-for-ai-.html; Kasper Groes Albin Ludvigsen, “The Carbon Foot­ print of GPT-4,” Medium, July 18, 2023, https://towardsdatascience .com/the-carbon-footprint-of-gpt-4-d6c676eb21ae.</w:t>
      </w:r>
    </w:p>
    <w:p>
      <w:pPr>
        <w:pStyle w:val="DocBody"/>
        <w:ind w:left="765"/>
      </w:pPr>
      <w:r>
        <w:rPr>
          <w:rFonts w:ascii="Times New Roman" w:hAnsi="Times New Roman" w:eastAsia="宋体"/>
          <w:sz w:val="24"/>
        </w:rPr>
        <w:t>Darian Woods and Adrian Ma, hosts, The Indicator from Planet Money, podcast, “The Semiconductor Founding Father,”</w:t>
      </w:r>
    </w:p>
    <w:p>
      <w:pPr>
        <w:pStyle w:val="DocBody"/>
      </w:pPr>
      <w:r>
        <w:rPr>
          <w:rFonts w:ascii="Times New Roman" w:hAnsi="Times New Roman" w:eastAsia="宋体"/>
          <w:sz w:val="24"/>
        </w:rPr>
        <w:t>NPR, December 21, 2021, 10:14, https://www.npr.org/transcripts /1066548023.</w:t>
      </w:r>
    </w:p>
    <w:p>
      <w:pPr>
        <w:pStyle w:val="DocBody"/>
        <w:ind w:left="765"/>
      </w:pPr>
      <w:r>
        <w:rPr>
          <w:rFonts w:ascii="Times New Roman" w:hAnsi="Times New Roman" w:eastAsia="宋体"/>
          <w:sz w:val="24"/>
        </w:rPr>
        <w:t>Kasper Groes Albin Ludvigsen, “The Carbon Footprint of ChatGPT,” Medium, December 21, 2022, https://medium.com /data-science/the-carbon-footprint-of-chatgpt-66932314627d.</w:t>
      </w:r>
    </w:p>
    <w:p>
      <w:pPr>
        <w:pStyle w:val="DocBody"/>
        <w:ind w:left="765"/>
      </w:pPr>
      <w:r>
        <w:rPr>
          <w:rFonts w:ascii="Times New Roman" w:hAnsi="Times New Roman" w:eastAsia="宋体"/>
          <w:sz w:val="24"/>
        </w:rPr>
        <w:t>Kasper Groes Albin Ludvigsen, “ChatGPT’s Electricity Con­ sumption,” Medium, July 12, 2023, https://towardsdatascience.com /chatgpts-electricity-consumption-7873483feac4. Different sources provide somewhat different numbers for the energy cost per query, but they all are in the range of a few watt-hours.</w:t>
      </w:r>
    </w:p>
    <w:p>
      <w:pPr>
        <w:pStyle w:val="DocBody"/>
        <w:ind w:left="765"/>
      </w:pPr>
      <w:r>
        <w:rPr>
          <w:rFonts w:ascii="Times New Roman" w:hAnsi="Times New Roman" w:eastAsia="宋体"/>
          <w:sz w:val="24"/>
        </w:rPr>
        <w:t>“Powering Intelligence: Analyzing Artifcial Intelligence and Data Center Energy Consumption,” Technology Innovation, EPRI, May 28, 2024, https://www.epri.com/research/products /3002028905.</w:t>
      </w:r>
    </w:p>
    <w:p>
      <w:pPr>
        <w:pStyle w:val="DocBody"/>
        <w:ind w:left="765"/>
      </w:pPr>
      <w:r>
        <w:rPr>
          <w:rFonts w:ascii="Times New Roman" w:hAnsi="Times New Roman" w:eastAsia="宋体"/>
          <w:sz w:val="24"/>
        </w:rPr>
        <w:t>Hope Reese, “A Human-Centered Approach to the AI Rev­ olution,” Stanford University Institute for Human-Centered AI, October 17, 2022, https://hai.stanford.edu/news/human-centered -approach-ai-revolution.</w:t>
      </w:r>
    </w:p>
    <w:p>
      <w:pPr>
        <w:pStyle w:val="DocBody"/>
        <w:ind w:left="765"/>
      </w:pPr>
      <w:r>
        <w:rPr>
          <w:rFonts w:ascii="Times New Roman" w:hAnsi="Times New Roman" w:eastAsia="宋体"/>
          <w:sz w:val="24"/>
        </w:rPr>
        <w:t>“Viz.ai Receives New Technology Add-on Payment (NTAP)</w:t>
      </w:r>
    </w:p>
    <w:p>
      <w:pPr>
        <w:pStyle w:val="DocBody"/>
      </w:pPr>
      <w:r>
        <w:rPr>
          <w:rFonts w:ascii="Times New Roman" w:hAnsi="Times New Roman" w:eastAsia="宋体"/>
          <w:sz w:val="24"/>
        </w:rPr>
        <w:t>Renewal for Stroke AI Software from CMS,” news release, Viz.ai, August 4, 2021, https://www.viz.ai/news/ntap-renewal-for-stroke -software.</w:t>
      </w:r>
    </w:p>
    <w:p>
      <w:pPr>
        <w:pStyle w:val="DocBody"/>
        <w:ind w:left="765"/>
      </w:pPr>
      <w:r>
        <w:rPr>
          <w:rFonts w:ascii="Times New Roman" w:hAnsi="Times New Roman" w:eastAsia="宋体"/>
          <w:sz w:val="24"/>
        </w:rPr>
        <w:t>Gary Liu, Denise B. Catacutan, Khushi Rathod, et al., “Deep Learning-Guided Discovery of an Antibiotic Targeting Acineto­ bacter baumannii,” Nature Chemical Biology 19 (2023): 1342–50, https://doi.org/10.1038/s41589-023-01349-8.</w:t>
      </w:r>
    </w:p>
    <w:p>
      <w:pPr>
        <w:pStyle w:val="DocBody"/>
        <w:ind w:left="765"/>
      </w:pPr>
      <w:r>
        <w:rPr>
          <w:rFonts w:ascii="Times New Roman" w:hAnsi="Times New Roman" w:eastAsia="宋体"/>
          <w:sz w:val="24"/>
        </w:rPr>
        <w:t>Albert Haque, Arnold Milstein, and Fei-Fei Li, “Illuminating the Dark Spaces of Healthcare with Ambient Intelligence,” Nature 585 (2020): 193–202, https://doi.org/10.1038/s41586-020-2669-y.</w:t>
      </w:r>
    </w:p>
    <w:p>
      <w:pPr>
        <w:pStyle w:val="DocBody"/>
        <w:ind w:left="765"/>
      </w:pPr>
      <w:r>
        <w:rPr>
          <w:rFonts w:ascii="Times New Roman" w:hAnsi="Times New Roman" w:eastAsia="宋体"/>
          <w:sz w:val="24"/>
        </w:rPr>
        <w:t>“Innovasea Launches AI-Powered Biomass Camera for Salmon,”</w:t>
      </w:r>
    </w:p>
    <w:p>
      <w:pPr>
        <w:pStyle w:val="DocBody"/>
      </w:pPr>
      <w:r>
        <w:rPr>
          <w:rFonts w:ascii="Times New Roman" w:hAnsi="Times New Roman" w:eastAsia="宋体"/>
          <w:sz w:val="24"/>
        </w:rPr>
        <w:t>The Fish Site, August 17, 2023, https://thefshsite.com/articles /innovasea-launches-ai-powered-biomass-camera-for-salmon.</w:t>
      </w:r>
    </w:p>
    <w:p>
      <w:pPr>
        <w:pStyle w:val="DocBody"/>
        <w:ind w:left="765"/>
      </w:pPr>
      <w:r>
        <w:rPr>
          <w:rFonts w:ascii="Times New Roman" w:hAnsi="Times New Roman" w:eastAsia="宋体"/>
          <w:sz w:val="24"/>
        </w:rPr>
        <w:t>“Machine Learning in Agriculture: Use Cases and Applications,”</w:t>
      </w:r>
    </w:p>
    <w:p>
      <w:pPr>
        <w:pStyle w:val="DocBody"/>
      </w:pPr>
      <w:r>
        <w:rPr>
          <w:rFonts w:ascii="Times New Roman" w:hAnsi="Times New Roman" w:eastAsia="宋体"/>
          <w:sz w:val="24"/>
        </w:rPr>
        <w:t>Itransition.com, February 1, 2023, https://www.itransition.com /machine-learning/agriculture.</w:t>
      </w:r>
    </w:p>
    <w:p>
      <w:pPr>
        <w:pStyle w:val="DocBody"/>
        <w:ind w:left="765"/>
      </w:pPr>
      <w:r>
        <w:rPr>
          <w:rFonts w:ascii="Times New Roman" w:hAnsi="Times New Roman" w:eastAsia="宋体"/>
          <w:sz w:val="24"/>
        </w:rPr>
        <w:t>“J.B. Hunt, Bridgestone and Kodiak Surpass 50,000 Auton­ omous Long-Haul Trucking Miles in Delivery Collaboration,”</w:t>
      </w:r>
    </w:p>
    <w:p>
      <w:pPr>
        <w:pStyle w:val="DocBody"/>
      </w:pPr>
      <w:r>
        <w:rPr>
          <w:rFonts w:ascii="Times New Roman" w:hAnsi="Times New Roman" w:eastAsia="宋体"/>
          <w:sz w:val="24"/>
        </w:rPr>
        <w:t>Kodiak.ai, August 7, 2024, https://kodiak.ai/news/jb-hunt-and -kodiak-collaborate.</w:t>
      </w:r>
    </w:p>
    <w:p>
      <w:pPr>
        <w:pStyle w:val="DocBody"/>
        <w:ind w:left="765"/>
      </w:pPr>
      <w:r>
        <w:rPr>
          <w:rFonts w:ascii="Times New Roman" w:hAnsi="Times New Roman" w:eastAsia="宋体"/>
          <w:sz w:val="24"/>
        </w:rPr>
        <w:t>Steve Lohr, “A.I. Is Doing Legal Work. But It Won’t Replace Lawyers, Yet,” New York Times, March 19, 2017, https://www .nytimes.com/2017/03/19/technology/lawyers-artificial -intelligence.html.</w:t>
      </w:r>
    </w:p>
    <w:p>
      <w:pPr>
        <w:pStyle w:val="DocBody"/>
        <w:ind w:left="765"/>
      </w:pPr>
      <w:r>
        <w:rPr>
          <w:rFonts w:ascii="Times New Roman" w:hAnsi="Times New Roman" w:eastAsia="宋体"/>
          <w:sz w:val="24"/>
        </w:rPr>
        <w:t>Rishi Bommasani, Drew A. Hudson, Ehsan Adeli, et al., “On the Opportunities and Risks of Foundation Models,” preprint, arXiv, Stanford University, July 12, 2022, https://doi.org/10.48550 /arXiv.2108.07258.</w:t>
      </w:r>
    </w:p>
    <w:p>
      <w:pPr>
        <w:pStyle w:val="DocBody"/>
        <w:ind w:left="765"/>
      </w:pPr>
      <w:r>
        <w:rPr>
          <w:rFonts w:ascii="Times New Roman" w:hAnsi="Times New Roman" w:eastAsia="宋体"/>
          <w:sz w:val="24"/>
        </w:rPr>
        <w:t>Bommasani, Hudson, Adeli, et al., “On the Opportunities and Risks.”</w:t>
      </w:r>
    </w:p>
    <w:p>
      <w:pPr>
        <w:pStyle w:val="DocBody"/>
        <w:ind w:left="765"/>
      </w:pPr>
      <w:r>
        <w:rPr>
          <w:rFonts w:ascii="Times New Roman" w:hAnsi="Times New Roman" w:eastAsia="宋体"/>
          <w:sz w:val="24"/>
        </w:rPr>
        <w:t>Sarah W. Li, Matthew W. Kemp, Susan J. S. Logan, Sebastian E. Illanes, and Mahesh A. Choolani, “ChatGPT Outscored Human Candidates in a Virtual Objective Structured Clinical Examination in Obstetrics and Gynecology,” American Journal of Obstetrics &amp; Gynecology 229, no. 2 (August 2023): 172.E1–12, https://doi .org/10.1016/j.ajog.2023.04.020.</w:t>
      </w:r>
    </w:p>
    <w:p>
      <w:pPr>
        <w:pStyle w:val="DocBody"/>
        <w:ind w:left="765"/>
      </w:pPr>
      <w:r>
        <w:rPr>
          <w:rFonts w:ascii="Times New Roman" w:hAnsi="Times New Roman" w:eastAsia="宋体"/>
          <w:sz w:val="24"/>
        </w:rPr>
        <w:t>Kent F. Hubert, Kim N. Awa, and Darya L. Zabelina, “The Cur­ rent State of Artifcial Intelligence Generative Language Models Is More Creative Than Humans on Divergent Thinking Tasks,”</w:t>
      </w:r>
    </w:p>
    <w:p>
      <w:pPr>
        <w:pStyle w:val="DocBody"/>
      </w:pPr>
      <w:r>
        <w:rPr>
          <w:rFonts w:ascii="Times New Roman" w:hAnsi="Times New Roman" w:eastAsia="宋体"/>
          <w:sz w:val="24"/>
        </w:rPr>
        <w:t>Scientifc Reports 14, no. 3440 (February 2024), https://doi .org/10.1038/s41598-024-53303-w.</w:t>
      </w:r>
    </w:p>
    <w:p>
      <w:pPr>
        <w:pStyle w:val="DocBody"/>
        <w:ind w:left="765"/>
      </w:pPr>
      <w:r>
        <w:rPr>
          <w:rFonts w:ascii="Times New Roman" w:hAnsi="Times New Roman" w:eastAsia="宋体"/>
          <w:sz w:val="24"/>
        </w:rPr>
        <w:t>Josh Achiam, Steven Adler, Sandhini Agarwal, et al., “GPT-4 Technical Report,” preprint, arXiv, March 4, 2024, https://doi.org /10.48550/arXiv.2303.08774.</w:t>
      </w:r>
    </w:p>
    <w:p>
      <w:pPr>
        <w:pStyle w:val="DocBody"/>
        <w:ind w:left="765"/>
      </w:pPr>
      <w:r>
        <w:rPr>
          <w:rFonts w:ascii="Times New Roman" w:hAnsi="Times New Roman" w:eastAsia="宋体"/>
          <w:sz w:val="24"/>
        </w:rPr>
        <w:t>Olawale Salaudeen, Anka Reuel, Ahmed Ahmed, et al., “Mea­ surement to Meaning: A Validity-Centered Framework for AI Eval­ uation,” preprint, arXiv, 2025, https://arxiv.org/pdf/2505.10573.</w:t>
      </w:r>
    </w:p>
    <w:p>
      <w:pPr>
        <w:pStyle w:val="DocBody"/>
        <w:ind w:left="765"/>
      </w:pPr>
      <w:r>
        <w:rPr>
          <w:rFonts w:ascii="Times New Roman" w:hAnsi="Times New Roman" w:eastAsia="宋体"/>
          <w:sz w:val="24"/>
        </w:rPr>
        <w:t>Joy Buolamwini and Timnit Gebru, “Gender Shades: Intersec­ tional Accuracy Disparities in Commercial Gender Classifcation,”</w:t>
      </w:r>
    </w:p>
    <w:p>
      <w:pPr>
        <w:pStyle w:val="DocBody"/>
      </w:pPr>
      <w:r>
        <w:rPr>
          <w:rFonts w:ascii="Times New Roman" w:hAnsi="Times New Roman" w:eastAsia="宋体"/>
          <w:sz w:val="24"/>
        </w:rPr>
        <w:t>Proceedings of Machine Learning Research 81, Conference on Fair­ ness, Accountability, and Transparency (February 2018): 1–15, https:// www.media.mit.edu/publications/gender-shades-intersectional -accuracy-disparities-in-commercial-gender-classifcation.</w:t>
      </w:r>
    </w:p>
    <w:p>
      <w:pPr>
        <w:pStyle w:val="DocBody"/>
        <w:ind w:left="765"/>
      </w:pPr>
      <w:r>
        <w:rPr>
          <w:rFonts w:ascii="Times New Roman" w:hAnsi="Times New Roman" w:eastAsia="宋体"/>
          <w:sz w:val="24"/>
        </w:rPr>
        <w:t>Dan Boneh, “Cryptography,” chap. 3 in The Stanford Emerging Technology Review 2025, Hoover Institution and Stanford School of Engineering (Stanford, CA: Board of Trustees of the Leland Stanford Junior University, 2025), https://doi.org/10.64576/0103.</w:t>
      </w:r>
    </w:p>
    <w:p>
      <w:pPr>
        <w:pStyle w:val="DocBody"/>
        <w:ind w:left="765"/>
      </w:pPr>
      <w:r>
        <w:rPr>
          <w:rFonts w:ascii="Times New Roman" w:hAnsi="Times New Roman" w:eastAsia="宋体"/>
          <w:sz w:val="24"/>
        </w:rPr>
        <w:t>Sayash Kapoor and Arvind Narayanan, “We Looked at 78 Elec­ tion Deepfakes. Political Misinformation Is Not an AI Problem,”</w:t>
      </w:r>
    </w:p>
    <w:p>
      <w:pPr>
        <w:pStyle w:val="DocBody"/>
      </w:pPr>
      <w:r>
        <w:rPr>
          <w:rFonts w:ascii="Times New Roman" w:hAnsi="Times New Roman" w:eastAsia="宋体"/>
          <w:sz w:val="24"/>
        </w:rPr>
        <w:t>Knight First Amendment Institute, December 13, 2024, http:// knightcolumbia.org/blog/we-looked-at-78-election-deepfakes -political-misinformation-is-not-an-ai-problem.</w:t>
      </w:r>
    </w:p>
    <w:p>
      <w:pPr>
        <w:pStyle w:val="DocBody"/>
        <w:ind w:left="765"/>
      </w:pPr>
      <w:r>
        <w:rPr>
          <w:rFonts w:ascii="Times New Roman" w:hAnsi="Times New Roman" w:eastAsia="宋体"/>
          <w:sz w:val="24"/>
        </w:rPr>
        <w:t>Neil Perry, Megha Srivastava, Deepak Kumar, and Dan Boneh, “Do Users Write More Insecure Code with AI Assistants?,” pre­ print, arXiv, Cornell University, December 18, 2023, https://doi .org/10.48550/arXiv.2211.03622.</w:t>
      </w:r>
    </w:p>
    <w:p>
      <w:pPr>
        <w:pStyle w:val="DocBody"/>
        <w:ind w:left="765"/>
      </w:pPr>
      <w:r>
        <w:rPr>
          <w:rFonts w:ascii="Times New Roman" w:hAnsi="Times New Roman" w:eastAsia="宋体"/>
          <w:sz w:val="24"/>
        </w:rPr>
        <w:t>Alex Heath, “OpenAI Wants ChatGPT to Be a ‘Super Assis­ tant’ for Every Part of Your Life,” The Verge, May 30, 2025, https://www.theverge.com/command-line-newsletter/677705 /openai-chatgpt-super-assistant.</w:t>
      </w:r>
    </w:p>
    <w:p>
      <w:pPr>
        <w:pStyle w:val="DocBody"/>
        <w:ind w:left="765"/>
      </w:pPr>
      <w:r>
        <w:rPr>
          <w:rFonts w:ascii="Times New Roman" w:hAnsi="Times New Roman" w:eastAsia="宋体"/>
          <w:sz w:val="24"/>
        </w:rPr>
        <w:t>Zhenghao Yin, Iris Agresti, Giovanni de Felice, et al., “Experi­ mental Quantum-Enhanced Kernel-Based Machine Learning on a Photonic Processor,” Nature Photonics 19, no. 9 (2025): 1020–27, https://doi.org/10.1038/s41566-025-01682-5.</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01  ARTIFICIAL INTELLIGENCE</w:t>
      </w:r>
    </w:p>
    <w:p>
      <w:pPr>
        <w:pStyle w:val="DocBody"/>
        <w:ind w:left="765"/>
      </w:pPr>
      <w:r>
        <w:rPr>
          <w:rFonts w:ascii="Times New Roman" w:hAnsi="Times New Roman" w:eastAsia="宋体"/>
          <w:sz w:val="24"/>
        </w:rPr>
        <w:t>Maja S. Svanberg, Wensu Li, Martin Fleming, Brian C. Goeh­ ring, and Neil C. Thompson, “Beyond AI Exposure: Which Tasks Are Cost-Effective to Automate with Computer Vision?,” Future Tech, Working Paper, January 18, 2024, https://futuretech-site.s3.us -east-2.amazonaws.com/2024-01-18+Beyond_AI_Exposure.pdf.</w:t>
      </w:r>
    </w:p>
    <w:p>
      <w:pPr>
        <w:pStyle w:val="DocBody"/>
        <w:ind w:left="765"/>
      </w:pPr>
      <w:r>
        <w:rPr>
          <w:rFonts w:ascii="Times New Roman" w:hAnsi="Times New Roman" w:eastAsia="宋体"/>
          <w:sz w:val="24"/>
        </w:rPr>
        <w:t>Claire Cain Miller and Courtney Cox, “In Reversal Because of A.I., Offce Jobs Are Now More at Risk,” New York Times, August 24, 2023, https://www.nytimes.com/2023/08/24/upshot/artifcial -intelligence-jobs.html.</w:t>
      </w:r>
    </w:p>
    <w:p>
      <w:pPr>
        <w:pStyle w:val="DocBody"/>
        <w:ind w:left="765"/>
      </w:pPr>
      <w:r>
        <w:rPr>
          <w:rFonts w:ascii="Times New Roman" w:hAnsi="Times New Roman" w:eastAsia="宋体"/>
          <w:sz w:val="24"/>
        </w:rPr>
        <w:t>Martin Neil Baily, Erik Brynjolfsson, and Anton Korinek, “Machines of Mind: The Case for an AI-Powered Productivity Boom,” Brookings Institution, May 10, 2023, https://www .brookings.edu/articles/machines-of-mind-the-case-for-an-ai -powered-productivity-boom.</w:t>
      </w:r>
    </w:p>
    <w:p>
      <w:pPr>
        <w:pStyle w:val="DocBody"/>
        <w:ind w:left="765"/>
      </w:pPr>
      <w:r>
        <w:rPr>
          <w:rFonts w:ascii="Times New Roman" w:hAnsi="Times New Roman" w:eastAsia="宋体"/>
          <w:sz w:val="24"/>
        </w:rPr>
        <w:t>Pranshu Verma and Gerrit De Vynck, “ChatGPT Took Their Jobs: Now They Walk Dogs and Fix Air Conditioners,” Washington Post, June 5, 2023, https://www.washingtonpost.com/technology /2023/06/02/ai-taking-jobs/; Challenger, Gray &amp; Christmas, Inc., “Challenger Report,” May 2023, https://omscgcinc.wpengine powered.com/wp-content/uploads/2023/06/The-Challenger -Report-May23.pdf.</w:t>
      </w:r>
    </w:p>
    <w:p>
      <w:pPr>
        <w:pStyle w:val="DocBody"/>
        <w:ind w:left="765"/>
      </w:pPr>
      <w:r>
        <w:rPr>
          <w:rFonts w:ascii="Times New Roman" w:hAnsi="Times New Roman" w:eastAsia="宋体"/>
          <w:sz w:val="24"/>
        </w:rPr>
        <w:t>David Autor, Caroline Chin, Anna M. Salomons, and Bryan Seegmiller, “New Frontiers: The Origins and Content of New Work, 1940–2018,” National Bureau of Economic Research, Work­ ing Paper 30389, August 2022, https://doi.org/10.3386/w30389.</w:t>
      </w:r>
    </w:p>
    <w:p>
      <w:pPr>
        <w:pStyle w:val="DocBody"/>
        <w:ind w:left="765"/>
      </w:pPr>
      <w:r>
        <w:rPr>
          <w:rFonts w:ascii="Times New Roman" w:hAnsi="Times New Roman" w:eastAsia="宋体"/>
          <w:sz w:val="24"/>
        </w:rPr>
        <w:t>“White House Unveils America’s AI Action Plan,” The White House, July 23, 2025, https://www.whitehouse.gov/articles/2025 /07/white-house-unveils-americas-ai-action-plan/.</w:t>
      </w:r>
    </w:p>
    <w:p>
      <w:pPr>
        <w:pStyle w:val="DocBody"/>
        <w:ind w:left="765"/>
      </w:pPr>
      <w:r>
        <w:rPr>
          <w:rFonts w:ascii="Times New Roman" w:hAnsi="Times New Roman" w:eastAsia="宋体"/>
          <w:sz w:val="24"/>
        </w:rPr>
        <w:t>Parliament and Council Regulation 2024/1689 Artifcial Intel­ ligence Act, art. 6–7, 2024 O.J. L 2024/1689, https://artifcial intelligenceact.eu/section/3-1/.</w:t>
      </w:r>
    </w:p>
    <w:p>
      <w:pPr>
        <w:pStyle w:val="DocBody"/>
        <w:ind w:left="765"/>
      </w:pPr>
      <w:r>
        <w:rPr>
          <w:rFonts w:ascii="Times New Roman" w:hAnsi="Times New Roman" w:eastAsia="宋体"/>
          <w:sz w:val="24"/>
        </w:rPr>
        <w:t>“The Bletchley Declaration by Countries Attending the AI Safety Summit, 1–2 November 2023,” Department for Science, Innovation, and Technology; Foreign, Commonwealth, and Development Offce, Prime Minister’s Offce, November 1, 2023, https://www.gov.uk/government/publications/ai-safety-summit -2023-the-bletchley-declaration/the-bletchley-declaration-by -countries-attending-the-ai-safety-summit-1-2-november-2023.</w:t>
      </w:r>
    </w:p>
    <w:p>
      <w:pPr>
        <w:pStyle w:val="DocBody"/>
        <w:ind w:left="765"/>
      </w:pPr>
      <w:r>
        <w:rPr>
          <w:rFonts w:ascii="Times New Roman" w:hAnsi="Times New Roman" w:eastAsia="宋体"/>
          <w:sz w:val="24"/>
        </w:rPr>
        <w:t>“AI Sovereign Compute Infrastructure Program,” Government of Canada, May 5, 2025, https://ised-isde.canada.ca/site/ised /en/ai-sovereign-compute-infrastructure-program; “UK Compute Roadmap,” Department for Science, Technology, and Innova­ tion, July 17, 2025, https://www.gov.uk/government/publications /uk-compute-roadmap/uk-compute-roadmap.</w:t>
      </w:r>
    </w:p>
    <w:p>
      <w:pPr>
        <w:pStyle w:val="DocBody"/>
        <w:ind w:left="765"/>
      </w:pPr>
      <w:r>
        <w:rPr>
          <w:rFonts w:ascii="Times New Roman" w:hAnsi="Times New Roman" w:eastAsia="宋体"/>
          <w:sz w:val="24"/>
        </w:rPr>
        <w:t>Eliot Brown and Jin Berber, “SoftBank and OpenAI’s $500 Billion AI Project Struggles to Get Off Ground,” Wall Street Jour­ nal, July 21, 2025, https://www.wsj.com/tech/ai/softbank-openai -a3dc57b4.</w:t>
      </w:r>
    </w:p>
    <w:p>
      <w:pPr>
        <w:pStyle w:val="DocBody"/>
        <w:ind w:left="765"/>
      </w:pPr>
      <w:r>
        <w:rPr>
          <w:rFonts w:ascii="Times New Roman" w:hAnsi="Times New Roman" w:eastAsia="宋体"/>
          <w:sz w:val="24"/>
        </w:rPr>
        <w:t>Michael Schuman, “Trump Wants a China Deal That Ben­ efts Him, Not the U.S.,” The Atlantic, August 14, 2025, https:// www.theatlantic.com/ideas/archive/2025/08/china-us-trade-deal -ai-chips/683855/.</w:t>
      </w:r>
    </w:p>
    <w:p>
      <w:pPr>
        <w:pStyle w:val="DocBody"/>
        <w:ind w:left="765"/>
      </w:pPr>
      <w:r>
        <w:rPr>
          <w:rFonts w:ascii="Times New Roman" w:hAnsi="Times New Roman" w:eastAsia="宋体"/>
          <w:sz w:val="24"/>
        </w:rPr>
        <w:t>Final Report, National Security Commission on Artifcial Intelligence, March 19, 2021, https://apps.dtic.mil/sti/pdfs /AD1124333.pdf.</w:t>
      </w:r>
    </w:p>
    <w:p>
      <w:pPr>
        <w:pStyle w:val="DocBody"/>
        <w:ind w:left="765"/>
      </w:pPr>
      <w:r>
        <w:rPr>
          <w:rFonts w:ascii="Times New Roman" w:hAnsi="Times New Roman" w:eastAsia="宋体"/>
          <w:sz w:val="24"/>
        </w:rPr>
        <w:t>Charlotte Hill, Charlotte Allen, Tom Perkins, and Harriet Campbell, “Generative AI in the Courts: Getty Images v Stabil­ ity AI,” Penningtons Manches Cooper, February 16, 2024, https:// www.penningtonslaw.com/news-publications/latest-news/2024 /generative-ai-in-the-courts-getty-images-v-stability-ai.</w:t>
      </w:r>
    </w:p>
    <w:p>
      <w:pPr>
        <w:pStyle w:val="DocBody"/>
        <w:ind w:left="765"/>
      </w:pPr>
      <w:r>
        <w:rPr>
          <w:rFonts w:ascii="Times New Roman" w:hAnsi="Times New Roman" w:eastAsia="宋体"/>
          <w:sz w:val="24"/>
        </w:rPr>
        <w:t>Michael M. Grynbaum and Ryan Mac, “The Times Sues OpenAI and Microsoft Over A.I. Use of Copyrighted Work,” New York Times, December 27, 2023, https://www.nytimes.com/2023/12/27 /business/media/new-york-times-open-ai-microsoft-lawsuit.html.</w:t>
      </w:r>
    </w:p>
    <w:p>
      <w:pPr>
        <w:pStyle w:val="DocBody"/>
        <w:ind w:left="765"/>
      </w:pPr>
      <w:r>
        <w:rPr>
          <w:rFonts w:ascii="Times New Roman" w:hAnsi="Times New Roman" w:eastAsia="宋体"/>
          <w:sz w:val="24"/>
        </w:rPr>
        <w:t>Blake Brittain, “Music Labels Sue AI Companies Suno, Udio for US Copyright Infringement,” Reuters, June 24, 2024, https://www .reuters.com/technology/artifcial-intelligence/music-labels-sue -ai-companies-suno-udio-us-copyright-infringement-2024-06-24/.</w:t>
      </w:r>
    </w:p>
    <w:p>
      <w:pPr>
        <w:pStyle w:val="DocBody"/>
        <w:ind w:left="765"/>
      </w:pPr>
      <w:r>
        <w:rPr>
          <w:rFonts w:ascii="Times New Roman" w:hAnsi="Times New Roman" w:eastAsia="宋体"/>
          <w:sz w:val="24"/>
        </w:rPr>
        <w:t>Cade Metz, “Anthropic Agrees to Pay $1.5 Billion to Settle Lawsuit with Book Authors,” New York Times, September 5, 2025, https://www.nytimes.com/2025/09/05/technology/anthropic -settlement-copyright-ai.html.</w:t>
      </w:r>
    </w:p>
    <w:p>
      <w:pPr>
        <w:pStyle w:val="DocBody"/>
        <w:ind w:left="765"/>
      </w:pPr>
      <w:r>
        <w:rPr>
          <w:rFonts w:ascii="Times New Roman" w:hAnsi="Times New Roman" w:eastAsia="宋体"/>
          <w:sz w:val="24"/>
        </w:rPr>
        <w:t>Blake Brittain, “US Judge Preliminarily Approves $1.5 Billion Anthropic Copyright Settlement,” Reuters, September 25, 2025, https://www.reuters.com/sustainability/boards-policy-regulation /us-judge-approves-15-billion-anthropic-copyright-settlement -with-authors-2025-09-25/.</w:t>
      </w:r>
    </w:p>
    <w:p>
      <w:pPr>
        <w:pStyle w:val="DocBody"/>
      </w:pPr>
      <w:r>
        <w:rPr>
          <w:rFonts w:ascii="Times New Roman" w:hAnsi="Times New Roman" w:eastAsia="宋体"/>
          <w:sz w:val="24"/>
        </w:rPr>
        <w:t>STANFORD EXPERT CONTRIBUTORS Dr. Fei­Fei Li SETR Faculty Council, Sequoia Professor in the Computer Science Department, and Professor, by courtesy, of Operations, Information, and Technology at the Graduate School of Business Dr. Christopher Manning Thomas M. Siebel Professor of Machine Learning, and Professor of Linguistics and of Computer Science Anka Reuel SETR Fellow and PhD Candidate in Computer Science</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BIOTECHNOLOGY AND SYNTHETIC BIOLOGY ° Biotechnology is emerging as a general-purpose technology by which anything bioengineers learn to encode in DNA can be grown whenever and wherever needed—essentially enabling the pro­ duction of a wide range of products through bio­ logical processes across multiple sectors.</w:t>
      </w:r>
    </w:p>
    <w:p>
      <w:pPr>
        <w:pStyle w:val="DocBody"/>
      </w:pPr>
      <w:r>
        <w:rPr>
          <w:rFonts w:ascii="Times New Roman" w:hAnsi="Times New Roman" w:eastAsia="宋体"/>
          <w:sz w:val="24"/>
        </w:rPr>
        <w:t>° The United States is still not executing well on strategies for emerging biotechnology and has relied too heavily on private-sector investment to support foundational work needed to scale and sustain progress.</w:t>
      </w:r>
    </w:p>
    <w:p>
      <w:pPr>
        <w:pStyle w:val="DocBody"/>
      </w:pPr>
      <w:r>
        <w:rPr>
          <w:rFonts w:ascii="Times New Roman" w:hAnsi="Times New Roman" w:eastAsia="宋体"/>
          <w:sz w:val="24"/>
        </w:rPr>
        <w:t>° Biotechnology is one of the most important areas of technological competition between the United States and China, and China is now leveraging two decades of strategic investment to secure global leadership. Absent swift and ambitious actions, the United States risks biotechnological surprise and a loss of biotechnology sovereignty.</w:t>
      </w:r>
    </w:p>
    <w:p>
      <w:pPr>
        <w:pStyle w:val="DocBody"/>
      </w:pPr>
      <w:r>
        <w:rPr>
          <w:rFonts w:ascii="Times New Roman" w:hAnsi="Times New Roman" w:eastAsia="宋体"/>
          <w:sz w:val="24"/>
        </w:rPr>
        <w:t>KEY TAKEAWAYS Overview Biotechnology uses living systems to make products or solve problems. First-generation biotechnology arose over millennia by domesticating and breeding plants and animals1 for agriculture, food production, companionship, and other purposes.2 Second- generation biotechnology was launched a half cen­ tury ago with the invention of recombinant DNA,3 and it has progressed via techniques including polymerase chain reaction, high-throughput DNA sequencing, and CRISPR gene editing.4 (DNA is the physical material that encodes biological functions in living systems and is described in more detail later in the chapter.) Both breeding and editing approaches continue to advance, creating ever better tools for sculpting5 and editing6 living systems.</w:t>
      </w:r>
    </w:p>
    <w:p>
      <w:pPr>
        <w:pStyle w:val="DocBody"/>
      </w:pPr>
      <w:r>
        <w:rPr>
          <w:rFonts w:ascii="Times New Roman" w:hAnsi="Times New Roman" w:eastAsia="宋体"/>
          <w:sz w:val="24"/>
        </w:rPr>
        <w:t>Biotechnology products and services are already widely deployed. A 2020 National Academies of Sciences, Engineering, and Medicine report valued the US bioeconomy at around 5 percent of GDP, or</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more than $950 billion annually.7 Most applications are in agriculture, medicines, and industrial mate­ rials.8 A 2020 McKinsey &amp; Company report noted that hundreds of biotechnology projects were under development that could add $2 to $4 trillion to the economy.9 McKinsey’s projected doubling of bioeco­ nomic impacts every seven years or so would match biotechnology’s economic track record.10 Its report concluded that, ultimately, biomanufacturing could account for around 60 percent of the global econo­ my’s physical inputs.11 Lowering the cost of biomanu­ facturing will be essential to realizing such a future.12 Synthetic biology continues to emerge as a third wave driving biotechnology, complementing breed­ ing and DNA editing. Synthesis involves putting things together. Synthetic biology explores and adapts concepts from other engineering felds to get better at composing living systems at the molecular, cellular, tissue, and consortia scales. (Consortia refer to biological organization at the level of communi­ ties or groups of interacting organisms—typically microbial communities—that function together with division of labor, cooperation, and emergent properties beyond what single cells or tissues can achieve.)</w:t>
      </w:r>
    </w:p>
    <w:p>
      <w:pPr>
        <w:pStyle w:val="DocBody"/>
      </w:pPr>
      <w:r>
        <w:rPr>
          <w:rFonts w:ascii="Times New Roman" w:hAnsi="Times New Roman" w:eastAsia="宋体"/>
          <w:sz w:val="24"/>
        </w:rPr>
        <w:t>As our ability to compose biology improves, new and more natural modes of biotechnology become possible. For example, leaves on trees do not arrive from factories or central facilities; rather, they grow on trees themselves. Next-generation biotechnol­ ogy products that operate on a distributed and in situ basis are being explored. For example, a Spanish and British team recently bioengineered plants that can emit light of different colors depend­ ing on whether certain viruses are present in the environment around them.13 The history of information technology helps in think­ ing about the emergence of biotechnology. Fifty years ago, computers were mostly industrial, dis­ connected, and centralized.14 The emergence of personal computers, packet-switching networks,15 and programming languages made computing accessible and fun16 and changed how computer sci­ ence developed.17 Biotechnology is poised to expe­ rience the same transformation within the next two decades—networked biotechnologies could enable distributed manufacturing resilience, personalized and pervasive biotechnology products, and tools for individual citizens to engage and participate in bio­ technology activities.18 Key Developments Analyzing and Understanding Biology with Computing Proteins are molecules that comprise living cells.</w:t>
      </w:r>
    </w:p>
    <w:p>
      <w:pPr>
        <w:pStyle w:val="DocBody"/>
      </w:pPr>
      <w:r>
        <w:rPr>
          <w:rFonts w:ascii="Times New Roman" w:hAnsi="Times New Roman" w:eastAsia="宋体"/>
          <w:sz w:val="24"/>
        </w:rPr>
        <w:t>The shapes of proteins help set their roles and func­ tions. In the 2023 edition of the Stanford Emerging Technology Review (SETR), we noted how research­ ers had developed artifcial intelligence (AI) meth­ ods to estimate the shapes of natural proteins,19 an accomplishment since recognized with the 2024 Nobel Prize in Chemistry.20 Today, AI methods accelerate research by enabling anyone with a computer to estimate the expected shapes of proteins. Researchers can quickly explore what proteins might do without having to run costly real-world experiments. Challenges remain, how­ ever. For example, it is still hard to estimate the shapes of proteins that sit within membranes and how certain proteins may change their shape.</w:t>
      </w:r>
    </w:p>
    <w:p>
      <w:pPr>
        <w:pStyle w:val="DocBody"/>
      </w:pPr>
      <w:r>
        <w:rPr>
          <w:rFonts w:ascii="Times New Roman" w:hAnsi="Times New Roman" w:eastAsia="宋体"/>
          <w:sz w:val="24"/>
        </w:rPr>
        <w:t>Creating AI tools for estimating protein shapes was dependent on decades of laborious experiments by researchers; the actual shapes of enough proteins were needed to train the underlying AI models, and generating these took time. Signifcant addi­ tional data may be needed to develop AI models for understanding protein dynamics, drug-protein inter­ actions, and other life-essential functions.</w:t>
      </w:r>
    </w:p>
    <w:p>
      <w:pPr>
        <w:pStyle w:val="DocBody"/>
      </w:pPr>
      <w:r>
        <w:rPr>
          <w:rFonts w:ascii="Times New Roman" w:hAnsi="Times New Roman" w:eastAsia="宋体"/>
          <w:sz w:val="24"/>
        </w:rPr>
        <w:t>Cells are the fundamental unit of all living organisms (see fgure 2.1). The complexity of cells has long</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02  BIOTECHNOLOGY AND SYNTHETIC BIOLOGY</w:t>
      </w:r>
    </w:p>
    <w:p>
      <w:pPr>
        <w:pStyle w:val="DocBody"/>
      </w:pPr>
      <w:r>
        <w:rPr>
          <w:rFonts w:ascii="Times New Roman" w:hAnsi="Times New Roman" w:eastAsia="宋体"/>
          <w:sz w:val="24"/>
        </w:rPr>
        <w:t>FIGURE 2.1  Image of a cross section of an E. coli cell Source: David S. Goodsell, RCSB Protein Data Bank, doi: 10.2210/rcsb_pdb/goodsell-gallery-028 motivated researchers to develop computational tools to help make sense of things. There are not yet AI foundation models (described in chapter 1, on artifcial intelligence) for representing cells in the same way that there are for representing proteins.</w:t>
      </w:r>
    </w:p>
    <w:p>
      <w:pPr>
        <w:pStyle w:val="DocBody"/>
      </w:pPr>
      <w:r>
        <w:rPr>
          <w:rFonts w:ascii="Times New Roman" w:hAnsi="Times New Roman" w:eastAsia="宋体"/>
          <w:sz w:val="24"/>
        </w:rPr>
        <w:t>Efforts to create “virtual cells” are taking shape, but established measurement methods and computa­ tional approaches may be insuffcient.21 Another emerging approach is to repurpose math­ ematics used for describing the behavior of mate­ rials like toothpaste and ketchup. Such materials, known as “colloidal systems,” are mixtures in which particles of one substance are evenly distributed throughout another in a manner similar to how molecules dynamically organize themselves within cells.22 Recent work that has adapted such mathe­ matical methods to study cells has shown they are capable of representing emergent behaviors that occur at the molecular-to-cellular scale.23 Combining colloidal models, which model how molecules actu­ ally behave within cells, with AI methods is likely the best path toward achieving virtual cells.</w:t>
      </w:r>
    </w:p>
    <w:p>
      <w:pPr>
        <w:pStyle w:val="DocBody"/>
      </w:pPr>
      <w:r>
        <w:rPr>
          <w:rFonts w:ascii="Times New Roman" w:hAnsi="Times New Roman" w:eastAsia="宋体"/>
          <w:sz w:val="24"/>
        </w:rPr>
        <w:t>Generating and Designing Biology with Computing Models and software can be further developed to generate novel designs. For example, Chai-2 is an AI model that can design entirely new antibody-based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drugs from scratch. (Antibodies are proteins that bind specifc target molecules.) In July 2025, Chai-2 achieved a 16 percent success rate in designing antibodies from scratch.24 That means that 16 per­ cent of the candidates it generates actually result in an effective antibody. Although this percentage may sound low, it compares favorably with tradi­ tional experimental lab-based methods that involve screening thousands or millions of candidates with hit rates below 1 percent; it is about one hundred times better than other computational approaches.</w:t>
      </w:r>
    </w:p>
    <w:p>
      <w:pPr>
        <w:pStyle w:val="DocBody"/>
      </w:pPr>
      <w:r>
        <w:rPr>
          <w:rFonts w:ascii="Times New Roman" w:hAnsi="Times New Roman" w:eastAsia="宋体"/>
          <w:sz w:val="24"/>
        </w:rPr>
        <w:t>Chai-2’s effectiveness can speed up drug discovery from months or years to weeks. If generalizable, such tools might allow certain medicines to be cre­ ated faster and more precisely.</w:t>
      </w:r>
    </w:p>
    <w:p>
      <w:pPr>
        <w:pStyle w:val="DocBody"/>
      </w:pPr>
      <w:r>
        <w:rPr>
          <w:rFonts w:ascii="Times New Roman" w:hAnsi="Times New Roman" w:eastAsia="宋体"/>
          <w:sz w:val="24"/>
        </w:rPr>
        <w:t>Another exciting development is generative biology and genome foundation models, which were intro­ duced in the 2025 edition of SETR. Since then, tools like Evo 2 have been released. Evo 2 is described as a “genomic foundation model capable of gener­ alist prediction and design tasks across DNA, RNA, and proteins.”25 A genome foundation model is akin to a large language model trained on natural DNA sequences. When appropriately prompted, these models generate novel DNA sequences. Evo 2 is now capable of generating genomes of viruses, some of which are viable when built and tested in the laboratory.26 This capability enables scientists to study viral functions, evolution, and mutations systematically, thereby accelerating discoveries in virology and disease mechanisms. It also facilitates the design of synthetic viruses for benefcial uses like gene ther­ apy, vaccines, and viral delivery systems. Compared to working with natural viruses, it also enables safer, more targeted experimentation.</w:t>
      </w:r>
    </w:p>
    <w:p>
      <w:pPr>
        <w:pStyle w:val="DocBody"/>
      </w:pPr>
      <w:r>
        <w:rPr>
          <w:rFonts w:ascii="Times New Roman" w:hAnsi="Times New Roman" w:eastAsia="宋体"/>
          <w:sz w:val="24"/>
        </w:rPr>
        <w:t>One bottleneck in generative biology is the limited capacity to interpret or test what a model generates or helps design. No one can yet read entirely novel strings of nucleotides or amino acids and perfectly evaluate the biological function(s) encoded in them.</w:t>
      </w:r>
    </w:p>
    <w:p>
      <w:pPr>
        <w:pStyle w:val="DocBody"/>
      </w:pPr>
      <w:r>
        <w:rPr>
          <w:rFonts w:ascii="Times New Roman" w:hAnsi="Times New Roman" w:eastAsia="宋体"/>
          <w:sz w:val="24"/>
        </w:rPr>
        <w:t>Researchers need faster, better, and larger-scale testing platforms to empirically test how well AI-generated biology actually works.</w:t>
      </w:r>
    </w:p>
    <w:p>
      <w:pPr>
        <w:pStyle w:val="DocBody"/>
      </w:pPr>
      <w:r>
        <w:rPr>
          <w:rFonts w:ascii="Times New Roman" w:hAnsi="Times New Roman" w:eastAsia="宋体"/>
          <w:sz w:val="24"/>
        </w:rPr>
        <w:t>Distributed Biomanufacturing The signifcance of distributed biomanufacturing lies in its fexibility, both in location and timing. For example, because a fermentation process can be established wherever there is access to sugar and electricity, a production site can be set up almost anywhere. The same is true for biomanufacturing processes fed with wood, methane, petroleum, or carbon dioxide (CO2).</w:t>
      </w:r>
    </w:p>
    <w:p>
      <w:pPr>
        <w:pStyle w:val="DocBody"/>
      </w:pPr>
      <w:r>
        <w:rPr>
          <w:rFonts w:ascii="Times New Roman" w:hAnsi="Times New Roman" w:eastAsia="宋体"/>
          <w:sz w:val="24"/>
        </w:rPr>
        <w:t>Once established, a biomanufacturing process can respond swiftly to sudden demands, such as those that arise during a pandemic, amid changes in trade policy, or in the case of a war. Such agil­ ity can enhance effciency and revolutionize manufacturing.</w:t>
      </w:r>
    </w:p>
    <w:p>
      <w:pPr>
        <w:pStyle w:val="DocBody"/>
      </w:pPr>
      <w:r>
        <w:rPr>
          <w:rFonts w:ascii="Times New Roman" w:hAnsi="Times New Roman" w:eastAsia="宋体"/>
          <w:sz w:val="24"/>
        </w:rPr>
        <w:t>One real-world example is the synthetic biology company Antheia, which in early 2024 reported validation of a fermentation-based process for brewing thebaine, a key starting material used in treating opioid overdoses with Narcan.27 It brewed 116,000-liter batches of bioengineered yeast, with each batch making broth containing a metric ton of thebaine—roughly enough for 100 million Narcan doses.28 The company’s demonstration highlights the potential for on-demand production of critical pharmaceuticals, potentially revolutionizing drug supply chains and improving access to essential medicines.</w:t>
      </w:r>
    </w:p>
    <w:p>
      <w:pPr>
        <w:pStyle w:val="DocBody"/>
      </w:pPr>
      <w:r>
        <w:rPr>
          <w:rFonts w:ascii="Times New Roman" w:hAnsi="Times New Roman" w:eastAsia="宋体"/>
          <w:sz w:val="24"/>
        </w:rPr>
        <w:t>In 2022, Chinese researchers noted more generally how synthetic biology allows the rewiring of biolog­ ical systems to support portable, on-site, and on- demand manufacturing of biomolecules.29 In 2024, Stanford researchers reported on-demand bio- production of sensors enabling point-of-care health monitoring and detection of environmental hazards aboard the International Space Station.30 They had already realized many similar demonstrations of dis­ tributed biomanufacturing on Earth, ranging from</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02  BIOTECHNOLOGY AND SYNTHETIC BIOLOGY</w:t>
      </w:r>
    </w:p>
    <w:p>
      <w:pPr>
        <w:pStyle w:val="DocBody"/>
      </w:pPr>
      <w:r>
        <w:rPr>
          <w:rFonts w:ascii="Times New Roman" w:hAnsi="Times New Roman" w:eastAsia="宋体"/>
          <w:sz w:val="24"/>
        </w:rPr>
        <w:t>biotechnology education kits to the production of conjugate vaccines.31 Such examples demonstrate how biotechnology can be used to make valuable products and ser­ vices locally. What’s happening is a sort of molecular gardening: The energy and material inputs needed to make the biotechnology products are supplied locally, but the process differs from conventional gardening in that bioengineers are programming the genetic instructions for what the biology should make. To fully unlock the power of distributed bio- manufacturing, it must also become possible to make the physical DNA encoding genetic programs locally.</w:t>
      </w:r>
    </w:p>
    <w:p>
      <w:pPr>
        <w:pStyle w:val="DocBody"/>
      </w:pPr>
      <w:r>
        <w:rPr>
          <w:rFonts w:ascii="Times New Roman" w:hAnsi="Times New Roman" w:eastAsia="宋体"/>
          <w:sz w:val="24"/>
        </w:rPr>
        <w:t>Distributed DNA Reading and Writing DNA is often represented abstractly by its four constit­ uent bases (A, C, T, and G). Unique orderings of these bases encode different biomolecules, which in turn underlie different cellular behaviors and functions.</w:t>
      </w:r>
    </w:p>
    <w:p>
      <w:pPr>
        <w:pStyle w:val="DocBody"/>
      </w:pPr>
      <w:r>
        <w:rPr>
          <w:rFonts w:ascii="Times New Roman" w:hAnsi="Times New Roman" w:eastAsia="宋体"/>
          <w:sz w:val="24"/>
        </w:rPr>
        <w:t>DNA sequencing (reading of DNA) and synthesis (writing of DNA) are two foundational technolo­ gies underlying synthetic biology.32 Sequencers are machines that determine the precise order of bases in a DNA molecule, effectively converting genetic infor­ mation from a physical to digital format. Synthesizers generate user-specifed digital sequences of A’s, C’s, T’s, and G’s, creating physical genetic material from scratch that encodes user-specifed sequences, effectively transforming bits into atoms.</w:t>
      </w:r>
    </w:p>
    <w:p>
      <w:pPr>
        <w:pStyle w:val="DocBody"/>
      </w:pPr>
      <w:r>
        <w:rPr>
          <w:rFonts w:ascii="Times New Roman" w:hAnsi="Times New Roman" w:eastAsia="宋体"/>
          <w:sz w:val="24"/>
        </w:rPr>
        <w:t>If DNA reading and writing tools could themselves be distributed, anyone with an internet connection could upload and download application-specifc DNA programs that direct distributed biomanu­ facturing processes powered by locally available energy and supplied by locally available materials.</w:t>
      </w:r>
    </w:p>
    <w:p>
      <w:pPr>
        <w:pStyle w:val="DocBody"/>
      </w:pPr>
      <w:r>
        <w:rPr>
          <w:rFonts w:ascii="Times New Roman" w:hAnsi="Times New Roman" w:eastAsia="宋体"/>
          <w:sz w:val="24"/>
        </w:rPr>
        <w:t>In the 1990s, public funding for sequencing the human genome jump-started advances in DNA- sequencing tools by creating signifcant demand for reading DNA.33 Private capital and entrepreneurs quickly responded.34 The Human Genome Project favored development of DNA sequencers that could read billions of bases of DNA as cheaply as possible, resulting in large-format DNA sequencers that were organized in centralized DNA-sequencing factories.35 A complementary approach to DNA sequencing has since matured; it allows for individual DNA mole­ cules to be sequenced via tiny pores, or nanopores.36 UK-based Oxford Nanopore Technologies now offers small DNA sequencers that can be plugged into any computer with a USB port, allowing DNA sequenc­ ing to become a distributed technology (fgure 2.2).37 The market for DNA synthesis has developed slowly over the past forty-fve years.38 Today, most DNA synthesis is carried out via centralized factories.39 Customers order DNA online and receive materials via express shipping—and it can take days to weeks for the DNA factories to make the DNA molecules.</w:t>
      </w:r>
    </w:p>
    <w:p>
      <w:pPr>
        <w:pStyle w:val="DocBody"/>
      </w:pPr>
      <w:r>
        <w:rPr>
          <w:rFonts w:ascii="Times New Roman" w:hAnsi="Times New Roman" w:eastAsia="宋体"/>
          <w:sz w:val="24"/>
        </w:rPr>
        <w:t>Improvements in commercially available gene- length DNA synthesis services have been modest over the past decade,40 and in Western countries the services are dependent on private capital.41 In June 2025, the United Kingdom’s Wellcome Trust launched a Synthetic Human Genome Project via a £10 million seed initiative. The bold goal is to begin to develop tools and infrastructure needed to build synthetic human chromosomes,42 something that would require signifcant advances in DNA, gene, and genome-construction technology.</w:t>
      </w:r>
    </w:p>
    <w:p>
      <w:pPr>
        <w:pStyle w:val="DocBody"/>
      </w:pPr>
      <w:r>
        <w:rPr>
          <w:rFonts w:ascii="Times New Roman" w:hAnsi="Times New Roman" w:eastAsia="宋体"/>
          <w:sz w:val="24"/>
        </w:rPr>
        <w:t>A new generation of companies is also pursuing novel approaches to building DNA—most notably enzymatic DNA synthesis, which uses enzymes and simpler chemical inputs to build DNA.43 For exam­ ple, Ansa Biotechnologies is now producing DNA constructs up to 50 kilobases,44 long enough to construct complete genes, multiple genes, or large genetic elements. This can enable more complex synthetic biology projects, genetic engineering, or even the creation of parts of small viral or bacte­ rial genomes. Enzymatic approaches are compati­ ble with hardware and reagent formats that could potentially enable fast, reliable, and distributed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2.2  Portable DNA sequencers enable biotechnology to become more distributed Source: Oxford Nanopore Technologies, 2024 DNA synthesis. Signifcant and sustained invest­ ments will be required to make distributed DNA synthesis practical, secure, and accessible.</w:t>
      </w:r>
    </w:p>
    <w:p>
      <w:pPr>
        <w:pStyle w:val="DocBody"/>
      </w:pPr>
      <w:r>
        <w:rPr>
          <w:rFonts w:ascii="Times New Roman" w:hAnsi="Times New Roman" w:eastAsia="宋体"/>
          <w:sz w:val="24"/>
        </w:rPr>
        <w:t>As another example, researchers in Shanghai have developed a bottom-up DNA synthesis method using DNA origami frameworks—tiny, precisely folded DNA structures—that act like miniature work­ stations to anchor DNA-writing enzymes at specifc positions. Their approach allows ultra-high-density writing of over 500 billion DNA strands per square centimeter, a 10,000-fold improvement over current technologies.45 If this approach is successfully com­ mercialized, DNA might be written fast enough to support gigabyte-per-second data storage.</w:t>
      </w:r>
    </w:p>
    <w:p>
      <w:pPr>
        <w:pStyle w:val="DocBody"/>
      </w:pPr>
      <w:r>
        <w:rPr>
          <w:rFonts w:ascii="Times New Roman" w:hAnsi="Times New Roman" w:eastAsia="宋体"/>
          <w:sz w:val="24"/>
        </w:rPr>
        <w:t>Pervasive and Embedded Biotechnologies The assumption underlying most modern bio­ technology products is that they will be carefully contained in steel tanks or used far away from urban populations. However, recent developments in consumer biotechnology products suggest another future. US-based Light Bio, for example, now sells petunia plants bioengineered to emit light (fgure 2.3).46 Light Bio’s offering represents an early successful launch of a live consumer biologic, enabling anyone in the United States to source and keep a bioengineered organism for personal use.</w:t>
      </w:r>
    </w:p>
    <w:p>
      <w:pPr>
        <w:pStyle w:val="DocBody"/>
      </w:pPr>
      <w:r>
        <w:rPr>
          <w:rFonts w:ascii="Times New Roman" w:hAnsi="Times New Roman" w:eastAsia="宋体"/>
          <w:sz w:val="24"/>
        </w:rPr>
        <w:t>In 2024, UK-based Norfolk Plant Sciences frst made available to US consumers seeds for its purple tomato, a kind of tomato bioengineered to pro­ duce high levels of antioxidants thought to help prevent cancer (see fgure 2.4).47 Stanford faculty bought seeds, and soon bioengineered tomatoes were growing in gardens across campus. Indeed, these tomatoes are available for consumer pur­ chase in a number of grocery stores in the American southeast.48</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02  Biotechnology and Synthetic Biology Meanwhile, CAR-T cell therapy is a new treatment that helps the immune system fight diseases. It was first used for blood cancers but is now being tested for autoimmune diseases and chronic infections.53 Usually, a patient’s own immune cells are taken, Another US-based company, ZBiotics, has launched fiber-focused innovations. ZBiotics’ Sugar-to-Fiber probiotic drink mix is a genetically engineered microbe that turns dietary sugar into fiber during digestion.49 This development is emblematic of a next generation of probiotics: They not only supple­ ment the gut microbiome but reshape how the body interacts with food.</w:t>
      </w:r>
    </w:p>
    <w:p>
      <w:pPr>
        <w:pStyle w:val="DocBody"/>
      </w:pPr>
      <w:r>
        <w:rPr>
          <w:rFonts w:ascii="Times New Roman" w:hAnsi="Times New Roman" w:eastAsia="宋体"/>
          <w:sz w:val="24"/>
        </w:rPr>
        <w:t>An additional category of pervasive and poten­ tially ­consumer-facing biotechnology involves bio­ engineering bacteria that live on skin. For example, in 2023, Stanford researchers pioneered the bio­ engineering of skin microbes to combat skin can­ cer.50 Researchers have since expanded such work to enable the eliciting of antigen-specific T  cells, which target and eliminate cells infected with viruses and bacteria; these cells also play a role in providing long-term immunological memory.51 The researchers have even identified specific odorants produced by human-skin microbes whose pro­ duction could be modulated to reduce mosquito bites.52 Source: Light Bio Inc.</w:t>
      </w:r>
    </w:p>
    <w:p>
      <w:pPr>
        <w:pStyle w:val="DocBody"/>
      </w:pPr>
      <w:r>
        <w:rPr>
          <w:rFonts w:ascii="Times New Roman" w:hAnsi="Times New Roman" w:eastAsia="宋体"/>
          <w:sz w:val="24"/>
        </w:rPr>
        <w:t>FIGURE 2.3  Light Bio’s petunias are bioengineered to emit light Source: Norfolk Plant Sciences FIGURE 2.4  Norfolk Plant Sciences has bio­ engineered a more nutritious purple tomato</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changed in a lab to better attack disease, then put back into the body. Researchers are investigating CAR-T cells made from healthy donors, creating off-the-shelf treatments made in advance.54 These innovations suggest a future where personalized immunotherapies become common, affordable, and widely used medical tools.</w:t>
      </w:r>
    </w:p>
    <w:p>
      <w:pPr>
        <w:pStyle w:val="DocBody"/>
      </w:pPr>
      <w:r>
        <w:rPr>
          <w:rFonts w:ascii="Times New Roman" w:hAnsi="Times New Roman" w:eastAsia="宋体"/>
          <w:sz w:val="24"/>
        </w:rPr>
        <w:t>Twenty-frst-century biotechnologies are increas­ ingly showing up in our homes, on our skin, and in our diets, entering everyday life through familiar channels. These breakthroughs are early indicators of a future in which biology becomes as ubiquitous and integrated in society as electricity or the inter- net. As noted in a recent hearing of the US-China Economic and Security Review Commission,55 which­ ever nation embraces this shift most fully—by ”fall­ ing in love with biotechnology” not just as science but as part of daily life—will better shape the rules, reap the economic rewards, and lead the next era of bioinnovation.</w:t>
      </w:r>
    </w:p>
    <w:p>
      <w:pPr>
        <w:pStyle w:val="DocBody"/>
      </w:pPr>
      <w:r>
        <w:rPr>
          <w:rFonts w:ascii="Times New Roman" w:hAnsi="Times New Roman" w:eastAsia="宋体"/>
          <w:sz w:val="24"/>
        </w:rPr>
        <w:t>Over the Horizon Routinization of Cellular-Scale Engineering There is no natural cell on Earth that is fully under­ stood. Even well-studied organisms like E. coli have genes encoding unknown functions. The simplest and most intensely studied microbes still require more than seventy genes whose functions no researcher understands.56 Our ignorance means that biotechnology workfows remain Edisonian at the cellular scale, dependent on tinkering and testing. Bioengineering students are taught “design, build, test, learn”57 as dogma, with testing requiring many experiments to understand basic phenomenology. Biotechnology projects thus require expert researchers and expensive laborato­ ries while also encountering uncertain budgets and timelines.</w:t>
      </w:r>
    </w:p>
    <w:p>
      <w:pPr>
        <w:pStyle w:val="DocBody"/>
      </w:pPr>
      <w:r>
        <w:rPr>
          <w:rFonts w:ascii="Times New Roman" w:hAnsi="Times New Roman" w:eastAsia="宋体"/>
          <w:sz w:val="24"/>
        </w:rPr>
        <w:t>Another approach is to build cells starting from only chemically defned molecules. Work based on this approach has rapidly advanced over the past decade, and researchers anticipate soon reporting the frst artifcial synthetic cells capable of growth, division, and evolution—representing a Sputnik-like milestone for biotechnology. Realizing this potential depends on routinizing bioengineering workfows at the cellular scale to enable “design, build, work”</w:t>
      </w:r>
    </w:p>
    <w:p>
      <w:pPr>
        <w:pStyle w:val="DocBody"/>
      </w:pPr>
      <w:r>
        <w:rPr>
          <w:rFonts w:ascii="Times New Roman" w:hAnsi="Times New Roman" w:eastAsia="宋体"/>
          <w:sz w:val="24"/>
        </w:rPr>
        <w:t>cycles. Such workfows would allow bioengineers to perform relatively minimal empirical validation, focusing primarily on analysis-driven construction of biological artifacts—a hallmark of the engineering rigor found in all modern technologies and essential for future scalable bioengineering.58 Constructing simple life from scratch will enable the transcendence of constraints on Earth’s life­ forms59—organisms limited by lineage and require­ ments of reproduction and evolvability. A next level of biotechnologies will be unlocked, providing a perch from which to access everything biology can become. More practically, gaining the capacity to make the engineering of cellular-scale systems Researchers anticipate soon reporting the first artificial synthetic cells capable of growth, division, and evolution — representing a Sputnik-like milestone for biotechnology.</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02  BIOTECHNOLOGY AND SYNTHETIC BIOLOGY</w:t>
      </w:r>
    </w:p>
    <w:p>
      <w:pPr>
        <w:pStyle w:val="DocBody"/>
      </w:pPr>
      <w:r>
        <w:rPr>
          <w:rFonts w:ascii="Times New Roman" w:hAnsi="Times New Roman" w:eastAsia="宋体"/>
          <w:sz w:val="24"/>
        </w:rPr>
        <w:t>FIGURE 2.5  A model of a vascular tree printed using a 3­D bioprinter Source: Andrew Brodhead, Stanford Report routine will enable the development and deploy­ ment of biotechnologies on a much more reliable basis.</w:t>
      </w:r>
    </w:p>
    <w:p>
      <w:pPr>
        <w:pStyle w:val="DocBody"/>
      </w:pPr>
      <w:r>
        <w:rPr>
          <w:rFonts w:ascii="Times New Roman" w:hAnsi="Times New Roman" w:eastAsia="宋体"/>
          <w:sz w:val="24"/>
        </w:rPr>
        <w:t>Printing Tissues on Demand Tissue printing uses living cells as inks to construct tissue-like structures. Early methods relied on sparse inks around one hundred times less dense than natural tissue. Recent breakthroughs are enabling printing with about 200 million cells per milliliter,60 a density approaching that found in live organs.</w:t>
      </w:r>
    </w:p>
    <w:p>
      <w:pPr>
        <w:pStyle w:val="DocBody"/>
      </w:pPr>
      <w:r>
        <w:rPr>
          <w:rFonts w:ascii="Times New Roman" w:hAnsi="Times New Roman" w:eastAsia="宋体"/>
          <w:sz w:val="24"/>
        </w:rPr>
        <w:t>At Stanford, Mark A. Skylar-Scott and his team have developed a method called SWIFT (sacrifcial writing into functional tissue) that helps create living heart tissue in the lab. Starting with hundreds of thousands of tiny clusters of special stem cells and mixing them into a soft paste, they “print” tiny channels inside this mixture, similar to making blood vessels. This allows oxygen and nutrients to fow through the tissue and helps the cells survive, join together, and even start beating like a real heart (fgure 2.5).</w:t>
      </w:r>
    </w:p>
    <w:p>
      <w:pPr>
        <w:pStyle w:val="DocBody"/>
      </w:pPr>
      <w:r>
        <w:rPr>
          <w:rFonts w:ascii="Times New Roman" w:hAnsi="Times New Roman" w:eastAsia="宋体"/>
          <w:sz w:val="24"/>
        </w:rPr>
        <w:t>Making enough cells remains a key challenge. Skylar­ Scott’s team can generate billions of heart-specifc cells every two weeks via automated bioreactors.61 Further increases in cell production combined with organ-scale design will be needed to print implant- ready tissues.62 Such developments refect a broader shift in the feld of tissue engineering and printing—from simple cell sheets to dense, vascularized, and physiologically active tissue systems. Once confned to small-scale tissue patches or skin grafts, the feld is now gener­ ating, among other things, tissue that supports per­ fusion, which covers fowing blood or fuid through blood vessels to oxygenate and feed tissues and organs; functional integration (i.e., an integration of multiple components in a tissue or other biological construct that performs desired biological functions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in a reliable and functional manner); and long-term viability of engineered tissues. The dreams of build­ ing whole-tissue or full-organ fabrication are shifting from speculation to matters of engineering rigor, scale, investment, and translation.</w:t>
      </w:r>
    </w:p>
    <w:p>
      <w:pPr>
        <w:pStyle w:val="DocBody"/>
      </w:pPr>
      <w:r>
        <w:rPr>
          <w:rFonts w:ascii="Times New Roman" w:hAnsi="Times New Roman" w:eastAsia="宋体"/>
          <w:sz w:val="24"/>
        </w:rPr>
        <w:t>Electrobiosynthesis Carbon is central to life. Currently, photosynthe­ sis captures CO2 from the atmosphere to produce organic carbon molecules. Recent thinking, how­ ever, suggests that electricity could be used to fx carbon directly from the air to create organic mol­ ecules that could be fed to microbes—a process that may become known as electrobiosynthesis, or, more simply, as “eBio.” Capturing carbon in this way could be an order of magnitude more effcient from a land-use perspective than traditional agriculture.63 The idea is to engineer a parallel carbon cycle that starts with air and electricity, perhaps generated via solar panels, to create organic molecules that power bioproduction processes. For example, in 2024, Stanford researchers reported the creation of a system that combines electrochemistry with biological pro­ cesses to transform simple carbon compounds into a key organic molecule called acetyl-CoA (acetyl coen­ zyme A), which is present in all living things and acts as a building block for other molecules within cells.64 Although eBio is a very immature technology, its potential signifcance and impacts are hard to over­ state. For example, surplus power from large-scale renewable energy generation might directly pro­ duce biomolecules such as proteins and cellulose without requiring massive conventional battery banks to store energy that cannot be used imme­ diately. The development of eBio could also enable bioproduction in places where soils are poor, water is scarce, or climate and weather are too uncertain.</w:t>
      </w:r>
    </w:p>
    <w:p>
      <w:pPr>
        <w:pStyle w:val="DocBody"/>
      </w:pPr>
      <w:r>
        <w:rPr>
          <w:rFonts w:ascii="Times New Roman" w:hAnsi="Times New Roman" w:eastAsia="宋体"/>
          <w:sz w:val="24"/>
        </w:rPr>
        <w:t>Ultimately, eBio could increase how much human­ ity can make in partnership with biology. We would be constrained only by how much energy we can generate for such purposes. This approach could signifcantly reduce the land and water requirements for biomass production, potentially alleviating pres­ sure on agricultural resources and offering a more sustainable path for biomanufacturing.</w:t>
      </w:r>
    </w:p>
    <w:p>
      <w:pPr>
        <w:pStyle w:val="DocBody"/>
      </w:pPr>
      <w:r>
        <w:rPr>
          <w:rFonts w:ascii="Times New Roman" w:hAnsi="Times New Roman" w:eastAsia="宋体"/>
          <w:sz w:val="24"/>
        </w:rPr>
        <w:t>Biology as a General-Purpose Technology Biotechnology is now used to make medicines, foods, and a relatively narrow range of materials (e.g., sustainable carpet fbers). However, anything whose biosynthesis engineers can learn to encode in DNA could be grown using biology. Examples from nature highlight the potential here: Some bacteria naturally grow arrays of tiny magnets,65 while select sea sponges grow glass flaments like fber-optic cables.66 These bio-made magnets and flaments form under ambient conditions through naturally sustainable processes and can be more robust than conventional alternatives. Such examples fuel calls for biology to be recognized as a general-purpose technology that, with appropriate vision and leader­ ship, could become the foundation of a much more resilient manufacturing base.67 As one example, in 2018 the Semiconductor Research Corporation (SRC) offered an ambitious twenty-year synthetic biology road map toward growing com­ puters.68 SRC’s frst proposed step was to develop DNA for archival data storage.69 In 2024 the Hoover Library &amp; Archives partnered with Twist Bioscience to encode a digital copy of the telegram from President Hoover founding his namesake institution within syn­ thetic DNA contained in a tiny ampule (see fgure 2.6).</w:t>
      </w:r>
    </w:p>
    <w:p>
      <w:pPr>
        <w:pStyle w:val="DocBody"/>
      </w:pPr>
      <w:r>
        <w:rPr>
          <w:rFonts w:ascii="Times New Roman" w:hAnsi="Times New Roman" w:eastAsia="宋体"/>
          <w:sz w:val="24"/>
        </w:rPr>
        <w:t>Made in this way, the DNA serves as a data storage medium whose digital contents must be recovered via DNA sequencing. In April 2025, the Library of Con­ gress requested proposals to store 1 terabyte of data in synthetic DNA. The intention is to provide “both a functional and artistic display” of some of the nation’s digital treasures in celebration “of the 250th anniversary of the signing of the Declaration of Independence.”70 Many other things must be made real to ever grow computers. Scattered progress is happening: In 2024 researchers in California reported using a synthetic</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02  BIOTECHNOLOGY AND SYNTHETIC BIOLOGY</w:t>
      </w:r>
    </w:p>
    <w:p>
      <w:pPr>
        <w:pStyle w:val="DocBody"/>
      </w:pPr>
      <w:r>
        <w:rPr>
          <w:rFonts w:ascii="Times New Roman" w:hAnsi="Times New Roman" w:eastAsia="宋体"/>
          <w:sz w:val="24"/>
        </w:rPr>
        <w:t>FIGURE 2.6  DNA is used as a storage medium for a digital copy of Herbert Hoover’s telegram founding his namesake institution monolayer of DNA origami to assemble and study solid-state spin qubits for quantum sensing applica­ tions. (Qubits and quantum sensing are described further in chapter 7, on quantum technologies.)71 Another example is the 2011 US Navy program Application of Synthetic Biological Techniques for Energetic Materials.72 This program explored the ability to brew propellants and explosives—an ability that could enable any nation to create more resilient supply chains for key military materials. For example, a distributed and resilient biomanufacturing network could help NATO members meet their Article 3 obli­ gations related to supply chain resilience.73 Unlocking biology as a general-purpose technol­ ogy by learning to grow computers, energetics, and many other things might require $100 billion in well- managed foundational research over a twenty-year period. As yet, no such coordinated effort is underway.</w:t>
      </w:r>
    </w:p>
    <w:p>
      <w:pPr>
        <w:pStyle w:val="DocBody"/>
      </w:pPr>
      <w:r>
        <w:rPr>
          <w:rFonts w:ascii="Times New Roman" w:hAnsi="Times New Roman" w:eastAsia="宋体"/>
          <w:sz w:val="24"/>
        </w:rPr>
        <w:t>Policy Issues Getting Private and Public Investments Right Many frst-generation synthetic biology companies continue to struggle.74 Billions of dollars of private capital have been lost in biotechnology invest­ ments made in the United States alone over the past two decades. One perspective is that these early big bets were simply too early.75 The hope is that small and scrappy efforts will eventually fnd their way to success. However, an immediate issue is that many sources of private capital that could support next-generation biotechnology companies are now shut off because those prior bets were unsuccessful; this adds sector-specifc headwinds to the general challenges that face young, innovative businesses.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Another perspective is that America has relied too heavily on the private sector to invent, advance, and deploy emerging biotechnologies.76 Because many private investors expect foundational advances and platforms to quickly generate and sustain revenue growth in order to justify increased valuations and fur­ ther funding, young biotechnology companies go to market too early and experience a pattern of repeated failures. A June 2025 congressional hearing explored breaking this cycle via smart and sustained public investments in foundational bioengineering research, including tools for measuring, modeling, and making biology and public-beneft research platforms.77 Safety and Security Concerns New organisms can raise concerns about how they might interact with natural or human environments.</w:t>
      </w:r>
    </w:p>
    <w:p>
      <w:pPr>
        <w:pStyle w:val="DocBody"/>
      </w:pPr>
      <w:r>
        <w:rPr>
          <w:rFonts w:ascii="Times New Roman" w:hAnsi="Times New Roman" w:eastAsia="宋体"/>
          <w:sz w:val="24"/>
        </w:rPr>
        <w:t>Bioengineered organisms might disrupt local eco­ systems. Malicious actors could create organisms harmful to people or environments.78 A specifc recent concern is the potential construc­ tion of mirror life and mirror microorganisms. Mirror life—entirely hypothetical today—is made of biolog­ ical molecules that are mirror images of those found in natural life on Earth. For example, all known DNA is left-handed, referring to the spiral shape of DNA.</w:t>
      </w:r>
    </w:p>
    <w:p>
      <w:pPr>
        <w:pStyle w:val="DocBody"/>
      </w:pPr>
      <w:r>
        <w:rPr>
          <w:rFonts w:ascii="Times New Roman" w:hAnsi="Times New Roman" w:eastAsia="宋体"/>
          <w:sz w:val="24"/>
        </w:rPr>
        <w:t>Mirror DNA, which would be found in mirror cells, would be right-handed. All biological molecules found on Earth—DNA, sugars, fats, and proteins— have handedness, and mirror versions of these mole­ cules would have the opposite handedness.</w:t>
      </w:r>
    </w:p>
    <w:p>
      <w:pPr>
        <w:pStyle w:val="DocBody"/>
      </w:pPr>
      <w:r>
        <w:rPr>
          <w:rFonts w:ascii="Times New Roman" w:hAnsi="Times New Roman" w:eastAsia="宋体"/>
          <w:sz w:val="24"/>
        </w:rPr>
        <w:t>Mirror life is the natural end point of research on mirror-image biology, which has potential value in a variety of applications. For example, mirror-image molecules might help therapeutic drugs resist unde­ sirable natural enzymatic degradation in the human body. Mirror cells could be the most economical way to produce such molecules.</w:t>
      </w:r>
    </w:p>
    <w:p>
      <w:pPr>
        <w:pStyle w:val="DocBody"/>
      </w:pPr>
      <w:r>
        <w:rPr>
          <w:rFonts w:ascii="Times New Roman" w:hAnsi="Times New Roman" w:eastAsia="宋体"/>
          <w:sz w:val="24"/>
        </w:rPr>
        <w:t>However, if they escaped into the environment, such organisms might not be readily recognized by the immune systems of plants and animals, including humans. The increasing risk of someone making mirror microbes has resulted in calls for outright bans and prohibitions on such work.79 Refecting such types of concern, experts in the life sciences convened in February 2025 for the Spirit of Asilomar and the Future of Biotechnology summit.</w:t>
      </w:r>
    </w:p>
    <w:p>
      <w:pPr>
        <w:pStyle w:val="DocBody"/>
      </w:pPr>
      <w:r>
        <w:rPr>
          <w:rFonts w:ascii="Times New Roman" w:hAnsi="Times New Roman" w:eastAsia="宋体"/>
          <w:sz w:val="24"/>
        </w:rPr>
        <w:t>It took place on the fftieth anniversary of the orig­ inal Asilomar conference, which had convened to address the potential biohazards of recombinant DNA. The 1975 conference ultimately resulted in the establishment of voluntary guidelines and safety principles for the responsible conduct of genetic engineering research and set an important prece­ dent for self-regulation in biotechnology.</w:t>
      </w:r>
    </w:p>
    <w:p>
      <w:pPr>
        <w:pStyle w:val="DocBody"/>
      </w:pPr>
      <w:r>
        <w:rPr>
          <w:rFonts w:ascii="Times New Roman" w:hAnsi="Times New Roman" w:eastAsia="宋体"/>
          <w:sz w:val="24"/>
        </w:rPr>
        <w:t>The 2025 Spirit of Asilomar was organized around discussions of several themes,80 including patho­ gens research and biological weapons, AI and bio­ technology, synthetic cells, biotechnologies beyond conventional containment, and the framing of bio­ technology’s futures. The conference resulted in the publication of twenty-seven entreaties—public recommendations and calls for dialogue spanning these themes.81 The 2025 conference organizers hope that these entreaties will constitute an impor­ tant point of departure for proactive, forward-looking governance that addresses both known risks and emerging challenges at the intersection of synthetic biology, AI, and global biosecurity.</w:t>
      </w:r>
    </w:p>
    <w:p>
      <w:pPr>
        <w:pStyle w:val="DocBody"/>
      </w:pPr>
      <w:r>
        <w:rPr>
          <w:rFonts w:ascii="Times New Roman" w:hAnsi="Times New Roman" w:eastAsia="宋体"/>
          <w:sz w:val="24"/>
        </w:rPr>
        <w:t>Additionally, concerns about biosafety and biose­ curity have stimulated interest in a variety of control measures to ensure appropriate use of biotechnol­ ogy and strengthen the governance of pathogen- related research.82 For example, a rapid increase in the deployment of BSL-3 and BSL-4 laboratories (biological laboratories with the highest biosafety levels and thus the most stringent safety and secu­ rity measures) refects heightened attention to bio- safety and biosecurity needs as more researchers work with higher-risk pathogens and synthetic biol­ ogy tools.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02  BIOTECHNOLOGY AND SYNTHETIC BIOLOGY</w:t>
      </w:r>
    </w:p>
    <w:p>
      <w:pPr>
        <w:pStyle w:val="DocBody"/>
      </w:pPr>
      <w:r>
        <w:rPr>
          <w:rFonts w:ascii="Times New Roman" w:hAnsi="Times New Roman" w:eastAsia="宋体"/>
          <w:sz w:val="24"/>
        </w:rPr>
        <w:t>FIGURE 2.7  China is outpacing the United States in publishing highly cited research papers on synthetic biology Number of highly cited papers published United States China Germany United Kingdom South Korea Source: Adapted from Australian Strategic Policy Institute, Critical Technology Tracker, based on “Appendix 2: Detailed Methodology,” in Jennifer Wong-Leung, Stephan Robin, and Danielle Cave, ASPI’s Two-Decade Critical Technology Tracker, August 2024 Ethical Considerations Different religious traditions may have different stances toward life and whether the engineering of new life-forms violates any of their basic precepts.</w:t>
      </w:r>
    </w:p>
    <w:p>
      <w:pPr>
        <w:pStyle w:val="DocBody"/>
      </w:pPr>
      <w:r>
        <w:rPr>
          <w:rFonts w:ascii="Times New Roman" w:hAnsi="Times New Roman" w:eastAsia="宋体"/>
          <w:sz w:val="24"/>
        </w:rPr>
        <w:t>In the words of a report published by the Woodrow Wilson International Center for Scholars, such con­ cerns involve “the possibility of harm to deeply held (if sometimes hard to articulate) views about what is right or good, including . . . the appropriate rela­ tionship of humans to themselves and the natural world.”83 Just because something might or can be done does not mean that it should be done.</w:t>
      </w:r>
    </w:p>
    <w:p>
      <w:pPr>
        <w:pStyle w:val="DocBody"/>
      </w:pPr>
      <w:r>
        <w:rPr>
          <w:rFonts w:ascii="Times New Roman" w:hAnsi="Times New Roman" w:eastAsia="宋体"/>
          <w:sz w:val="24"/>
        </w:rPr>
        <w:t>As Drew Endy (the SETR faculty member for biotech­ nology) and Laurie Zoloth note, “The narrative of cre­ ation of the human is the central narrative for many religious communities. To create a human genome from scratch would be an enormous moral gesture whose consequences should not be framed initially on the advice of lawyers and regulators alone.”84 Global Competition The United States and other nations continue to develop, advance, and refne strategies for bio­ technology, biomanufacturing innovation, biose­ curity, and the overall bioeconomy. For example, the United States’ Congressional National Security Commission on Emerging Biotechnology has now published its fnal report,85 calling for bold invest­ ments in emerging biotechnology domestically.</w:t>
      </w:r>
    </w:p>
    <w:p>
      <w:pPr>
        <w:pStyle w:val="DocBody"/>
      </w:pPr>
      <w:r>
        <w:rPr>
          <w:rFonts w:ascii="Times New Roman" w:hAnsi="Times New Roman" w:eastAsia="宋体"/>
          <w:sz w:val="24"/>
        </w:rPr>
        <w:t>From a competition perspective, many have been sounding the alarm that China risks outpacing the United States and Europe in established and emerg­ ing biotechnology, from research to innovation to commercialization and full-scale manufacturing.86 For example, in 2023 researchers in China pub­ lished nearly 350 papers that ranked among the top 10 percent most-cited papers on synthetic biology.</w:t>
      </w:r>
    </w:p>
    <w:p>
      <w:pPr>
        <w:pStyle w:val="DocBody"/>
      </w:pPr>
      <w:r>
        <w:rPr>
          <w:rFonts w:ascii="Times New Roman" w:hAnsi="Times New Roman" w:eastAsia="宋体"/>
          <w:sz w:val="24"/>
        </w:rPr>
        <w:t>This is compared to 41 such papers in the United States (see fgure 2.7). As another example, licensing</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of novel drugs has seen a dramatic shift, with China- based frms reporting an almost twentyfold increase in licensing deals over the past decade.87 If the United States and Europe fail to match China’s all-of-nation support for biotechnology, then neither will maintain biotechnology leadership or sover­ eignty going forward. Absent dramatic action, such failure seems a most likely outcome; plaintive warn­ ings or calls for action from researchers in the West simply help spur greater investments from Beijing.</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Jared Diamond, “Evolution, Consequences, and Future of Plant and Animal Domestication,” Nature 418 (August 2020): 700–707, https://doi.org/10.1038/nature01019.</w:t>
      </w:r>
    </w:p>
    <w:p>
      <w:pPr>
        <w:pStyle w:val="DocBody"/>
        <w:ind w:left="765"/>
      </w:pPr>
      <w:r>
        <w:rPr>
          <w:rFonts w:ascii="Times New Roman" w:hAnsi="Times New Roman" w:eastAsia="宋体"/>
          <w:sz w:val="24"/>
        </w:rPr>
        <w:t>Freeman Dyson, “Our Biotech Future,” New York Review of Books 54, no. 12 (July 2007): 4–7, https://www.nybooks.com /articles/2007/07/19/our-biotech-future/.</w:t>
      </w:r>
    </w:p>
    <w:p>
      <w:pPr>
        <w:pStyle w:val="DocBody"/>
        <w:ind w:left="765"/>
      </w:pPr>
      <w:r>
        <w:rPr>
          <w:rFonts w:ascii="Times New Roman" w:hAnsi="Times New Roman" w:eastAsia="宋体"/>
          <w:sz w:val="24"/>
        </w:rPr>
        <w:t>Tim Beardsley, “Biotechnology: Cohen-Boyer Patent Finally Confrmed,” Nature 311, no. 5981 (September 1984): 3, https:// doi.org/10.1038/311003a0.</w:t>
      </w:r>
    </w:p>
    <w:p>
      <w:pPr>
        <w:pStyle w:val="DocBody"/>
        <w:ind w:left="765"/>
      </w:pPr>
      <w:r>
        <w:rPr>
          <w:rFonts w:ascii="Times New Roman" w:hAnsi="Times New Roman" w:eastAsia="宋体"/>
          <w:sz w:val="24"/>
        </w:rPr>
        <w:t>Irina Gostimskaya, “CRISPR-Cas9: A History of Its Discovery and Ethical Considerations of Its Use in Genome Editing,” Bio­ chemistry (Moscow) 87, no. 8 (August 2022): 777–78, https://doi .org/10.1134/S0006297922080090. CRISPR is an acronym for clustered regularly interspaced short palindromic repeats.</w:t>
      </w:r>
    </w:p>
    <w:p>
      <w:pPr>
        <w:pStyle w:val="DocBody"/>
        <w:ind w:left="765"/>
      </w:pPr>
      <w:r>
        <w:rPr>
          <w:rFonts w:ascii="Times New Roman" w:hAnsi="Times New Roman" w:eastAsia="宋体"/>
          <w:sz w:val="24"/>
        </w:rPr>
        <w:t>Frances H. Arnold, “Innovation by Evolution: Bringing New Chemistry to Life,” December 8, 2018, Stockholm University, Sweden, PDF, https://www.nobelprize.org/prizes/chemistry/2018 /arnold/lecture/.</w:t>
      </w:r>
    </w:p>
    <w:p>
      <w:pPr>
        <w:pStyle w:val="DocBody"/>
        <w:ind w:left="765"/>
      </w:pPr>
      <w:r>
        <w:rPr>
          <w:rFonts w:ascii="Times New Roman" w:hAnsi="Times New Roman" w:eastAsia="宋体"/>
          <w:sz w:val="24"/>
        </w:rPr>
        <w:t>“Genetic Scissors: A Tool for Rewriting the Code of Life,” news release, the Nobel Prize, October 7, 2020, https://www.nobelprize .org/prizes/chemistry/2020/press-release/.</w:t>
      </w:r>
    </w:p>
    <w:p>
      <w:pPr>
        <w:pStyle w:val="DocBody"/>
        <w:ind w:left="765"/>
      </w:pPr>
      <w:r>
        <w:rPr>
          <w:rFonts w:ascii="Times New Roman" w:hAnsi="Times New Roman" w:eastAsia="宋体"/>
          <w:sz w:val="24"/>
        </w:rPr>
        <w:t>National Academies of Sciences, Engineering, and Medicine, “Safeguarding the Bioeconomy” (National Academies Press, 2020), 73, https://doi.org/10.17226/25525.</w:t>
      </w:r>
    </w:p>
    <w:p>
      <w:pPr>
        <w:pStyle w:val="DocBody"/>
        <w:ind w:left="765"/>
      </w:pPr>
      <w:r>
        <w:rPr>
          <w:rFonts w:ascii="Times New Roman" w:hAnsi="Times New Roman" w:eastAsia="宋体"/>
          <w:sz w:val="24"/>
        </w:rPr>
        <w:t>Planetary Technologies, “Bioeconomy Dashboard,” last modifed 2023, https://www.planetarytech.earth/bioeconomy-dashboard-1.</w:t>
      </w:r>
    </w:p>
    <w:p>
      <w:pPr>
        <w:pStyle w:val="DocBody"/>
        <w:ind w:left="765"/>
      </w:pPr>
      <w:r>
        <w:rPr>
          <w:rFonts w:ascii="Times New Roman" w:hAnsi="Times New Roman" w:eastAsia="宋体"/>
          <w:sz w:val="24"/>
        </w:rPr>
        <w:t>Michael Chui, Matthias Evers, James Manyika, Alice Zheng, and Travers Nisbet, “The Bio Revolution: Innovations Transform­ ing Economies, Societies, and Our Lives,” McKinsey &amp; Company, May 13, 2020, https://www.mckinsey.com/industries/life-sciences /our-insights/the-bio-revolution-innovations-transforming -economies-societies-and-our-lives.</w:t>
      </w:r>
    </w:p>
    <w:p>
      <w:pPr>
        <w:pStyle w:val="DocBody"/>
        <w:ind w:left="765"/>
      </w:pPr>
      <w:r>
        <w:rPr>
          <w:rFonts w:ascii="Times New Roman" w:hAnsi="Times New Roman" w:eastAsia="宋体"/>
          <w:sz w:val="24"/>
        </w:rPr>
        <w:t>Robert Carlson, “Estimating the Biotech Sector’s Contribu­ tion to the US Economy,” Nature Biotechnology 34, no. 3 (March 2016): 247–55, https://doi.org/10.1038/nbt.3491.</w:t>
      </w:r>
    </w:p>
    <w:p>
      <w:pPr>
        <w:pStyle w:val="DocBody"/>
        <w:ind w:left="765"/>
      </w:pPr>
      <w:r>
        <w:rPr>
          <w:rFonts w:ascii="Times New Roman" w:hAnsi="Times New Roman" w:eastAsia="宋体"/>
          <w:sz w:val="24"/>
        </w:rPr>
        <w:t>Chui, Evers, Manyika, Zheng, and Nisbet, “The Bio Revolution.”</w:t>
      </w:r>
    </w:p>
    <w:p>
      <w:pPr>
        <w:pStyle w:val="DocBody"/>
        <w:ind w:left="765"/>
      </w:pPr>
      <w:r>
        <w:rPr>
          <w:rFonts w:ascii="Times New Roman" w:hAnsi="Times New Roman" w:eastAsia="宋体"/>
          <w:sz w:val="24"/>
        </w:rPr>
        <w:t>Jennifer Hennigan, Phillip Wagner, Chris Burk, et al., “A Technoeconomic Evaluation of the Potential of Industrial Biotech­ nology for the Competitive Production of Commodity and Bulk Chemicals,” preprint, ChemRxiv, November 16, 2020, https://doi .org/10.26434/chemrxiv.13238996.v1.</w:t>
      </w:r>
    </w:p>
    <w:p>
      <w:pPr>
        <w:pStyle w:val="DocBody"/>
        <w:ind w:left="765"/>
      </w:pPr>
      <w:r>
        <w:rPr>
          <w:rFonts w:ascii="Times New Roman" w:hAnsi="Times New Roman" w:eastAsia="宋体"/>
          <w:sz w:val="24"/>
        </w:rPr>
        <w:t>Camilo Calvache, Marta Rodriguez-Rodriguez, Victor Vazquez-Vilriales, et al., “Bioluminescent Sentinel Plants Enable Autonomous Diagnostics of Viral Infections,” preprint, bioRxiv, January 1, 2025, 2025.08.05.668616, https://doi.org /10.1101/2025.08.05.668616.</w:t>
      </w:r>
    </w:p>
    <w:p>
      <w:pPr>
        <w:pStyle w:val="DocBody"/>
        <w:ind w:left="765"/>
      </w:pPr>
      <w:r>
        <w:rPr>
          <w:rFonts w:ascii="Times New Roman" w:hAnsi="Times New Roman" w:eastAsia="宋体"/>
          <w:sz w:val="24"/>
        </w:rPr>
        <w:t>“IBM Mainframe,” Wikipedia, last modifed July 20, 2024, https://en.wikipedia.org/wiki/IBM_mainframe.</w:t>
      </w:r>
    </w:p>
    <w:p>
      <w:pPr>
        <w:pStyle w:val="DocBody"/>
        <w:ind w:left="765"/>
      </w:pPr>
      <w:r>
        <w:rPr>
          <w:rFonts w:ascii="Times New Roman" w:hAnsi="Times New Roman" w:eastAsia="宋体"/>
          <w:sz w:val="24"/>
        </w:rPr>
        <w:t>Vinton G. Cerf and Robert E. Kahn, “A Protocol for Packet Network Intercommunication,” IEEE Transactions on Commu­ nications 22, no. 5 (May 1974): 637–48, https://doi.org/10.1109 /TCOM.1974.1092259.</w:t>
      </w:r>
    </w:p>
    <w:p>
      <w:pPr>
        <w:pStyle w:val="DocBody"/>
        <w:ind w:left="765"/>
      </w:pPr>
      <w:r>
        <w:rPr>
          <w:rFonts w:ascii="Times New Roman" w:hAnsi="Times New Roman" w:eastAsia="宋体"/>
          <w:sz w:val="24"/>
        </w:rPr>
        <w:t>Whole Earth Epilog (Penguin Books, 1974), https://archive.org /details/wholeearthepilog00unse.</w:t>
      </w:r>
    </w:p>
    <w:p>
      <w:pPr>
        <w:pStyle w:val="DocBody"/>
        <w:ind w:left="765"/>
      </w:pPr>
      <w:r>
        <w:rPr>
          <w:rFonts w:ascii="Times New Roman" w:hAnsi="Times New Roman" w:eastAsia="宋体"/>
          <w:sz w:val="24"/>
        </w:rPr>
        <w:t>“History of Personal Computers,” Wikipedia, last modi­ fed August 19, 2024, https://en.wikipedia.org/wiki/History_of _personal_computers.</w:t>
      </w:r>
    </w:p>
    <w:p>
      <w:pPr>
        <w:pStyle w:val="DocBody"/>
        <w:ind w:left="765"/>
      </w:pPr>
      <w:r>
        <w:rPr>
          <w:rFonts w:ascii="Times New Roman" w:hAnsi="Times New Roman" w:eastAsia="宋体"/>
          <w:sz w:val="24"/>
        </w:rPr>
        <w:t>Callie R. Chappell, Ana Paulina Quiroz, David Sun Kong, and Drew Endy, “Creating a Popular Foundation for the Bio-Age,”</w:t>
      </w:r>
    </w:p>
    <w:p>
      <w:pPr>
        <w:pStyle w:val="DocBody"/>
      </w:pPr>
      <w:r>
        <w:rPr>
          <w:rFonts w:ascii="Times New Roman" w:hAnsi="Times New Roman" w:eastAsia="宋体"/>
          <w:sz w:val="24"/>
        </w:rPr>
        <w:t>Issues in Science and Technology 41, no. 4 (Summer 2025): 60–63, https://doi.org/10.58875/LCHC2652.</w:t>
      </w:r>
    </w:p>
    <w:p>
      <w:pPr>
        <w:pStyle w:val="DocBody"/>
        <w:ind w:left="765"/>
      </w:pPr>
      <w:r>
        <w:rPr>
          <w:rFonts w:ascii="Times New Roman" w:hAnsi="Times New Roman" w:eastAsia="宋体"/>
          <w:sz w:val="24"/>
        </w:rPr>
        <w:t>Ewen Callaway, “‘The Entire Protein Universe’: AI Predicts Shape of Nearly Every Known Protein,” Nature, July 29, 2023, https://www.nature.com/articles/d41586-022-02083-2.</w:t>
      </w:r>
    </w:p>
    <w:p>
      <w:pPr>
        <w:pStyle w:val="DocBody"/>
        <w:ind w:left="765"/>
      </w:pPr>
      <w:r>
        <w:rPr>
          <w:rFonts w:ascii="Times New Roman" w:hAnsi="Times New Roman" w:eastAsia="宋体"/>
          <w:sz w:val="24"/>
        </w:rPr>
        <w:t>“Summary,” the Nobel Prize in Chemistry 2024, the Nobel Prize, October 12, 2024, https://www.nobelprize.org/prizes /chemistry/2024/summary/.</w:t>
      </w:r>
    </w:p>
    <w:p>
      <w:pPr>
        <w:pStyle w:val="DocBody"/>
        <w:ind w:left="765"/>
      </w:pPr>
      <w:r>
        <w:rPr>
          <w:rFonts w:ascii="Times New Roman" w:hAnsi="Times New Roman" w:eastAsia="宋体"/>
          <w:sz w:val="24"/>
        </w:rPr>
        <w:t>Elliot Hershberg, “What Are Virtual Cells?,” The Century of Biology, June 29, 2025, https://centuryofbio.com/p/virtual-cell.</w:t>
      </w:r>
    </w:p>
    <w:p>
      <w:pPr>
        <w:pStyle w:val="DocBody"/>
        <w:ind w:left="765"/>
      </w:pPr>
      <w:r>
        <w:rPr>
          <w:rFonts w:ascii="Times New Roman" w:hAnsi="Times New Roman" w:eastAsia="宋体"/>
          <w:sz w:val="24"/>
        </w:rPr>
        <w:t>Akshay J. Maheshwari, Alp M. Sunol, Emma Gonzalez, Drew Endy, and Roseanna N. Zia, “Colloidal Hydrodynamics of Biological Cells: A Frontier Spanning Two Fields,” Physical Review Fluids 4, no. 11 (2019): 110506, https://doi.org/10.1103 /PhysRevFluids.4.110506.</w:t>
      </w:r>
    </w:p>
    <w:p>
      <w:pPr>
        <w:pStyle w:val="DocBody"/>
        <w:ind w:left="765"/>
      </w:pPr>
      <w:r>
        <w:rPr>
          <w:rFonts w:ascii="Times New Roman" w:hAnsi="Times New Roman" w:eastAsia="宋体"/>
          <w:sz w:val="24"/>
        </w:rPr>
        <w:t>Akshay J. Maheshwari, Jonathan Calles, Sean K. Waterton, and Drew Endy, “Engineering tRNA Abundances for Synthetic Cellular Systems,” Nature Communications 14, no. 1 (2023): 4594, https://doi.org/10.1038/s41467-023-40199-9; Akshay J. Mahesh­ wari, Alp M. Sunol, Emma Gonzalez, Drew Endy, and Roseanna N.</w:t>
      </w:r>
    </w:p>
    <w:p>
      <w:pPr>
        <w:pStyle w:val="DocBody"/>
      </w:pPr>
      <w:r>
        <w:rPr>
          <w:rFonts w:ascii="Times New Roman" w:hAnsi="Times New Roman" w:eastAsia="宋体"/>
          <w:sz w:val="24"/>
        </w:rPr>
        <w:t>Zia, “Colloidal Physics Modeling Reveals How Per-Ribosome Pro­ ductivity Increases with Growth Rate in Escherichia Coli,” mBio 14, no. 1 (2022): e02865–22, https://doi.org/10.1128/mbio.02865-22.</w:t>
      </w:r>
    </w:p>
    <w:p>
      <w:pPr>
        <w:pStyle w:val="DocBody"/>
        <w:ind w:left="765"/>
      </w:pPr>
      <w:r>
        <w:rPr>
          <w:rFonts w:ascii="Times New Roman" w:hAnsi="Times New Roman" w:eastAsia="宋体"/>
          <w:sz w:val="24"/>
        </w:rPr>
        <w:t>Chai Discovery Team et al., “Zero-Shot Antibody Design in a 24-Well Plate,” preprint, bioRxiv, July 6, 2025, https://doi .org/10.1101/2025.07.05.663018.</w:t>
      </w:r>
    </w:p>
    <w:p>
      <w:pPr>
        <w:pStyle w:val="DocBody"/>
        <w:ind w:left="765"/>
      </w:pPr>
      <w:r>
        <w:rPr>
          <w:rFonts w:ascii="Times New Roman" w:hAnsi="Times New Roman" w:eastAsia="宋体"/>
          <w:sz w:val="24"/>
        </w:rPr>
        <w:t>“Evo 2: DNA Foundation Model,” Arc Institute, 2024, https:// arcinstitute.org/tools/evo; Eric Nguyen, Michael Poli, Matthew G.</w:t>
      </w:r>
    </w:p>
    <w:p>
      <w:pPr>
        <w:pStyle w:val="DocBody"/>
      </w:pPr>
      <w:r>
        <w:rPr>
          <w:rFonts w:ascii="Times New Roman" w:hAnsi="Times New Roman" w:eastAsia="宋体"/>
          <w:sz w:val="24"/>
        </w:rPr>
        <w:t>Durrant, et al., “Sequence Modeling and Design from Molecular to Genome Scale with Evo,” preprint, bioRxiv, March 6, 2024, https://doi.org/10.1101/2024.02.27.582234.</w:t>
      </w:r>
    </w:p>
    <w:p>
      <w:pPr>
        <w:pStyle w:val="DocBody"/>
        <w:ind w:left="765"/>
      </w:pPr>
      <w:r>
        <w:rPr>
          <w:rFonts w:ascii="Times New Roman" w:hAnsi="Times New Roman" w:eastAsia="宋体"/>
          <w:sz w:val="24"/>
        </w:rPr>
        <w:t>Samuel H. King, Claudia L. Driscoll, David B. Li, et al., “Gen­ erative Design of Novel Bacteriophages with Genome Language Models,” preprint, bioRxiv, January 1, 2025, 2025.09.12.675911, https://doi.org/10.1101/2025.09.12.675911.</w:t>
      </w:r>
    </w:p>
    <w:p>
      <w:pPr>
        <w:pStyle w:val="DocBody"/>
        <w:ind w:left="765"/>
      </w:pPr>
      <w:r>
        <w:rPr>
          <w:rFonts w:ascii="Times New Roman" w:hAnsi="Times New Roman" w:eastAsia="宋体"/>
          <w:sz w:val="24"/>
        </w:rPr>
        <w:t>“Antheia Completes Successful Product Validation,” Antheia, January 8, 2024, https://antheia.bio/antheia-completes-successful -product-validation/.</w:t>
      </w:r>
    </w:p>
    <w:p>
      <w:pPr>
        <w:pStyle w:val="DocBody"/>
        <w:ind w:left="765"/>
      </w:pPr>
      <w:r>
        <w:rPr>
          <w:rFonts w:ascii="Times New Roman" w:hAnsi="Times New Roman" w:eastAsia="宋体"/>
          <w:sz w:val="24"/>
        </w:rPr>
        <w:t>“U.S. Secretary of State Antony Blinken Visits Antheia to Discuss Biotechnology Innovation,” Antheia, May 30, 2024,</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02  BIOTECHNOLOGY AND SYNTHETIC BIOLOGY</w:t>
      </w:r>
    </w:p>
    <w:p>
      <w:pPr>
        <w:pStyle w:val="DocBody"/>
      </w:pPr>
      <w:r>
        <w:rPr>
          <w:rFonts w:ascii="Times New Roman" w:hAnsi="Times New Roman" w:eastAsia="宋体"/>
          <w:sz w:val="24"/>
        </w:rPr>
        <w:t>https://antheia.bio/u-s-secretary-of-state-antony-j-blinken-visits -antheia-to-discuss-biotechnology-innovation/.</w:t>
      </w:r>
    </w:p>
    <w:p>
      <w:pPr>
        <w:pStyle w:val="DocBody"/>
        <w:ind w:left="765"/>
      </w:pPr>
      <w:r>
        <w:rPr>
          <w:rFonts w:ascii="Times New Roman" w:hAnsi="Times New Roman" w:eastAsia="宋体"/>
          <w:sz w:val="24"/>
        </w:rPr>
        <w:t>Chenwang Tang, Lin Wang, Lei Zang, Qing Wang, Dianpeng Qi, and Zhuojun Dai, “On-Demand Biomanufacturing Through Synthetic Biology Approach,” Materials Today Bio 18, no. 100518 (February 2023), https://doi.org/10.1016/j.mtbio.2022.100518.</w:t>
      </w:r>
    </w:p>
    <w:p>
      <w:pPr>
        <w:pStyle w:val="DocBody"/>
        <w:ind w:left="765"/>
      </w:pPr>
      <w:r>
        <w:rPr>
          <w:rFonts w:ascii="Times New Roman" w:hAnsi="Times New Roman" w:eastAsia="宋体"/>
          <w:sz w:val="24"/>
        </w:rPr>
        <w:t>Selin Kocalar, Bess M. Miller, Ally Huang, et al., “Validation of Cell-Free Protein Synthesis Aboard the International Space Station,” ACS Synthetic Biology 13, no. 3 (March 2024): 942–50, https://doi.org/10.1021/acssynbio.3c00733.</w:t>
      </w:r>
    </w:p>
    <w:p>
      <w:pPr>
        <w:pStyle w:val="DocBody"/>
        <w:ind w:left="765"/>
      </w:pPr>
      <w:r>
        <w:rPr>
          <w:rFonts w:ascii="Times New Roman" w:hAnsi="Times New Roman" w:eastAsia="宋体"/>
          <w:sz w:val="24"/>
        </w:rPr>
        <w:t>Jessica C. Stark, Thapakorn Jaroentomeechai, Tyler D. Moeller, et al., “On-Demand Biomanufacturing of Protective Conjugate Vaccines,” Science Advances 7, no. 6 (February 2021): eabe9444, https://doi.org/10.1126/sciadv.abe9444; Jessica C. Stark, Ally Huang, Peter Q. Nguyen, et al., “BioBitsTM Bright: A Fluorescent Synthetic Biology Education Kit,” Science Advances 4, no. 8 (August 2018): eaat5107, https://doi.org/10.1126/sciadv.aat5107.</w:t>
      </w:r>
    </w:p>
    <w:p>
      <w:pPr>
        <w:pStyle w:val="DocBody"/>
        <w:ind w:left="765"/>
      </w:pPr>
      <w:r>
        <w:rPr>
          <w:rFonts w:ascii="Times New Roman" w:hAnsi="Times New Roman" w:eastAsia="宋体"/>
          <w:sz w:val="24"/>
        </w:rPr>
        <w:t>National Security Commission on Emerging Biotechnol­ ogy, “DNA: Reading, Writing, and Editing,” February 2024, https://www.biotech.senate.gov/press-releases/dna-reading -writing-and-editing/.</w:t>
      </w:r>
    </w:p>
    <w:p>
      <w:pPr>
        <w:pStyle w:val="DocBody"/>
        <w:ind w:left="765"/>
      </w:pPr>
      <w:r>
        <w:rPr>
          <w:rFonts w:ascii="Times New Roman" w:hAnsi="Times New Roman" w:eastAsia="宋体"/>
          <w:sz w:val="24"/>
        </w:rPr>
        <w:t>“The Human Genome Project,” National Human Genome Research Institute, National Institutes of Health, last modifed May 14, 2024, https://www.genome.gov/human-genome-project.</w:t>
      </w:r>
    </w:p>
    <w:p>
      <w:pPr>
        <w:pStyle w:val="DocBody"/>
        <w:ind w:left="765"/>
      </w:pPr>
      <w:r>
        <w:rPr>
          <w:rFonts w:ascii="Times New Roman" w:hAnsi="Times New Roman" w:eastAsia="宋体"/>
          <w:sz w:val="24"/>
        </w:rPr>
        <w:t>Kristen Philipkoski, “Celera Wins Genome Race,” Wired, April 6, 2000, https://www.wired.com/2000/04/celera-wins-genome-race/.</w:t>
      </w:r>
    </w:p>
    <w:p>
      <w:pPr>
        <w:pStyle w:val="DocBody"/>
        <w:ind w:left="765"/>
      </w:pPr>
      <w:r>
        <w:rPr>
          <w:rFonts w:ascii="Times New Roman" w:hAnsi="Times New Roman" w:eastAsia="宋体"/>
          <w:sz w:val="24"/>
        </w:rPr>
        <w:t>James M. Heather and Benjamin Chain, “The Sequence of Sequencers: The History of Sequencing DNA,” Genom­ ics 107, no. 1 (January 2016): 1–8, https://doi.org/10.1016/j .ygeno.2015.11.003.</w:t>
      </w:r>
    </w:p>
    <w:p>
      <w:pPr>
        <w:pStyle w:val="DocBody"/>
        <w:ind w:left="765"/>
      </w:pPr>
      <w:r>
        <w:rPr>
          <w:rFonts w:ascii="Times New Roman" w:hAnsi="Times New Roman" w:eastAsia="宋体"/>
          <w:sz w:val="24"/>
        </w:rPr>
        <w:t>Davied Deamer, Mark Akeson, and Daniel Branton, “Three Decades of Nanopore Sequencing,” Nature Biotechnology 34 (May 2016): 518–24, https://doi.org/10.1038/nbt.3423.</w:t>
      </w:r>
    </w:p>
    <w:p>
      <w:pPr>
        <w:pStyle w:val="DocBody"/>
        <w:ind w:left="765"/>
      </w:pPr>
      <w:r>
        <w:rPr>
          <w:rFonts w:ascii="Times New Roman" w:hAnsi="Times New Roman" w:eastAsia="宋体"/>
          <w:sz w:val="24"/>
        </w:rPr>
        <w:t>“Company History,”</w:t>
      </w:r>
    </w:p>
    <w:p>
      <w:pPr>
        <w:pStyle w:val="DocBody"/>
      </w:pPr>
      <w:r>
        <w:rPr>
          <w:rFonts w:ascii="Times New Roman" w:hAnsi="Times New Roman" w:eastAsia="宋体"/>
          <w:sz w:val="24"/>
        </w:rPr>
        <w:t>Oxford Nanopore Technologies, accessed September 3, 2024, https://nanoporetech.com/about /history.</w:t>
      </w:r>
    </w:p>
    <w:p>
      <w:pPr>
        <w:pStyle w:val="DocBody"/>
        <w:ind w:left="765"/>
      </w:pPr>
      <w:r>
        <w:rPr>
          <w:rFonts w:ascii="Times New Roman" w:hAnsi="Times New Roman" w:eastAsia="宋体"/>
          <w:sz w:val="24"/>
        </w:rPr>
        <w:t>Marvin H. Caruthers, “The Chemical Synthesis of DNA/ RNA: Our Gift to Science,” Journal of Biological Chemistry 288, no. 2 (December 2012): 1420–24, https://doi.org/10.1074/jbc .X112.442855.</w:t>
      </w:r>
    </w:p>
    <w:p>
      <w:pPr>
        <w:pStyle w:val="DocBody"/>
        <w:ind w:left="765"/>
      </w:pPr>
      <w:r>
        <w:rPr>
          <w:rFonts w:ascii="Times New Roman" w:hAnsi="Times New Roman" w:eastAsia="宋体"/>
          <w:sz w:val="24"/>
        </w:rPr>
        <w:t>“Integrated DNA Technologies Invests in New U.S. Synthetic Biology Manufacturing Facility,” Business Wire, May 28, 2024, https://www.businesswire.com/news/home/20240528727951/en /Integrated-DNA-Technologies-Invests-in-New-U.S.-Synthetic -Biology-Manufacturing-Facility.</w:t>
      </w:r>
    </w:p>
    <w:p>
      <w:pPr>
        <w:pStyle w:val="DocBody"/>
        <w:ind w:left="765"/>
      </w:pPr>
      <w:r>
        <w:rPr>
          <w:rFonts w:ascii="Times New Roman" w:hAnsi="Times New Roman" w:eastAsia="宋体"/>
          <w:sz w:val="24"/>
        </w:rPr>
        <w:t>Planetary Technologies, “Bioeconomy Dashboard.”</w:t>
      </w:r>
    </w:p>
    <w:p>
      <w:pPr>
        <w:pStyle w:val="DocBody"/>
        <w:ind w:left="765"/>
      </w:pPr>
      <w:r>
        <w:rPr>
          <w:rFonts w:ascii="Times New Roman" w:hAnsi="Times New Roman" w:eastAsia="宋体"/>
          <w:sz w:val="24"/>
        </w:rPr>
        <w:t>“Twist Bioscience Expands Gene Offering with Long Gene Fragments up to 5.0kb,” Business Wire, August 8, 2024, https:// www.businesswire.com/news/home/20240808863612/en/Twist -Bioscience-Expands-Gene-Offering-With-Long-Gene-Fragments -up-to-5.0kb.</w:t>
      </w:r>
    </w:p>
    <w:p>
      <w:pPr>
        <w:pStyle w:val="DocBody"/>
        <w:ind w:left="765"/>
      </w:pPr>
      <w:r>
        <w:rPr>
          <w:rFonts w:ascii="Times New Roman" w:hAnsi="Times New Roman" w:eastAsia="宋体"/>
          <w:sz w:val="24"/>
        </w:rPr>
        <w:t>“New Project to Pioneer the Principles of Human Genome Synthesis,” Wellcome Trust, June 26, 2025, https://wellcome.org /news/new-project-pioneer-principles-human-genome-synthesis.</w:t>
      </w:r>
    </w:p>
    <w:p>
      <w:pPr>
        <w:pStyle w:val="DocBody"/>
        <w:ind w:left="765"/>
      </w:pPr>
      <w:r>
        <w:rPr>
          <w:rFonts w:ascii="Times New Roman" w:hAnsi="Times New Roman" w:eastAsia="宋体"/>
          <w:sz w:val="24"/>
        </w:rPr>
        <w:t>MaryAnn Labant, “Enzymatic DNA Synthesis: Shorter Waits, Longer Strands,” Genetic Engineering &amp; Biotechnology News, July 1, 2024, https://www.genengnews.com/topics/omics/enzymatic -dna-synthesis-shorter-waits-longer-strands.</w:t>
      </w:r>
    </w:p>
    <w:p>
      <w:pPr>
        <w:pStyle w:val="DocBody"/>
        <w:ind w:left="765"/>
      </w:pPr>
      <w:r>
        <w:rPr>
          <w:rFonts w:ascii="Times New Roman" w:hAnsi="Times New Roman" w:eastAsia="宋体"/>
          <w:sz w:val="24"/>
        </w:rPr>
        <w:t>“Ansa Biotechnologies Announces Successful de novo Syn­ thesis of World’s Longest Oligonucleotide at 1005 Bases,” CRISPR Medicine News, March 9, 2023, https://crisprmedicinenews.com /press-release-service/card/ansa-biotechnologies-announces -successful-de-novo-synthesis-of-worlds-longest-oligonucleotide -at-10-1/.</w:t>
      </w:r>
    </w:p>
    <w:p>
      <w:pPr>
        <w:pStyle w:val="DocBody"/>
        <w:ind w:left="765"/>
      </w:pPr>
      <w:r>
        <w:rPr>
          <w:rFonts w:ascii="Times New Roman" w:hAnsi="Times New Roman" w:eastAsia="宋体"/>
          <w:sz w:val="24"/>
        </w:rPr>
        <w:t>Chunhong Li, Yishakejiang Saimaiti, Min Li, et al., “DNA Framework Array Enables Ultra-High Throughput DNA Synthe­ sis,” preprint, bioRxiv, May 31, 2025, https://doi.org/10.1101 /2025.05.30.657018.</w:t>
      </w:r>
    </w:p>
    <w:p>
      <w:pPr>
        <w:pStyle w:val="DocBody"/>
        <w:ind w:left="765"/>
      </w:pPr>
      <w:r>
        <w:rPr>
          <w:rFonts w:ascii="Times New Roman" w:hAnsi="Times New Roman" w:eastAsia="宋体"/>
          <w:sz w:val="24"/>
        </w:rPr>
        <w:t>“Light Bio,” Light Bio, accessed September 3, 2024, https:// www.light.bio.</w:t>
      </w:r>
    </w:p>
    <w:p>
      <w:pPr>
        <w:pStyle w:val="DocBody"/>
        <w:ind w:left="765"/>
      </w:pPr>
      <w:r>
        <w:rPr>
          <w:rFonts w:ascii="Times New Roman" w:hAnsi="Times New Roman" w:eastAsia="宋体"/>
          <w:sz w:val="24"/>
        </w:rPr>
        <w:t>Sasa Woodruff, “Gardeners Can Now Grow a Genetically Modifed Purple Tomato Made with Snapdragon DNA,” NPR, February 6, 2024, https://www.npr.org/sections/health-shots /2024/02/06/1228868005/purple-tomato-gmo-gardeners.</w:t>
      </w:r>
    </w:p>
    <w:p>
      <w:pPr>
        <w:pStyle w:val="DocBody"/>
        <w:ind w:left="765"/>
      </w:pPr>
      <w:r>
        <w:rPr>
          <w:rFonts w:ascii="Times New Roman" w:hAnsi="Times New Roman" w:eastAsia="宋体"/>
          <w:sz w:val="24"/>
        </w:rPr>
        <w:t>“Empress Limited Edition Tomato,” Norfolk Healthy Pro­ duce, accessed September 3, 2024, https://www.norfolkhealthy produce.com.</w:t>
      </w:r>
    </w:p>
    <w:p>
      <w:pPr>
        <w:pStyle w:val="DocBody"/>
        <w:ind w:left="765"/>
      </w:pPr>
      <w:r>
        <w:rPr>
          <w:rFonts w:ascii="Times New Roman" w:hAnsi="Times New Roman" w:eastAsia="宋体"/>
          <w:sz w:val="24"/>
        </w:rPr>
        <w:t>“ZBiotics Sugar-to-Fiber Probiotic Drink Mix,” Prepared Foods, October 12, 2024, https://www.preparedfoods.com /articles/129812-zbiotics-sugar-to-fber-probiotic-drink-mix.</w:t>
      </w:r>
    </w:p>
    <w:p>
      <w:pPr>
        <w:pStyle w:val="DocBody"/>
        <w:ind w:left="765"/>
      </w:pPr>
      <w:r>
        <w:rPr>
          <w:rFonts w:ascii="Times New Roman" w:hAnsi="Times New Roman" w:eastAsia="宋体"/>
          <w:sz w:val="24"/>
        </w:rPr>
        <w:t>Hadley Leggett, “Researchers Use Skin-Colonizing Bacteria to Create a Topical Cancer Therapy in Mice,” Stanford Medicine, April 12, 2023, https://med.stanford.edu/news/all-news/2023/04 /cancer-bacteria.html.</w:t>
      </w:r>
    </w:p>
    <w:p>
      <w:pPr>
        <w:pStyle w:val="DocBody"/>
        <w:ind w:left="765"/>
      </w:pPr>
      <w:r>
        <w:rPr>
          <w:rFonts w:ascii="Times New Roman" w:hAnsi="Times New Roman" w:eastAsia="宋体"/>
          <w:sz w:val="24"/>
        </w:rPr>
        <w:t>Michael A. Fischbach, Kazuki Nagashima, Yiyin E. Chen, and Djenet Bousbaine, “Bacteria-Engineered to Elicit Antigen-Specifc T Cells,” US Patent 2024/0024380 A1, fled December 22, 2021, and issued January 25, 2024.</w:t>
      </w:r>
    </w:p>
    <w:p>
      <w:pPr>
        <w:pStyle w:val="DocBody"/>
        <w:ind w:left="765"/>
      </w:pPr>
      <w:r>
        <w:rPr>
          <w:rFonts w:ascii="Times New Roman" w:hAnsi="Times New Roman" w:eastAsia="宋体"/>
          <w:sz w:val="24"/>
        </w:rPr>
        <w:t>Iliano V. Coutinho-Abreu, Omid Jamshidi, Robyn Raban, Katayoon Atabakhsh, Joseph A. Merriman, and Omar S. Akbari, “Identifcation of Human Skin Microbiome Odorants that Manipu­ late Mosquito Landing Behavior,” Scientifc Reports 14, no. 1631 (January 2024), https://doi.org/10.1038/s41598-023-50182-5.</w:t>
      </w:r>
    </w:p>
    <w:p>
      <w:pPr>
        <w:pStyle w:val="DocBody"/>
        <w:ind w:left="765"/>
      </w:pPr>
      <w:r>
        <w:rPr>
          <w:rFonts w:ascii="Times New Roman" w:hAnsi="Times New Roman" w:eastAsia="宋体"/>
          <w:sz w:val="24"/>
        </w:rPr>
        <w:t>Yaojie Kong, Jingyao Li, Xueyao Zhao, et al., “CAR-T Cell Therapy: Developments, Challenges and Expanded Applica­ tions from Cancer to Autoimmunity,” Frontiers in Immunology 15 (2024), https://doi.org/10.3389/fmmu.2024.1519671.</w:t>
      </w:r>
    </w:p>
    <w:p>
      <w:pPr>
        <w:pStyle w:val="DocBody"/>
        <w:ind w:left="765"/>
      </w:pPr>
      <w:r>
        <w:rPr>
          <w:rFonts w:ascii="Times New Roman" w:hAnsi="Times New Roman" w:eastAsia="宋体"/>
          <w:sz w:val="24"/>
        </w:rPr>
        <w:t>“CAR T Cells: Engineering Patients’ Immune Cells to Treat Their Cancers,” National Cancer Institute, February 26, 2025, https:// www.cancer.gov/about-cancer/treatment/research/car-t-cells.</w:t>
      </w:r>
    </w:p>
    <w:p>
      <w:pPr>
        <w:pStyle w:val="DocBody"/>
        <w:ind w:left="765"/>
      </w:pPr>
      <w:r>
        <w:rPr>
          <w:rFonts w:ascii="Times New Roman" w:hAnsi="Times New Roman" w:eastAsia="宋体"/>
          <w:sz w:val="24"/>
        </w:rPr>
        <w:t>Drew Endy, “STRANGE COMPETITION. A Statement of Evi­ dence Written in 2025,” testimony presented before the US-China Economic and Security Review Commission, hearing on “Made in China 2025—Who Is Winning?,” February 6, 2025.</w:t>
      </w:r>
    </w:p>
    <w:p>
      <w:pPr>
        <w:pStyle w:val="DocBody"/>
        <w:ind w:left="765"/>
      </w:pPr>
      <w:r>
        <w:rPr>
          <w:rFonts w:ascii="Times New Roman" w:hAnsi="Times New Roman" w:eastAsia="宋体"/>
          <w:sz w:val="24"/>
        </w:rPr>
        <w:t>John I. Glass, Chuck Merryman, Kim S. Wise, Clyde A.</w:t>
      </w:r>
    </w:p>
    <w:p>
      <w:pPr>
        <w:pStyle w:val="DocBody"/>
      </w:pPr>
      <w:r>
        <w:rPr>
          <w:rFonts w:ascii="Times New Roman" w:hAnsi="Times New Roman" w:eastAsia="宋体"/>
          <w:sz w:val="24"/>
        </w:rPr>
        <w:t>Hutchison III, and Hamilton O. Smith, “Minimal Cells—Real and Imagined,” Cold Spring Harbor Perspectives in Biology 9, no. 12 (December 2017): a023861, https://doi.org/10.1101/cshperspect .a023861.</w:t>
      </w:r>
    </w:p>
    <w:p>
      <w:pPr>
        <w:pStyle w:val="DocBody"/>
        <w:ind w:left="765"/>
      </w:pPr>
      <w:r>
        <w:rPr>
          <w:rFonts w:ascii="Times New Roman" w:hAnsi="Times New Roman" w:eastAsia="宋体"/>
          <w:sz w:val="24"/>
        </w:rPr>
        <w:t>Shohei Kitano, Ciai Lin, Jee Loon Foo, and Matthew Wook Chang, “Synthetic Biology: Learning the Way Toward High- Precision Biological Design,” PLOS Biology 21, no. 4 (April 2023):</w:t>
      </w:r>
    </w:p>
    <w:p>
      <w:pPr>
        <w:pStyle w:val="DocBody"/>
      </w:pPr>
      <w:r>
        <w:rPr>
          <w:rFonts w:ascii="Times New Roman" w:hAnsi="Times New Roman" w:eastAsia="宋体"/>
          <w:sz w:val="24"/>
        </w:rPr>
        <w:t>e3002116, https://doi.org/10.1371/journal.pbio.3002116.</w:t>
      </w:r>
    </w:p>
    <w:p>
      <w:pPr>
        <w:pStyle w:val="DocBody"/>
        <w:ind w:left="765"/>
      </w:pPr>
      <w:r>
        <w:rPr>
          <w:rFonts w:ascii="Times New Roman" w:hAnsi="Times New Roman" w:eastAsia="宋体"/>
          <w:sz w:val="24"/>
        </w:rPr>
        <w:t>A useful description of the contrast between “design-build-test­ learn” and “design-build-work” can be found at https://centuryofbio .com/p/design-build-work.</w:t>
      </w:r>
    </w:p>
    <w:p>
      <w:pPr>
        <w:pStyle w:val="DocBody"/>
        <w:ind w:left="765"/>
      </w:pPr>
      <w:r>
        <w:rPr>
          <w:rFonts w:ascii="Times New Roman" w:hAnsi="Times New Roman" w:eastAsia="宋体"/>
          <w:sz w:val="24"/>
        </w:rPr>
        <w:t>Drew Endy, “Upwelling,” Original Syn, blog, October 28, 2020, https://blog.originalsyn.bio/2020/10/upwelling.html.</w:t>
      </w:r>
    </w:p>
    <w:p>
      <w:pPr>
        <w:pStyle w:val="DocBody"/>
        <w:ind w:left="765"/>
      </w:pPr>
      <w:r>
        <w:rPr>
          <w:rFonts w:ascii="Times New Roman" w:hAnsi="Times New Roman" w:eastAsia="宋体"/>
          <w:sz w:val="24"/>
        </w:rPr>
        <w:t>Mark A. Skylar-Scott, Sebastien G. M. Uzel, Lucy L. Nam, et al., “Biomanufacturing of Organ-Specifc Tissues with High Cellular</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Density and Embedded Vascular Channels,” Science Advances 5, no. 9 (September 6, 2019): eaaw2459, https://doi.org/10.1126 /sciadv.aaw2459.</w:t>
      </w:r>
    </w:p>
    <w:p>
      <w:pPr>
        <w:pStyle w:val="DocBody"/>
        <w:ind w:left="765"/>
      </w:pPr>
      <w:r>
        <w:rPr>
          <w:rFonts w:ascii="Times New Roman" w:hAnsi="Times New Roman" w:eastAsia="宋体"/>
          <w:sz w:val="24"/>
        </w:rPr>
        <w:t>“Moonshot Effort Aims to Bioprint a Human Heart and Implant It in Pig,” news release, Stanford News, September 23, 2023, https://news-archive.stanford.edu/press-releases/2023/09/28 /moonshot-effort-eart-implant-pig.</w:t>
      </w:r>
    </w:p>
    <w:p>
      <w:pPr>
        <w:pStyle w:val="DocBody"/>
        <w:ind w:left="765"/>
      </w:pPr>
      <w:r>
        <w:rPr>
          <w:rFonts w:ascii="Times New Roman" w:hAnsi="Times New Roman" w:eastAsia="宋体"/>
          <w:sz w:val="24"/>
        </w:rPr>
        <w:t>Zachary A. Sexton, Dominic Rütsche, Jessica E. Herrmann, et al., “Rapid Model-Guided Design of Organ-Scale Synthetic Vas­ culature for Biomanufacturing,” Science 388, no. 6752 (June 12, 2025): 1198–1204, https://doi.org/10.1126/science.adj6152.</w:t>
      </w:r>
    </w:p>
    <w:p>
      <w:pPr>
        <w:pStyle w:val="DocBody"/>
        <w:ind w:left="765"/>
      </w:pPr>
      <w:r>
        <w:rPr>
          <w:rFonts w:ascii="Times New Roman" w:hAnsi="Times New Roman" w:eastAsia="宋体"/>
          <w:sz w:val="24"/>
        </w:rPr>
        <w:t>Dorian Leger, “Photovoltaic-Driven Microbial Protein Pro­ duction Can Use Land and Sunlight More Effciently than Con­ ventional Crops,” Proceedings of the National Academy of Sciences USA 118, no. 26 (June 2021): e2015025118, https://doi .org/10.1073/pnas.2015025118; Emiliano Bellini, “Solar-Powered Large Scale Microbial Food Production,” pv Magazine, August 3, 2021, https://www.pv-magazine.com/2021/08/03/solar-powered -large-scale-microbial-food-production.</w:t>
      </w:r>
    </w:p>
    <w:p>
      <w:pPr>
        <w:pStyle w:val="DocBody"/>
        <w:ind w:left="765"/>
      </w:pPr>
      <w:r>
        <w:rPr>
          <w:rFonts w:ascii="Times New Roman" w:hAnsi="Times New Roman" w:eastAsia="宋体"/>
          <w:sz w:val="24"/>
        </w:rPr>
        <w:t>Grant M. Landwehr, Bastian Vogeli, Cong Tian, et al., “A Synthetic Cell-Free Pathway for Biocatalytic Upgrading of One- Carbon Substrates,” preprint, bioRxiv, August 8, 2024, https://doi .org/10.1101/2024.08.08.607227.</w:t>
      </w:r>
    </w:p>
    <w:p>
      <w:pPr>
        <w:pStyle w:val="DocBody"/>
        <w:ind w:left="765"/>
      </w:pPr>
      <w:r>
        <w:rPr>
          <w:rFonts w:ascii="Times New Roman" w:hAnsi="Times New Roman" w:eastAsia="宋体"/>
          <w:sz w:val="24"/>
        </w:rPr>
        <w:t>Pranami Goswami, Kuang He, Jinhua Li, Yongxin Pan, Andrew P. Roberts, and Wei Lin, “Magnetotactic Bacteria and Magne­ tofossils: Ecology, Evolution, and Environmental Implications,”</w:t>
      </w:r>
    </w:p>
    <w:p>
      <w:pPr>
        <w:pStyle w:val="DocBody"/>
      </w:pPr>
      <w:r>
        <w:rPr>
          <w:rFonts w:ascii="Times New Roman" w:hAnsi="Times New Roman" w:eastAsia="宋体"/>
          <w:sz w:val="24"/>
        </w:rPr>
        <w:t>NPJ Bioflms and Microbiomes 8, no. 43 (June 2022), https://doi .org/10.1038/s41522-022-00304-0.</w:t>
      </w:r>
    </w:p>
    <w:p>
      <w:pPr>
        <w:pStyle w:val="DocBody"/>
        <w:ind w:left="765"/>
      </w:pPr>
      <w:r>
        <w:rPr>
          <w:rFonts w:ascii="Times New Roman" w:hAnsi="Times New Roman" w:eastAsia="宋体"/>
          <w:sz w:val="24"/>
        </w:rPr>
        <w:t>Sarah Graham, “Sea Sponge Inspires Better Fiber-Optic Cables,” Scientifc American, August 21, 2003, https://www .scientifcamerican.com/article/sea-sponge-inspires-bette/.</w:t>
      </w:r>
    </w:p>
    <w:p>
      <w:pPr>
        <w:pStyle w:val="DocBody"/>
        <w:ind w:left="765"/>
      </w:pPr>
      <w:r>
        <w:rPr>
          <w:rFonts w:ascii="Times New Roman" w:hAnsi="Times New Roman" w:eastAsia="宋体"/>
          <w:sz w:val="24"/>
        </w:rPr>
        <w:t>Abigail Kukura, PJ Maykish, David Lin, et al., “National Action Plan for U.S. Leadership in Biotechnology,” Special Com­ petitive Studies Project, April 12, 2023, 1, https://www.scsp.ai /wp-content/uploads/2023/04/National-Action-Plan-for-U.S.</w:t>
      </w:r>
    </w:p>
    <w:p>
      <w:pPr>
        <w:pStyle w:val="DocBody"/>
      </w:pPr>
      <w:r>
        <w:rPr>
          <w:rFonts w:ascii="Times New Roman" w:hAnsi="Times New Roman" w:eastAsia="宋体"/>
          <w:sz w:val="24"/>
        </w:rPr>
        <w:t>-Leadership-in-Biotechnology.pdf.</w:t>
      </w:r>
    </w:p>
    <w:p>
      <w:pPr>
        <w:pStyle w:val="DocBody"/>
        <w:ind w:left="765"/>
      </w:pPr>
      <w:r>
        <w:rPr>
          <w:rFonts w:ascii="Times New Roman" w:hAnsi="Times New Roman" w:eastAsia="宋体"/>
          <w:sz w:val="24"/>
        </w:rPr>
        <w:t>“SemiSynBio Consortium and Roadmap Development,”</w:t>
      </w:r>
    </w:p>
    <w:p>
      <w:pPr>
        <w:pStyle w:val="DocBody"/>
      </w:pPr>
      <w:r>
        <w:rPr>
          <w:rFonts w:ascii="Times New Roman" w:hAnsi="Times New Roman" w:eastAsia="宋体"/>
          <w:sz w:val="24"/>
        </w:rPr>
        <w:t>Semiconductor Research Corporation, accessed September 3, 2024, https://www.src.org/program/grc/semisynbio/semisynbio -consortium-roadmap.</w:t>
      </w:r>
    </w:p>
    <w:p>
      <w:pPr>
        <w:pStyle w:val="DocBody"/>
        <w:ind w:left="765"/>
      </w:pPr>
      <w:r>
        <w:rPr>
          <w:rFonts w:ascii="Times New Roman" w:hAnsi="Times New Roman" w:eastAsia="宋体"/>
          <w:sz w:val="24"/>
        </w:rPr>
        <w:t>“DNA Data Storage Alliance,” DNA Data Storage Alliance, accessed September 3, 2024, https://dnastoragealliance.org.</w:t>
      </w:r>
    </w:p>
    <w:p>
      <w:pPr>
        <w:pStyle w:val="DocBody"/>
        <w:ind w:left="765"/>
      </w:pPr>
      <w:r>
        <w:rPr>
          <w:rFonts w:ascii="Times New Roman" w:hAnsi="Times New Roman" w:eastAsia="宋体"/>
          <w:sz w:val="24"/>
        </w:rPr>
        <w:t>“Synthetic DNA Data Storage—Library of Congress Request for Information,” Sam.gov, 2025, https://sam.gov/opp/adc4a2ac 1f2445de83eacfc62a8e75dd/view.</w:t>
      </w:r>
    </w:p>
    <w:p>
      <w:pPr>
        <w:pStyle w:val="DocBody"/>
        <w:ind w:left="765"/>
      </w:pPr>
      <w:r>
        <w:rPr>
          <w:rFonts w:ascii="Times New Roman" w:hAnsi="Times New Roman" w:eastAsia="宋体"/>
          <w:sz w:val="24"/>
        </w:rPr>
        <w:t>Zhiran Zhang, “Probing and Engineering the Environment of Near-Surface Nitrogen-Vacancy Centers in Diamond for Quantum Sensing and Simulation” (PhD diss., University of California–Santa Barbara, 2024).</w:t>
      </w:r>
    </w:p>
    <w:p>
      <w:pPr>
        <w:pStyle w:val="DocBody"/>
        <w:ind w:left="765"/>
      </w:pPr>
      <w:r>
        <w:rPr>
          <w:rFonts w:ascii="Times New Roman" w:hAnsi="Times New Roman" w:eastAsia="宋体"/>
          <w:sz w:val="24"/>
        </w:rPr>
        <w:t>“Synthetic Biological Techniques for Energetic Materi­ als,” Strategic Environmental Research and Development Program, Environmental Security Technology Certifcation Pro­ gram, accessed September 3, 2024, https://serdp-estcp.mil /newsitems/details/ac878993-2005-4182-948a-f63c95668499 /synthetic-biological-techniques-for-energetic-materials.</w:t>
      </w:r>
    </w:p>
    <w:p>
      <w:pPr>
        <w:pStyle w:val="DocBody"/>
        <w:ind w:left="765"/>
      </w:pPr>
      <w:r>
        <w:rPr>
          <w:rFonts w:ascii="Times New Roman" w:hAnsi="Times New Roman" w:eastAsia="宋体"/>
          <w:sz w:val="24"/>
        </w:rPr>
        <w:t>“Resilience in NATO,” NATO Allied Command Transfor­ mation, December 15, 2023, https://www.act.nato.int/article /resilience-in-nato/.</w:t>
      </w:r>
    </w:p>
    <w:p>
      <w:pPr>
        <w:pStyle w:val="DocBody"/>
      </w:pPr>
      <w:r>
        <w:rPr>
          <w:rFonts w:ascii="Times New Roman" w:hAnsi="Times New Roman" w:eastAsia="宋体"/>
          <w:sz w:val="24"/>
        </w:rPr>
        <w:t>74 .“Biotech Firm Amyris Files for Bankruptcy in US,” Reuters, August 10, 2023, https://www.reuters.com/business/biotech-frm -amyris-fles-bankruptcy-us-2023-08-10; Amy Feldman and Angel Au-Yeung, “The Inside Story of How SoftBank-Backed Zymergen Imploded Four Months After Its $3 Billion IPO,” Forbes, October 13, 2021, https://www.forbes.com/sites/amyfeldman/2021/10/13/the -inside-story-of-how-softbank-backed-zymergen-imploded-four -months-after-its-3-billion-ipo.</w:t>
      </w:r>
    </w:p>
    <w:p>
      <w:pPr>
        <w:pStyle w:val="DocBody"/>
        <w:ind w:left="765"/>
      </w:pPr>
      <w:r>
        <w:rPr>
          <w:rFonts w:ascii="Times New Roman" w:hAnsi="Times New Roman" w:eastAsia="宋体"/>
          <w:sz w:val="24"/>
        </w:rPr>
        <w:t>Robert F. Service, “Synthetic Biology, Once Hailed as a Moneymaker, Meets Tough Times,” Science, August 22, 2024, https://www.science.org/content/article/synthetic-biology-once -hailed-moneymaker-meets-tough-times.</w:t>
      </w:r>
    </w:p>
    <w:p>
      <w:pPr>
        <w:pStyle w:val="DocBody"/>
        <w:ind w:left="765"/>
      </w:pPr>
      <w:r>
        <w:rPr>
          <w:rFonts w:ascii="Times New Roman" w:hAnsi="Times New Roman" w:eastAsia="宋体"/>
          <w:sz w:val="24"/>
        </w:rPr>
        <w:t>Drew Endy, “Funding Biotechnology’s Foundations to Fuel Private Sector Innovations,” testimony, Pursuing the Golden Age of Innovation: Strategic Priorities in Biotechnology, a joint meeting of the Research and Technology and Energy Subcom­ mittees of the Committee on Science, Space, and Technology of the US House of Representatives, June 5, 2025, https://www .hoover.org/research/joint-research-technology-and-energy -subcommittee-hearing-pursuing-golden-age-innovation-0.</w:t>
      </w:r>
    </w:p>
    <w:p>
      <w:pPr>
        <w:pStyle w:val="DocBody"/>
        <w:ind w:left="765"/>
      </w:pPr>
      <w:r>
        <w:rPr>
          <w:rFonts w:ascii="Times New Roman" w:hAnsi="Times New Roman" w:eastAsia="宋体"/>
          <w:sz w:val="24"/>
        </w:rPr>
        <w:t>Pursuing the Golden Age of Innovation: Strategic Priorities in Biotechnology, a joint meeting of the Research and Technology and Energy Subcommittees of the Committee on Science, Space, and Technology of the US House of Representatives, June 5, 2025, https://science.house.gov/2025/6/pursuing-the-golden-age-of -innovation-strategic-priorities-in-biotechnology.</w:t>
      </w:r>
    </w:p>
    <w:p>
      <w:pPr>
        <w:pStyle w:val="DocBody"/>
        <w:ind w:left="765"/>
      </w:pPr>
      <w:r>
        <w:rPr>
          <w:rFonts w:ascii="Times New Roman" w:hAnsi="Times New Roman" w:eastAsia="宋体"/>
          <w:sz w:val="24"/>
        </w:rPr>
        <w:t>For example, polio, horsepox, SARS-CoV-2, and the Spanish fu virus have been synthesized from scratch in laboratories. See, respectively, Jeronimo Cello, Aniko V. Paul, and Eckard Wimmer, “Chemical Synthesis of Poliovirus cDNA: Generation of Infectious Virus in the Absence of Natural Template,” Science 297, no. 5583 (2002): 1016–18, https://www.science.org/doi/10.1126/science .1072266; Ryan S. Noyce, Seth Lederman, David H. Evans, “Construc­ tion of an Infectious Horsepox Virus Vaccine from Chemically Syn­ thesized DNA Fragments,” PLOS ONE 13, no. 1 (2018): e0188453, https://journals.plos.org/plosone/article?id=10.1371/journal .pone.0188453; Tran Thi Nhu Thao, Fabien Labroussaa, Nadine Ebert, et al., “Rapid Reconstruction of SARS-CoV-2 Using a Syn­ thetic Genomics Platform,” Nature 582 (May 2020): 561–65, https://www.nature.com/articles/s41586-020-2294-9; Terrence M.</w:t>
      </w:r>
    </w:p>
    <w:p>
      <w:pPr>
        <w:pStyle w:val="DocBody"/>
      </w:pPr>
      <w:r>
        <w:rPr>
          <w:rFonts w:ascii="Times New Roman" w:hAnsi="Times New Roman" w:eastAsia="宋体"/>
          <w:sz w:val="24"/>
        </w:rPr>
        <w:t>Tumpey, Christopher F. Basler, Patricia V. Aguilar, et al., “Charac­ terization of the Reconstructed 1918 Spanish Infuenza Pandemic Virus,” Science 310, no. 5745 (2005): 77–80, https://www.science .org/doi/10.1126/science.1119392.</w:t>
      </w:r>
    </w:p>
    <w:p>
      <w:pPr>
        <w:pStyle w:val="DocBody"/>
        <w:ind w:left="765"/>
      </w:pPr>
      <w:r>
        <w:rPr>
          <w:rFonts w:ascii="Times New Roman" w:hAnsi="Times New Roman" w:eastAsia="宋体"/>
          <w:sz w:val="24"/>
        </w:rPr>
        <w:t>Katarzyna P. Adamala, Deepa Agashe, Yasmine Belkaid, et al., “Confronting Risks of Mirror Life,” Science 386, no. 6728 (2024):</w:t>
      </w:r>
    </w:p>
    <w:p>
      <w:pPr>
        <w:pStyle w:val="DocBody"/>
      </w:pPr>
      <w:r>
        <w:rPr>
          <w:rFonts w:ascii="Times New Roman" w:hAnsi="Times New Roman" w:eastAsia="宋体"/>
          <w:sz w:val="24"/>
        </w:rPr>
        <w:t>1351–53, https://doi.org/10.1126/science.ads9158.</w:t>
      </w:r>
    </w:p>
    <w:p>
      <w:pPr>
        <w:pStyle w:val="DocBody"/>
        <w:ind w:left="765"/>
      </w:pPr>
      <w:r>
        <w:rPr>
          <w:rFonts w:ascii="Times New Roman" w:hAnsi="Times New Roman" w:eastAsia="宋体"/>
          <w:sz w:val="24"/>
        </w:rPr>
        <w:t>“Summit Themes,” Spirit of Asilomar, 2025, https://www.spiritof asilomar.org/program/summit-themes.</w:t>
      </w:r>
    </w:p>
    <w:p>
      <w:pPr>
        <w:pStyle w:val="DocBody"/>
        <w:ind w:left="765"/>
      </w:pPr>
      <w:r>
        <w:rPr>
          <w:rFonts w:ascii="Times New Roman" w:hAnsi="Times New Roman" w:eastAsia="宋体"/>
          <w:sz w:val="24"/>
        </w:rPr>
        <w:t>“The Spirit of Asilomar and the Future of Biotechnology,” Rice Research Repository, 2025, https://repository.rice.edu/communities /4825def5-159e-4969-ae67-b2faf0c3b83d.</w:t>
      </w:r>
    </w:p>
    <w:p>
      <w:pPr>
        <w:pStyle w:val="DocBody"/>
        <w:ind w:left="765"/>
      </w:pPr>
      <w:r>
        <w:rPr>
          <w:rFonts w:ascii="Times New Roman" w:hAnsi="Times New Roman" w:eastAsia="宋体"/>
          <w:sz w:val="24"/>
        </w:rPr>
        <w:t>Jing Li et al., “Advances in Synthetic Biology and Biosafety Governance,” Frontiers in Bioengineering and Biotechnology 9 (April 2021): 598087, https://doi.org/10.3389/fbioe.2021.598087.</w:t>
      </w:r>
    </w:p>
    <w:p>
      <w:pPr>
        <w:pStyle w:val="DocBody"/>
        <w:ind w:left="765"/>
      </w:pPr>
      <w:r>
        <w:rPr>
          <w:rFonts w:ascii="Times New Roman" w:hAnsi="Times New Roman" w:eastAsia="宋体"/>
          <w:sz w:val="24"/>
        </w:rPr>
        <w:t>Erik Parens, Josephine Johnston, and Jacob Moses, “Ethical Issues in Synthetic Biology: An Overview of the Debates,” Wood­ row Wilson International Center for Scholars, June 2009, https:// www.wilsoncenter.org/sites/default/files/media/documents /publication/synbio3.pdf.</w:t>
      </w:r>
    </w:p>
    <w:p>
      <w:pPr>
        <w:pStyle w:val="DocBody"/>
        <w:ind w:left="765"/>
      </w:pPr>
      <w:r>
        <w:rPr>
          <w:rFonts w:ascii="Times New Roman" w:hAnsi="Times New Roman" w:eastAsia="宋体"/>
          <w:sz w:val="24"/>
        </w:rPr>
        <w:t>Drew Endy and Laurie Zoloth, ”Should We Synthesize a Human Genome?,” Dspace@MIT, May 10, 2016, https://dspace.mit.edu /handle/1721.1/102449.</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02  BIOTECHNOLOGY AND SYNTHETIC BIOLOGY</w:t>
      </w:r>
    </w:p>
    <w:p>
      <w:pPr>
        <w:pStyle w:val="DocBody"/>
        <w:ind w:left="765"/>
      </w:pPr>
      <w:r>
        <w:rPr>
          <w:rFonts w:ascii="Times New Roman" w:hAnsi="Times New Roman" w:eastAsia="宋体"/>
          <w:sz w:val="24"/>
        </w:rPr>
        <w:t>“Home,” National Security Commission on Emerging Bio­ technology, accessed September 3, 2024, https://www.biotech .senate.gov.</w:t>
      </w:r>
    </w:p>
    <w:p>
      <w:pPr>
        <w:pStyle w:val="DocBody"/>
        <w:ind w:left="765"/>
      </w:pPr>
      <w:r>
        <w:rPr>
          <w:rFonts w:ascii="Times New Roman" w:hAnsi="Times New Roman" w:eastAsia="宋体"/>
          <w:sz w:val="24"/>
        </w:rPr>
        <w:t>Drew Endy and Mike Kuiken, “US Must Embrace a Winning Biotech Strategy,” Boston Globe, February 21, 2025, https://www.</w:t>
      </w:r>
    </w:p>
    <w:p>
      <w:pPr>
        <w:pStyle w:val="DocBody"/>
      </w:pPr>
      <w:r>
        <w:rPr>
          <w:rFonts w:ascii="Times New Roman" w:hAnsi="Times New Roman" w:eastAsia="宋体"/>
          <w:sz w:val="24"/>
        </w:rPr>
        <w:t>bostonglobe.com/2025/02/21/opinion/us-china-biotechnology -innovation-manufacturing/.</w:t>
      </w:r>
    </w:p>
    <w:p>
      <w:pPr>
        <w:pStyle w:val="DocBody"/>
        <w:ind w:left="765"/>
      </w:pPr>
      <w:r>
        <w:rPr>
          <w:rFonts w:ascii="Times New Roman" w:hAnsi="Times New Roman" w:eastAsia="宋体"/>
          <w:sz w:val="24"/>
        </w:rPr>
        <w:t>Iris Luo, “China’s Biopharma Boom in Global Drug Licensing Deals,” EC Innovations, July 3, 2025, https://www.ecinnovations .com/blog/chinas-biopharma-boom-in-global-drug-licensing -deals/.</w:t>
      </w:r>
    </w:p>
    <w:p>
      <w:pPr>
        <w:pStyle w:val="DocBody"/>
      </w:pPr>
      <w:r>
        <w:rPr>
          <w:rFonts w:ascii="Times New Roman" w:hAnsi="Times New Roman" w:eastAsia="宋体"/>
          <w:sz w:val="24"/>
        </w:rPr>
        <w:t>STANFORD EXPERT CONTRIBUTORS Dr. Drew Endy SETR Faculty Council and Martin Family Faculty Fellow in Undergraduate Education (Bioengineering)</w:t>
      </w:r>
    </w:p>
    <w:p>
      <w:pPr>
        <w:pStyle w:val="DocBody"/>
      </w:pPr>
      <w:r>
        <w:rPr>
          <w:rFonts w:ascii="Times New Roman" w:hAnsi="Times New Roman" w:eastAsia="宋体"/>
          <w:sz w:val="24"/>
        </w:rPr>
        <w:t>Dr. Dan Lin­Arlow Cofounder and Chief Scientifc Offcer at Ansa Biotechnologies, Inc.</w:t>
      </w:r>
    </w:p>
    <w:p>
      <w:pPr>
        <w:pStyle w:val="DocBody"/>
      </w:pPr>
      <w:r>
        <w:rPr>
          <w:rFonts w:ascii="Times New Roman" w:hAnsi="Times New Roman" w:eastAsia="宋体"/>
          <w:sz w:val="24"/>
        </w:rPr>
        <w:t>Dr. Possu Huang Assistant Professor of Bioengineering Dr. Brian Hie Assistant Professor of Chemical Engineering Dr. Michael Jewett Professor of Bioengineering Dr. Jennifer Brophy Assistant Professor of Bioengineering Samuel Hyo­nam King PhD Student in Bioengineering Annie Nguyen SETR Fellow and PhD Student in Bioengineering</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Overview The word cryptography originates from Greek words that mean “secret writing.” Once limited to simple codes and ciphers, it now relies on advanced math­ ematics to protect data from unauthorized access or tampering.1 Though largely invisible, cryptography secures many everyday interactions, from online shopping to cell phone calls.</w:t>
      </w:r>
    </w:p>
    <w:p>
      <w:pPr>
        <w:pStyle w:val="DocBody"/>
      </w:pPr>
      <w:r>
        <w:rPr>
          <w:rFonts w:ascii="Times New Roman" w:hAnsi="Times New Roman" w:eastAsia="宋体"/>
          <w:sz w:val="24"/>
        </w:rPr>
        <w:t>Cryptography is essential for internet activity — from messaging and banking to everyday browsing — but it cannot, on its own, guarantee the confidentiality, integrity, or availability of information. Various vul­ nerabilities ensure that cybersecurity will remain an ongoing challenge. These include technical vulner­ abilities in the digital systems that humans operate and use; human vulnerabilities, such as the tendency to bypass security mechanisms because using them is considered inconvenient; and strong incentives for attackers.</w:t>
      </w:r>
    </w:p>
    <w:p>
      <w:pPr>
        <w:pStyle w:val="DocBody"/>
      </w:pPr>
      <w:r>
        <w:rPr>
          <w:rFonts w:ascii="Times New Roman" w:hAnsi="Times New Roman" w:eastAsia="宋体"/>
          <w:sz w:val="24"/>
        </w:rPr>
        <w:t>KEY TAKEAWAYS °   Cryptography is essential for protecting infor­ mation, but alone it cannot secure cyberspace against all threats; it must operate in concert with the broader field of computer security.</w:t>
      </w:r>
    </w:p>
    <w:p>
      <w:pPr>
        <w:pStyle w:val="DocBody"/>
      </w:pPr>
      <w:r>
        <w:rPr>
          <w:rFonts w:ascii="Times New Roman" w:hAnsi="Times New Roman" w:eastAsia="宋体"/>
          <w:sz w:val="24"/>
        </w:rPr>
        <w:t>°   Cryptography is the enabling technology of blockchain, which is the enabling technology of cryptocurrencies.</w:t>
      </w:r>
    </w:p>
    <w:p>
      <w:pPr>
        <w:pStyle w:val="DocBody"/>
      </w:pPr>
      <w:r>
        <w:rPr>
          <w:rFonts w:ascii="Times New Roman" w:hAnsi="Times New Roman" w:eastAsia="宋体"/>
          <w:sz w:val="24"/>
        </w:rPr>
        <w:t>°   Rather than pursue a central bank digital cur­ rency, the United States has adopted a policy preference for privately issued digital assets, pro­ moting stablecoins and other cryptocurrencies as vehicles for financial innovation and resilience.</w:t>
      </w:r>
    </w:p>
    <w:p>
      <w:pPr>
        <w:pStyle w:val="DocBody"/>
      </w:pPr>
      <w:r>
        <w:rPr>
          <w:rFonts w:ascii="Times New Roman" w:hAnsi="Times New Roman" w:eastAsia="宋体"/>
          <w:sz w:val="24"/>
        </w:rPr>
        <w:t>CRYPTOGRAPHY AND COMPUTER SECURITY</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Cryptography is essential for internet activity — from messaging and banking to everyday browsing.</w:t>
      </w:r>
    </w:p>
    <w:p>
      <w:pPr>
        <w:pStyle w:val="DocBody"/>
      </w:pPr>
      <w:r>
        <w:rPr>
          <w:rFonts w:ascii="Times New Roman" w:hAnsi="Times New Roman" w:eastAsia="宋体"/>
          <w:sz w:val="24"/>
        </w:rPr>
        <w:t>Cryptography Basics: Public Keys, Private Keys, and Hashes Here’s an example of how cryptography works:</w:t>
      </w:r>
    </w:p>
    <w:p>
      <w:pPr>
        <w:pStyle w:val="DocBody"/>
      </w:pPr>
      <w:r>
        <w:rPr>
          <w:rFonts w:ascii="Times New Roman" w:hAnsi="Times New Roman" w:eastAsia="宋体"/>
          <w:sz w:val="24"/>
        </w:rPr>
        <w:t>Drew wants to send a private message to Taylor. She scrambles (encrypts) the message using an encryp­ tion algorithm and sends the scrambled (ciphertext)</w:t>
      </w:r>
    </w:p>
    <w:p>
      <w:pPr>
        <w:pStyle w:val="DocBody"/>
      </w:pPr>
      <w:r>
        <w:rPr>
          <w:rFonts w:ascii="Times New Roman" w:hAnsi="Times New Roman" w:eastAsia="宋体"/>
          <w:sz w:val="24"/>
        </w:rPr>
        <w:t>version. When Taylor receives it, he unscrambles (decrypts) it to recover the original (plaintext) mes­ sage. Ellen, an eavesdropper, tries to intercept the message and must fnd a way to break the cryp­ tographic protection to see the plaintext.</w:t>
      </w:r>
    </w:p>
    <w:p>
      <w:pPr>
        <w:pStyle w:val="DocBody"/>
      </w:pPr>
      <w:r>
        <w:rPr>
          <w:rFonts w:ascii="Times New Roman" w:hAnsi="Times New Roman" w:eastAsia="宋体"/>
          <w:sz w:val="24"/>
        </w:rPr>
        <w:t>One example of an encryption algorithm is the shift cipher, where each letter is replaced by one N posi­ tions later in the alphabet. If N = 2, A in the plain- text becomes C in the ciphertext, B becomes D, and so on. If N = 3, A becomes D. To decrypt the ciphertext, Taylor must know that the algorithm was the shift cipher and the key N—so if he sees C and knows N = 2, he writes down A. (Modern encryption is far more secure and complex than this example but also harder to explain.)</w:t>
      </w:r>
    </w:p>
    <w:p>
      <w:pPr>
        <w:pStyle w:val="DocBody"/>
      </w:pPr>
      <w:r>
        <w:rPr>
          <w:rFonts w:ascii="Times New Roman" w:hAnsi="Times New Roman" w:eastAsia="宋体"/>
          <w:sz w:val="24"/>
        </w:rPr>
        <w:t>Both Drew and Taylor must share a secret: N, the cryptographic key—a string of digits used for both encryption and decryption. They must also know that the algorithm is the shift cipher. If Ellen learns both the algorithm and key, she can decrypt the message.</w:t>
      </w:r>
    </w:p>
    <w:p>
      <w:pPr>
        <w:pStyle w:val="DocBody"/>
      </w:pPr>
      <w:r>
        <w:rPr>
          <w:rFonts w:ascii="Times New Roman" w:hAnsi="Times New Roman" w:eastAsia="宋体"/>
          <w:sz w:val="24"/>
        </w:rPr>
        <w:t>This type of encryption, where the same key is used by both parties, is known as symmetric or secret-key cryptography. It requires secure key distribution—a way to share keys with intended recipients while keeping them from others.</w:t>
      </w:r>
    </w:p>
    <w:p>
      <w:pPr>
        <w:pStyle w:val="DocBody"/>
      </w:pPr>
      <w:r>
        <w:rPr>
          <w:rFonts w:ascii="Times New Roman" w:hAnsi="Times New Roman" w:eastAsia="宋体"/>
          <w:sz w:val="24"/>
        </w:rPr>
        <w:t>Symmetric cryptography poses a practical problem:</w:t>
      </w:r>
    </w:p>
    <w:p>
      <w:pPr>
        <w:pStyle w:val="DocBody"/>
      </w:pPr>
      <w:r>
        <w:rPr>
          <w:rFonts w:ascii="Times New Roman" w:hAnsi="Times New Roman" w:eastAsia="宋体"/>
          <w:sz w:val="24"/>
        </w:rPr>
        <w:t>Parties have to meet in person to exchange secret keys before communicating securely. Imagine having to meet every phone contact face to face before speaking. In the 1970s, Stanford professor Martin Hellman and Whitfeld Diffe introduced asymmetric, or public-key, cryptography. This uses two keys: a public key, which anyone can use to encrypt a mes­ sage and can be distributed over insecure channels, and a private key, known only to the intended recip­ ient (see fgure 3.1), which is needed to decrypt it.</w:t>
      </w:r>
    </w:p>
    <w:p>
      <w:pPr>
        <w:pStyle w:val="DocBody"/>
      </w:pPr>
      <w:r>
        <w:rPr>
          <w:rFonts w:ascii="Times New Roman" w:hAnsi="Times New Roman" w:eastAsia="宋体"/>
          <w:sz w:val="24"/>
        </w:rPr>
        <w:t>Although the keys are mathematically linked, deriv­ ing the private key from the public key would take longer than the age of the universe (unless quantum computing changes that, as discussed later in this chapter; for an in-depth discussion of quantum com­ puting, see chapter 7, on quantum technologies).</w:t>
      </w:r>
    </w:p>
    <w:p>
      <w:pPr>
        <w:pStyle w:val="DocBody"/>
      </w:pPr>
      <w:r>
        <w:rPr>
          <w:rFonts w:ascii="Times New Roman" w:hAnsi="Times New Roman" w:eastAsia="宋体"/>
          <w:sz w:val="24"/>
        </w:rPr>
        <w:t>Cryptography also enables the creation of secure hashes. A hash accepts a message of any length and computes a unique fxed-length string of num­ bers—called the hash value—corresponding to that message. Hashes have two key properties: It is extremely diffcult to fnd another message with the same hash value, and it is infeasible to recover the original message from the hash value alone.</w:t>
      </w:r>
    </w:p>
    <w:p>
      <w:pPr>
        <w:pStyle w:val="DocBody"/>
      </w:pPr>
      <w:r>
        <w:rPr>
          <w:rFonts w:ascii="Times New Roman" w:hAnsi="Times New Roman" w:eastAsia="宋体"/>
          <w:sz w:val="24"/>
        </w:rPr>
        <w:t>Using a secure hash function, the sender can use public-key cryptography to ensure integrity (protec­ tion against tampering) and identity (the message originated from the stated sender).</w:t>
      </w:r>
    </w:p>
    <w:p>
      <w:pPr>
        <w:pStyle w:val="DocBody"/>
      </w:pPr>
      <w:r>
        <w:rPr>
          <w:rFonts w:ascii="Times New Roman" w:hAnsi="Times New Roman" w:eastAsia="宋体"/>
          <w:sz w:val="24"/>
        </w:rPr>
        <w:t>To illustrate, Alice (the sender) frst computes the hash value of her message. Next, she encrypts the hash value with her private key, a process analogous to signing a document, generating a digital signature of the message’s hash.2 Alice then sends the mes­ sage and its digital signature to Bob (the receiver).</w:t>
      </w:r>
    </w:p>
    <w:p>
      <w:pPr>
        <w:pStyle w:val="DocBody"/>
      </w:pPr>
      <w:r>
        <w:rPr>
          <w:rFonts w:ascii="Times New Roman" w:hAnsi="Times New Roman" w:eastAsia="宋体"/>
          <w:sz w:val="24"/>
        </w:rPr>
        <w:t>Once Bob receives it, he can recover the hash value for the message that Alice purportedly sent and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compare that value to his own computation of the hash value. If these match, Bob can be assured that the message has not been altered in transmission and that Alice sent it, since only Alice could have used her private key to create a digital signature of the message’s hash.</w:t>
      </w:r>
    </w:p>
    <w:p>
      <w:pPr>
        <w:pStyle w:val="DocBody"/>
      </w:pPr>
      <w:r>
        <w:rPr>
          <w:rFonts w:ascii="Times New Roman" w:hAnsi="Times New Roman" w:eastAsia="宋体"/>
          <w:sz w:val="24"/>
        </w:rPr>
        <w:t>Messages can also be digitally time stamped. A known authoritative time and date server—such as the Internet Time Service, operated by the National Institute of Standards and Technology—accepts a message, appends the current date and time, and then provides a digital signature for the stamped message.</w:t>
      </w:r>
    </w:p>
    <w:p>
      <w:pPr>
        <w:pStyle w:val="DocBody"/>
      </w:pPr>
      <w:r>
        <w:rPr>
          <w:rFonts w:ascii="Times New Roman" w:hAnsi="Times New Roman" w:eastAsia="宋体"/>
          <w:sz w:val="24"/>
        </w:rPr>
        <w:t>Computer Security Computer security traditionally focuses on safe­ guarding computer systems against unauthorized access and misuse. It emphasizes the core principles of confdentiality, integrity, and availability—with all three also known collectively as the CIA triad.</w:t>
      </w:r>
    </w:p>
    <w:p>
      <w:pPr>
        <w:pStyle w:val="DocBody"/>
      </w:pPr>
      <w:r>
        <w:rPr>
          <w:rFonts w:ascii="Times New Roman" w:hAnsi="Times New Roman" w:eastAsia="宋体"/>
          <w:sz w:val="24"/>
        </w:rPr>
        <w:t>Confdentiality refers to the privacy of data (i.e., pre­ venting unauthorized disclosure). Integrity refers to preserving data (i.e., guarding against unauthorized alterations). Availability refers to data and resources being accessible to authorized users, especially during critical times.</w:t>
      </w:r>
    </w:p>
    <w:p>
      <w:pPr>
        <w:pStyle w:val="DocBody"/>
      </w:pPr>
      <w:r>
        <w:rPr>
          <w:rFonts w:ascii="Times New Roman" w:hAnsi="Times New Roman" w:eastAsia="宋体"/>
          <w:sz w:val="24"/>
        </w:rPr>
        <w:t>Historically, computer security focused on protect­ ing individual machines from actions perpetrated by malicious actors, whether individuals or states. Over time, the focus has expanded—frst to securing the infrastructure of increasingly networked systems and now to addressing vulnerabilities in machine learn­ ing (ML) models. Cryptography is one of many tools whose use can enhance computer security. However, the protections afforded by even perfect cryptogra­ phy can often be circumvented by taking advantage of vulnerabilities in the computer systems on which FIGURE 3.1  How public­key cryptography works Drew Taylor Servers mi34fpe9501qk Encrypted email to Taylor Public Keys mi34fpe9501qk mi34fpe9501qk Drew’s private key Taylor’s private key Send me $ Send me $ Taylor uses their private key to decrypt the message Drew uses Taylor’s public key to encrypt Taylor’s public key Drew’s public key 03  CRYPTOGRAPHY AND COMPUTER SECURITY</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that cryptography is implemented. For example, if an intercepted encrypted message is too hard to decrypt, the attacker’s focus will most likely be on exploiting vulnerabilities in computer security to obtain the message before the sender encrypts it or after the receiver decrypts it.</w:t>
      </w:r>
    </w:p>
    <w:p>
      <w:pPr>
        <w:pStyle w:val="DocBody"/>
      </w:pPr>
      <w:r>
        <w:rPr>
          <w:rFonts w:ascii="Times New Roman" w:hAnsi="Times New Roman" w:eastAsia="宋体"/>
          <w:sz w:val="24"/>
        </w:rPr>
        <w:t>Thus, cryptography and security are inseparable, and using cryptography is by no means a guarantee of security.</w:t>
      </w:r>
    </w:p>
    <w:p>
      <w:pPr>
        <w:pStyle w:val="DocBody"/>
      </w:pPr>
      <w:r>
        <w:rPr>
          <w:rFonts w:ascii="Times New Roman" w:hAnsi="Times New Roman" w:eastAsia="宋体"/>
          <w:sz w:val="24"/>
        </w:rPr>
        <w:t>Blockchain Technology A blockchain is a chain of digital blocks, each con­ taining a transaction and a cryptographic hash of the previous block. This links every block (except the frst) to its predecessor. As new transactions occur, new blocks are added, extending the chain.</w:t>
      </w:r>
    </w:p>
    <w:p>
      <w:pPr>
        <w:pStyle w:val="DocBody"/>
      </w:pPr>
      <w:r>
        <w:rPr>
          <w:rFonts w:ascii="Times New Roman" w:hAnsi="Times New Roman" w:eastAsia="宋体"/>
          <w:sz w:val="24"/>
        </w:rPr>
        <w:t>Blockchains are distributed across thousands of com­ puters, ensuring they are highly decentralized. They enable multiple parties to coordinate transactions without a central trusted authority—a common need in fnancial settings. Transactions recorded on them cannot be altered retroactively without detection.</w:t>
      </w:r>
    </w:p>
    <w:p>
      <w:pPr>
        <w:pStyle w:val="DocBody"/>
      </w:pPr>
      <w:r>
        <w:rPr>
          <w:rFonts w:ascii="Times New Roman" w:hAnsi="Times New Roman" w:eastAsia="宋体"/>
          <w:sz w:val="24"/>
        </w:rPr>
        <w:t>Because blockchains are widely distributed across thousands of computers, they are always accessible:</w:t>
      </w:r>
    </w:p>
    <w:p>
      <w:pPr>
        <w:pStyle w:val="DocBody"/>
      </w:pPr>
      <w:r>
        <w:rPr>
          <w:rFonts w:ascii="Times New Roman" w:hAnsi="Times New Roman" w:eastAsia="宋体"/>
          <w:sz w:val="24"/>
        </w:rPr>
        <w:t>Anyone can deploy or interact with applications, and no one can block access to them. Data on block- chains cannot be erased; later transactions may cor­ rect errors, but the original record remains.</w:t>
      </w:r>
    </w:p>
    <w:p>
      <w:pPr>
        <w:pStyle w:val="DocBody"/>
      </w:pPr>
      <w:r>
        <w:rPr>
          <w:rFonts w:ascii="Times New Roman" w:hAnsi="Times New Roman" w:eastAsia="宋体"/>
          <w:sz w:val="24"/>
        </w:rPr>
        <w:t>The distributed nature of blockchains also increases security. A new transaction on a blockchain is broad­ cast to every party in the network, each of which has a replica of the entire blockchain (see fgure 3.2). Each party then tries to validate the new transaction. These replicas may not be fully synchronized; some might have received the new transaction, while others may have not. To ensure that all replicas are identical, block- chains use consensus mechanisms to agree on the correct information. Ethereum, for example, accepts transactions that have been validated by two-thirds of the participants. Blockchains are designed with eco­ nomic incentives for replicas to behave honestly.</w:t>
      </w:r>
    </w:p>
    <w:p>
      <w:pPr>
        <w:pStyle w:val="DocBody"/>
      </w:pPr>
      <w:r>
        <w:rPr>
          <w:rFonts w:ascii="Times New Roman" w:hAnsi="Times New Roman" w:eastAsia="宋体"/>
          <w:sz w:val="24"/>
        </w:rPr>
        <w:t>Applications that run on a blockchain are called smart contracts—computer programs that are always avail­ able and whose execution cannot be reversed. They can implement fnancial instruments, record owner­ ship of digital assets, or support marketplaces for buying and selling. Smart contracts are also compos- able: One contract can use another, enabling a vibrant ecosystem where projects build on each other. Once deployed, the contracts remain available indefnitely.</w:t>
      </w:r>
    </w:p>
    <w:p>
      <w:pPr>
        <w:pStyle w:val="DocBody"/>
      </w:pPr>
      <w:r>
        <w:rPr>
          <w:rFonts w:ascii="Times New Roman" w:hAnsi="Times New Roman" w:eastAsia="宋体"/>
          <w:sz w:val="24"/>
        </w:rPr>
        <w:t>This is in contrast to cloud applications, which disap­ pear when developers stop paying hosting fees.</w:t>
      </w:r>
    </w:p>
    <w:p>
      <w:pPr>
        <w:pStyle w:val="DocBody"/>
      </w:pPr>
      <w:r>
        <w:rPr>
          <w:rFonts w:ascii="Times New Roman" w:hAnsi="Times New Roman" w:eastAsia="宋体"/>
          <w:sz w:val="24"/>
        </w:rPr>
        <w:t>Key Developments A Host of Blockchain Applications Blockchain technology was developed decades ago but has recently been used for a variety of applica­ tions. Many of these are operational today, though they are often at limited scale. (For a more compre­ hensive discussion of examples, see the chapter on cryptography in the 2025 Stanford Emerging Technology Review [SETR].) Some current examples include the following:</w:t>
      </w:r>
    </w:p>
    <w:p>
      <w:pPr>
        <w:pStyle w:val="DocBody"/>
      </w:pPr>
      <w:r>
        <w:rPr>
          <w:rFonts w:ascii="Times New Roman" w:hAnsi="Times New Roman" w:eastAsia="宋体"/>
          <w:sz w:val="24"/>
        </w:rPr>
        <w:t>Time stamping and data provenance Because ° data written to a blockchain cannot be modifed or removed, blockchains provide a secure mecha­ nism for data provenance and time stamping. For instance, creators can post cryptographic hashes of work to a blockchain to establish authorship or creation dates.</w:t>
      </w:r>
    </w:p>
    <w:p>
      <w:pPr>
        <w:pStyle w:val="DocBody"/>
      </w:pPr>
      <w:r>
        <w:rPr>
          <w:rFonts w:ascii="Times New Roman" w:hAnsi="Times New Roman" w:eastAsia="宋体"/>
          <w:sz w:val="24"/>
        </w:rPr>
        <w:t>Identity management Blockchains enable secure ° storage and selective disclosure of personal records (e.g., diplomas, birth certifcates, fnan­ cial records), allowing users to prove facts—such as being of a certain age—without revealing sen­ sitive details (such as their actual age). One such application, SpruceID, is already being deployed.3 Supply chain management Blockchains pro­ ° vide a transparent and secure way to track the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03  CRYPTOGRAPHY AND COMPUTER SECURITY</w:t>
      </w:r>
    </w:p>
    <w:p>
      <w:pPr>
        <w:pStyle w:val="DocBody"/>
      </w:pPr>
      <w:r>
        <w:rPr>
          <w:rFonts w:ascii="Times New Roman" w:hAnsi="Times New Roman" w:eastAsia="宋体"/>
          <w:sz w:val="24"/>
        </w:rPr>
        <w:t>FIGURE 3.2  How a blockchain manages transactions A wants to send money The transaction is represented The block is broadcast to to B online as a “block”</w:t>
      </w:r>
    </w:p>
    <w:p>
      <w:pPr>
        <w:pStyle w:val="DocBody"/>
      </w:pPr>
      <w:r>
        <w:rPr>
          <w:rFonts w:ascii="Times New Roman" w:hAnsi="Times New Roman" w:eastAsia="宋体"/>
          <w:sz w:val="24"/>
        </w:rPr>
        <w:t>every party in the network A Those in the network The block then can be added The money moves from conÿrm the validity of to the chain, which provides A to B the transaction an indelible and transparent record of transactions B movement of goods and their origin and quantity in industries ranging from luxury goods to food labeling.</w:t>
      </w:r>
    </w:p>
    <w:p>
      <w:pPr>
        <w:pStyle w:val="DocBody"/>
      </w:pPr>
      <w:r>
        <w:rPr>
          <w:rFonts w:ascii="Times New Roman" w:hAnsi="Times New Roman" w:eastAsia="宋体"/>
          <w:sz w:val="24"/>
        </w:rPr>
        <w:t>Transactional records Storing contracts or sales ° records on blockchains can reduce fraud, simplify auditing, and streamline operations.</w:t>
      </w:r>
    </w:p>
    <w:p>
      <w:pPr>
        <w:pStyle w:val="DocBody"/>
      </w:pPr>
      <w:r>
        <w:rPr>
          <w:rFonts w:ascii="Times New Roman" w:hAnsi="Times New Roman" w:eastAsia="宋体"/>
          <w:sz w:val="24"/>
        </w:rPr>
        <w:t>Cryptocurrencies These are digital instruments ° that many people use as a medium of exchange.</w:t>
      </w:r>
    </w:p>
    <w:p>
      <w:pPr>
        <w:pStyle w:val="DocBody"/>
      </w:pPr>
      <w:r>
        <w:rPr>
          <w:rFonts w:ascii="Times New Roman" w:hAnsi="Times New Roman" w:eastAsia="宋体"/>
          <w:sz w:val="24"/>
        </w:rPr>
        <w:t>Well-known ones include Bitcoin, Ethereum, Avalanche, and Polygon, each of which has its own unique features and applications. Because they are not issued by any central authority, they are not subject to the same national regulatory regimes that govern traditional currencies (i.e., so-called fat currencies).</w:t>
      </w:r>
    </w:p>
    <w:p>
      <w:pPr>
        <w:pStyle w:val="DocBody"/>
      </w:pPr>
      <w:r>
        <w:rPr>
          <w:rFonts w:ascii="Times New Roman" w:hAnsi="Times New Roman" w:eastAsia="宋体"/>
          <w:sz w:val="24"/>
        </w:rPr>
        <w:t>Cryptocurrencies use a blockchain structure to ensure the integrity and immutability of transaction data, making it resistant to fraud and counterfeiting and reducing its susceptibility to government inter­ ference or manipulation. Contrary to a common belief, cryptocurrencies can, but do not have to, support private or secret transactions. Indeed, the most popular cryptocurrencies deliberately do not hide the details of their transactions. Those who transact in cryptocurrencies often wish to exchange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their instruments for fat currency (e.g., real dollars)</w:t>
      </w:r>
    </w:p>
    <w:p>
      <w:pPr>
        <w:pStyle w:val="DocBody"/>
      </w:pPr>
      <w:r>
        <w:rPr>
          <w:rFonts w:ascii="Times New Roman" w:hAnsi="Times New Roman" w:eastAsia="宋体"/>
          <w:sz w:val="24"/>
        </w:rPr>
        <w:t>and generally use a cryptocurrency exchange to do so.</w:t>
      </w:r>
    </w:p>
    <w:p>
      <w:pPr>
        <w:pStyle w:val="DocBody"/>
      </w:pPr>
      <w:r>
        <w:rPr>
          <w:rFonts w:ascii="Times New Roman" w:hAnsi="Times New Roman" w:eastAsia="宋体"/>
          <w:sz w:val="24"/>
        </w:rPr>
        <w:t>Secure Computation The feld of cryptography has also expanded in scope to include secure computation, which enables multiple parties to jointly compute functions where the inputs from each party are kept secret from the others. Secure computation enables data privacy during computation, ensuring that no party learns more information about the other parties’ inputs than what can be inferred from the result alone. It also allows users to prove they possess knowledge of a statement without having to disclose the actual content of that statement. (For a more detailed explanation of secure computation with illustrative examples and explanations, see the chapter on cryptography in SETR 2025.) A few representative applications include the following:</w:t>
      </w:r>
    </w:p>
    <w:p>
      <w:pPr>
        <w:pStyle w:val="DocBody"/>
      </w:pPr>
      <w:r>
        <w:rPr>
          <w:rFonts w:ascii="Times New Roman" w:hAnsi="Times New Roman" w:eastAsia="宋体"/>
          <w:sz w:val="24"/>
        </w:rPr>
        <w:t>Private statistics Stanford’s Prio system lets ° users contribute data, such as COVID-19 expo­ sure status, to an aggregate total without disclos­ ing individual responses.6 Financial privacy Banks can collaborate to ° detect fraud patterns across institutions without revealing individual customer records.</w:t>
      </w:r>
    </w:p>
    <w:p>
      <w:pPr>
        <w:pStyle w:val="DocBody"/>
      </w:pPr>
      <w:r>
        <w:rPr>
          <w:rFonts w:ascii="Times New Roman" w:hAnsi="Times New Roman" w:eastAsia="宋体"/>
          <w:sz w:val="24"/>
        </w:rPr>
        <w:t>Privacy­preserving auctions These can deter­ ° mine a winner without exposing losing bids, maintaining fairness while protecting private fnancial information.</w:t>
      </w:r>
    </w:p>
    <w:p>
      <w:pPr>
        <w:pStyle w:val="DocBody"/>
      </w:pPr>
      <w:r>
        <w:rPr>
          <w:rFonts w:ascii="Times New Roman" w:hAnsi="Times New Roman" w:eastAsia="宋体"/>
          <w:sz w:val="24"/>
        </w:rPr>
        <w:t>Zero-Knowledge Proofs Zero-knowledge proofs are cryptographic protocols that allow one party (the prover) to convince another (the verifer) that a statement is true without reveal­ ing why it is true. For example, someone can prove they know a password or have enough funds for a purchase without disclosing the password or the amount of money. This privacy-preserving technique has moved from theory into real-world applications, such as the following:</w:t>
      </w:r>
    </w:p>
    <w:p>
      <w:pPr>
        <w:pStyle w:val="DocBody"/>
      </w:pPr>
      <w:r>
        <w:rPr>
          <w:rFonts w:ascii="Times New Roman" w:hAnsi="Times New Roman" w:eastAsia="宋体"/>
          <w:sz w:val="24"/>
        </w:rPr>
        <w:t>Banking The cryptocurrency Zcash uses zero­ ° knowledge proofs to let users prove they can afford a transaction without having to reveal their account balance.4 Provenance for digital images The Coalition ° for Content Provenance and Authenticity employs zero-knowledge proofs to ensure that an image was captured by a verifed camera and under­ went only permitted edits—without trusting the editing software itself.5 Cooperative tracking and verifcation of num­ ° bers of tactical nuclear warheads Experimental systems have used zero-knowledge proofs to track changes in warhead status while concealing sensitive military information. Though the use has not yet been adopted in formal treaties, its feasi­ bility in principle has been demonstrated.6 A more detailed introduction to zero-knowledge proofs and their use cases is available in the chapter on cryptography in SETR 2025.</w:t>
      </w:r>
    </w:p>
    <w:p>
      <w:pPr>
        <w:pStyle w:val="DocBody"/>
      </w:pPr>
      <w:r>
        <w:rPr>
          <w:rFonts w:ascii="Times New Roman" w:hAnsi="Times New Roman" w:eastAsia="宋体"/>
          <w:sz w:val="24"/>
        </w:rPr>
        <w:t>Over the Horizon Impact of Cryptography The applications described above suggest a broad range of possibilities for cryptographically enabled data management services. Whether we will see their widespread deployment depends on compli­ cated decisions about economic feasibility, costs, regulations, and ease of use.</w:t>
      </w:r>
    </w:p>
    <w:p>
      <w:pPr>
        <w:pStyle w:val="DocBody"/>
      </w:pPr>
      <w:r>
        <w:rPr>
          <w:rFonts w:ascii="Times New Roman" w:hAnsi="Times New Roman" w:eastAsia="宋体"/>
          <w:sz w:val="24"/>
        </w:rPr>
        <w:t>Misaligned incentives can affect how fast innovations are deployed. Some of the applications described above provide signifcant benefts for the parties whose data can be better protected and kept more private. But existing companies, having built their</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03  CRYPTOGRAPHY AND COMPUTER SECURITY</w:t>
      </w:r>
    </w:p>
    <w:p>
      <w:pPr>
        <w:pStyle w:val="DocBody"/>
      </w:pPr>
      <w:r>
        <w:rPr>
          <w:rFonts w:ascii="Times New Roman" w:hAnsi="Times New Roman" w:eastAsia="宋体"/>
          <w:sz w:val="24"/>
        </w:rPr>
        <w:t>FIGURE 3.3  How adversarial noise can fool image classifiers + = Cat Adversarial noise Guacamole Adding carefully crafted noise (center) to an image of a cat (left) produces an altered version (right) that looks identical to humans but can cause a model to misclassify it—for example, as guacamole.</w:t>
      </w:r>
    </w:p>
    <w:p>
      <w:pPr>
        <w:pStyle w:val="DocBody"/>
      </w:pPr>
      <w:r>
        <w:rPr>
          <w:rFonts w:ascii="Times New Roman" w:hAnsi="Times New Roman" w:eastAsia="宋体"/>
          <w:sz w:val="24"/>
        </w:rPr>
        <w:t>Source: Neil Alexander Perry business models on legacy systems that ingest all their customers’ data, have no incentive to change their practices. They are the ones who would have to pay for these privacy-protecting capabilities, yet they would not beneft from their adoption.</w:t>
      </w:r>
    </w:p>
    <w:p>
      <w:pPr>
        <w:pStyle w:val="DocBody"/>
      </w:pPr>
      <w:r>
        <w:rPr>
          <w:rFonts w:ascii="Times New Roman" w:hAnsi="Times New Roman" w:eastAsia="宋体"/>
          <w:sz w:val="24"/>
        </w:rPr>
        <w:t>Widespread deployment will also require confdence that proposed innovations will work as advertised (i.e., would-be users of these innovations must have confdence in them). But concepts such as secure computation and zero-knowledge proofs are math heavy and counterintuitive to most people. Getting policymakers, consumers, and regulators to place their trust in these applications will be challenging.</w:t>
      </w:r>
    </w:p>
    <w:p>
      <w:pPr>
        <w:pStyle w:val="DocBody"/>
      </w:pPr>
      <w:r>
        <w:rPr>
          <w:rFonts w:ascii="Times New Roman" w:hAnsi="Times New Roman" w:eastAsia="宋体"/>
          <w:sz w:val="24"/>
        </w:rPr>
        <w:t>Machine Learning Security: Adversarial Risks and Systemic Vulnerabilities As ML systems move into high-stakes settings— including autonomous vehicles, fnancial platforms, and healthcare diagnostics—their security under adversarial conditions is becoming a critical concern (for more, see chapter 1, on AI). In an ML system, small, malicious changes to inputs can cause large, unexpected model failures. These brittle responses undermine trust in a system’s ability to operate safely in environments where reliability is paramount.</w:t>
      </w:r>
    </w:p>
    <w:p>
      <w:pPr>
        <w:pStyle w:val="DocBody"/>
      </w:pPr>
      <w:r>
        <w:rPr>
          <w:rFonts w:ascii="Times New Roman" w:hAnsi="Times New Roman" w:eastAsia="宋体"/>
          <w:sz w:val="24"/>
        </w:rPr>
        <w:t>This fragility stems from a core asymmetry. While ML performs well on the inputs that most average users would give it, it often fails on inputs that are crafted by deliberately malicious adversaries. In other words: ML systems are great for random data, but they often perform poorly when confronted with deliberately crafted adversarial data.</w:t>
      </w:r>
    </w:p>
    <w:p>
      <w:pPr>
        <w:pStyle w:val="DocBody"/>
      </w:pPr>
      <w:r>
        <w:rPr>
          <w:rFonts w:ascii="Times New Roman" w:hAnsi="Times New Roman" w:eastAsia="宋体"/>
          <w:sz w:val="24"/>
        </w:rPr>
        <w:t>ATTACKS ON ML SYSTEMS Researchers have identifed attacks targeting every stage of the ML pipeline:</w:t>
      </w:r>
    </w:p>
    <w:p>
      <w:pPr>
        <w:pStyle w:val="DocBody"/>
      </w:pPr>
      <w:r>
        <w:rPr>
          <w:rFonts w:ascii="Times New Roman" w:hAnsi="Times New Roman" w:eastAsia="宋体"/>
          <w:sz w:val="24"/>
        </w:rPr>
        <w:t>Training-time attacks corrupt models during ° learning. Carefully altering even a single image in a dataset of ten thousand can lead to persistent misclassifcations—such as labeling images of dogs as fsh.7 These techniques, once confned to research, now appear in the real world. The tool Nightshade deliberately allows artists to corrupt images before posting them online, sabotaging unauthorized AI training on scraped content.8 Inference-time attacks occur after deployment.</w:t>
      </w:r>
    </w:p>
    <w:p>
      <w:pPr>
        <w:pStyle w:val="DocBody"/>
      </w:pPr>
      <w:r>
        <w:rPr>
          <w:rFonts w:ascii="Times New Roman" w:hAnsi="Times New Roman" w:eastAsia="宋体"/>
          <w:sz w:val="24"/>
        </w:rPr>
        <w:t>° An attacker may introduce “noise”—tiny, imper­ ceptible modifcations to data that cause the model to produce incorrect outputs.9 For exam­ ple, making small alterations to the pixels in a cat image can make the model label the image as guacamole (fgure 3.3). The key point is that such attacks—repeatedly shown to be possible over the past several years—demonstrate that a</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model can sometimes be tricked into errors that would be obvious to humans. Imagine the risk if an adversary could make a military reconnais­ sance system mistake tanks for school buses or induce an airport security scanner to mistake a gun for a notebook.</w:t>
      </w:r>
    </w:p>
    <w:p>
      <w:pPr>
        <w:pStyle w:val="DocBody"/>
      </w:pPr>
      <w:r>
        <w:rPr>
          <w:rFonts w:ascii="Times New Roman" w:hAnsi="Times New Roman" w:eastAsia="宋体"/>
          <w:sz w:val="24"/>
        </w:rPr>
        <w:t>These threats extend beyond images. For exam­ ple, because large language models (LLMs) cannot distinguish between inputs intended as data versus inputs intended as commands, they may interpret a phrase embedded in data as a command, which may be hostile or malicious rather than benign.</w:t>
      </w:r>
    </w:p>
    <w:p>
      <w:pPr>
        <w:pStyle w:val="DocBody"/>
      </w:pPr>
      <w:r>
        <w:rPr>
          <w:rFonts w:ascii="Times New Roman" w:hAnsi="Times New Roman" w:eastAsia="宋体"/>
          <w:sz w:val="24"/>
        </w:rPr>
        <w:t>For example, this strategy—which is an instance of a well-known hacker technique known as prompt injection—could result in getting LLMs to leak conf­ dential information, ignore safety constraints, or per­ form unintended actions.10 As these models become linked to tools like email and payments, such attacks carry more risk.11 As AI agents—autonomous AI soft­ ware programs that have access to important data or controls—become increasingly popular, there is a growing risk that these could be “tricked” by mali­ cious content on the internet.</w:t>
      </w:r>
    </w:p>
    <w:p>
      <w:pPr>
        <w:pStyle w:val="DocBody"/>
      </w:pPr>
      <w:r>
        <w:rPr>
          <w:rFonts w:ascii="Times New Roman" w:hAnsi="Times New Roman" w:eastAsia="宋体"/>
          <w:sz w:val="24"/>
        </w:rPr>
        <w:t>EMERGING RISKS AND THE SECURITY GAP The rapid deployment of AI systems has outpaced available security solutions. Traditional techniques from computer security and common defenses like input fltering offer only partial protection and often shift the vulnerability elsewhere. For example, if inputs are digitally fltered for safety, attackers may instead target the software flters themselves, which are often susceptible to similar exploits. Some researchers are now exploring new defenses for inference-time threats, such as isolation to protect sensitive components and data from being compro­ mised by malicious or untrusted inputs.12 Another defense involves using stricter control fows that explicitly manage how decisions, loops, branches, and data interactions occur to help ensure a sys­ tem’s predictable, secure, and reliable operation.13 To secure the training process, other efforts focus on hardware safeguards, such as trusted execution environments—secure zones within a host system that preserve data confdentiality and computational integrity even if the system is compromised. Stanford researchers are developing auditable training pipe­ lines that log each intermediate step in training. This enables users to verify the model’s training process (e.g., to ensure that the data on which it was trained was not compromised in some way) and trace cer­ tain security issues back to their origin when prob­ lems arise.14 All of these defenses remain in their early stages.</w:t>
      </w:r>
    </w:p>
    <w:p>
      <w:pPr>
        <w:pStyle w:val="DocBody"/>
      </w:pPr>
      <w:r>
        <w:rPr>
          <w:rFonts w:ascii="Times New Roman" w:hAnsi="Times New Roman" w:eastAsia="宋体"/>
          <w:sz w:val="24"/>
        </w:rPr>
        <w:t>No current approach offers broad protection across all tasks, data types, or adversarial techniques. The feld remains in an arms race: New attacks emerge rapidly, while robust, scalable defenses continue to lag behind. In this landscape, any claim to deploy ML to solve a problem should prompt an immedi­ ate question: What have you done about adversarial inputs and attacks?</w:t>
      </w:r>
    </w:p>
    <w:p>
      <w:pPr>
        <w:pStyle w:val="DocBody"/>
      </w:pPr>
      <w:r>
        <w:rPr>
          <w:rFonts w:ascii="Times New Roman" w:hAnsi="Times New Roman" w:eastAsia="宋体"/>
          <w:sz w:val="24"/>
        </w:rPr>
        <w:t>DUAL­USE CAPABILITIES AND MODEL INTEGRITY LLMs raise classic dual-use concerns. Their ability to identify software vulnerabilities can assist defend­ ers in fxing systems—or can arm attackers to more easily exploit vulnerabilities. Studies show LLM- based agents can already solve many standardized cybersecurity tasks, rivaling novice human hackers.15 Whether they will ultimately favor offense or defense remains uncertain. Their use in software develop­ ment can accelerate productivity but also create new vulnerabilities. For example, LLMs often gener­ ate insecure or outdated code, especially when they are used by nonexperts who lack awareness of best practices.16 Even after they are deployed, models remain vulnerable to extraction attacks. These involve adversaries reconstructing similar models through repeated queries of a target model, enabling them to gather training data that the original model uses.17 This threatens both intellectual property and the safeguards meant to prevent misuse of the target model. This issue is further compounded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03  Cryptography AND Computer Security Exceptional Access Exceptional access regulations would require com­ munications carriers and technology vendors to provide US law enforcement agencies access to encrypted information (both data storage and communications) under specific legal conditions.</w:t>
      </w:r>
    </w:p>
    <w:p>
      <w:pPr>
        <w:pStyle w:val="DocBody"/>
      </w:pPr>
      <w:r>
        <w:rPr>
          <w:rFonts w:ascii="Times New Roman" w:hAnsi="Times New Roman" w:eastAsia="宋体"/>
          <w:sz w:val="24"/>
        </w:rPr>
        <w:t>Opponents of exceptional access argue that imple­ menting this capability inevitably weakens the secu­ rity afforded by encryption to everyone. Supporters of exceptional access do not debate this technical assessment: It is true that exceptional access, by definition, weakens encryption. However, they argue that even if lower security is the result of implement­ ing exceptional access, that price is worth the bene­ fits to law enforcement.18 Energy Consumption Bitcoin, an older cryptocurrency and today the dominant one, consumes an enormous amount of energy; Bitcoin mining uses more energy than the Netherlands.19 For this reason, newer block­ chains — notably Ethereum — are designed to use far less energy; today Ethereum’s annual energy use is less than a ten-thousandth of YouTube’s annual con­ sumption. But Ethereum’s market capitalization is less than half that of Bitcoin, and it remains to be seen whether any less energy-intensive cryptocur­ rency will displace the latter.</w:t>
      </w:r>
    </w:p>
    <w:p>
      <w:pPr>
        <w:pStyle w:val="DocBody"/>
      </w:pPr>
      <w:r>
        <w:rPr>
          <w:rFonts w:ascii="Times New Roman" w:hAnsi="Times New Roman" w:eastAsia="宋体"/>
          <w:sz w:val="24"/>
        </w:rPr>
        <w:t>Quantum Computing and Cryptography Current public-key cryptography is based on the extraordinarily long times — ones comparable to the age of the universe — today’s computers require to derive a private key from its public-key counter­ part. When realized, quantum computing (discussed by the phenomenon of transferability, where an attack on one model often works on similar models.</w:t>
      </w:r>
    </w:p>
    <w:p>
      <w:pPr>
        <w:pStyle w:val="DocBody"/>
      </w:pPr>
      <w:r>
        <w:rPr>
          <w:rFonts w:ascii="Times New Roman" w:hAnsi="Times New Roman" w:eastAsia="宋体"/>
          <w:sz w:val="24"/>
        </w:rPr>
        <w:t>Transferability means that attackers don’t need internal access to the original model to succeed. It also means that similar models can be constructed to aid in the development of attacks on the original model, regardless of the protections and safeguards embedded in the original.</w:t>
      </w:r>
    </w:p>
    <w:p>
      <w:pPr>
        <w:pStyle w:val="DocBody"/>
      </w:pPr>
      <w:r>
        <w:rPr>
          <w:rFonts w:ascii="Times New Roman" w:hAnsi="Times New Roman" w:eastAsia="宋体"/>
          <w:sz w:val="24"/>
        </w:rPr>
        <w:t>Policy Issues Research Infrastructure Although cryptography is fundamentally a math­ ematical discipline, it requires both human talent and substantial computing resources to examine the efficiency of new techniques, write computationally expensive software such as zero-knowledge provers, and conduct comprehensive scans of the internet.</w:t>
      </w:r>
    </w:p>
    <w:p>
      <w:pPr>
        <w:pStyle w:val="DocBody"/>
      </w:pPr>
      <w:r>
        <w:rPr>
          <w:rFonts w:ascii="Times New Roman" w:hAnsi="Times New Roman" w:eastAsia="宋体"/>
          <w:sz w:val="24"/>
        </w:rPr>
        <w:t>Progress also relies on interdisciplinary centers that bring together faculty from different fields to share problem sets and understand the potential bene­ fits of cryptographically enabled techniques and approaches.</w:t>
      </w:r>
    </w:p>
    <w:p>
      <w:pPr>
        <w:pStyle w:val="DocBody"/>
      </w:pPr>
      <w:r>
        <w:rPr>
          <w:rFonts w:ascii="Times New Roman" w:hAnsi="Times New Roman" w:eastAsia="宋体"/>
          <w:sz w:val="24"/>
        </w:rPr>
        <w:t>Research is funded by both the US government and private industry, but funding from the US govern­ ment is subject to many requirements that increase the difficulty of proposal submission manyfold (as much as by a factor of sixty). Thus, research faculty often prefer arrangements with the private sector, which tend to be much simpler. On the other hand, only the US government is able to fund research that may not pay off for many years (as in the case of quantum computing).</w:t>
      </w:r>
    </w:p>
    <w:p>
      <w:pPr>
        <w:pStyle w:val="DocBody"/>
      </w:pPr>
      <w:r>
        <w:rPr>
          <w:rFonts w:ascii="Times New Roman" w:hAnsi="Times New Roman" w:eastAsia="宋体"/>
          <w:sz w:val="24"/>
        </w:rPr>
        <w:t>Bitcoin mining uses more energy than the Netherlands.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 Departing from earlier policy, the Trump administra­ tion has signaled support for privately issued crypto­ currencies over a CBDC. In January 2025, it issued an Executive Order (EO) on Digital Assets that revoked President Biden’s 2022 EO 14067, which had pro­ moted CBDC exploration, consumer protection, and anti–illicit finance measures. The new order explic­ itly prohibits the development or promotion of a US CBDC and establishes an interagency working group to coordinate digital asset policy and regulation.</w:t>
      </w:r>
    </w:p>
    <w:p>
      <w:pPr>
        <w:pStyle w:val="DocBody"/>
      </w:pPr>
      <w:r>
        <w:rPr>
          <w:rFonts w:ascii="Times New Roman" w:hAnsi="Times New Roman" w:eastAsia="宋体"/>
          <w:sz w:val="24"/>
        </w:rPr>
        <w:t>These policy shifts have occurred amid ongoing debate over how to classify and regulate digital assets. The 2023 collapse of cryptocurrency exchange FTX and the subsequent conviction of its founder Sam Bankman-Fried intensified scrutiny over whether cryptocurrencies should be treated as securities or currency. Despite some legislative progress, many investors, consumers, and entrepreneurs remain uncertain about their regulatory status.</w:t>
      </w:r>
    </w:p>
    <w:p>
      <w:pPr>
        <w:pStyle w:val="DocBody"/>
      </w:pPr>
      <w:r>
        <w:rPr>
          <w:rFonts w:ascii="Times New Roman" w:hAnsi="Times New Roman" w:eastAsia="宋体"/>
          <w:sz w:val="24"/>
        </w:rPr>
        <w:t>A March 2025 EO established a US Strategic Bitcoin Reserve and digital asset stockpile, using Bitcoin seized from illegal activities and directing agencies to pursue additional budget-neutral acquisitions of the cryptocurrency. Supporters see it as a way to diversify national reserves, hedge against inflation, and promote US leadership in digital asset inno­ vation. Critics point to Bitcoin’s price volatility, its limited utility in crises and cybersecurity risks, and the risk of potential conflicts of interest that could undermine public trust, given that the policymak­ ers themselves may have significant cryptocurrency holdings.</w:t>
      </w:r>
    </w:p>
    <w:p>
      <w:pPr>
        <w:pStyle w:val="DocBody"/>
      </w:pPr>
      <w:r>
        <w:rPr>
          <w:rFonts w:ascii="Times New Roman" w:hAnsi="Times New Roman" w:eastAsia="宋体"/>
          <w:sz w:val="24"/>
        </w:rPr>
        <w:t>In addition to the above activity, the Guiding and Establishing National Innovation for US Stablecoins (GENIUS) Act, signed in July 2025, created a federal framework for issuing payment stablecoins — crypto­ currencies that are designed to have stable prices.</w:t>
      </w:r>
    </w:p>
    <w:p>
      <w:pPr>
        <w:pStyle w:val="DocBody"/>
      </w:pPr>
      <w:r>
        <w:rPr>
          <w:rFonts w:ascii="Times New Roman" w:hAnsi="Times New Roman" w:eastAsia="宋体"/>
          <w:sz w:val="24"/>
        </w:rPr>
        <w:t>By combining the speed and programmability of cryptocurrencies with the familiarity of fiat currency (i.e., ordinary money), stablecoins allow users to transact without the price volatility typically associ­ ated with many cryptocurrencies and other digital more fully in chapter 7, on quantum technologies)</w:t>
      </w:r>
    </w:p>
    <w:p>
      <w:pPr>
        <w:pStyle w:val="DocBody"/>
      </w:pPr>
      <w:r>
        <w:rPr>
          <w:rFonts w:ascii="Times New Roman" w:hAnsi="Times New Roman" w:eastAsia="宋体"/>
          <w:sz w:val="24"/>
        </w:rPr>
        <w:t>will pose a significant threat to today’s public-key algorithms. Experts disagree on how long it will take to build quantum computers that are capable of this, but under the May 2022 National Security Memorandum 10, Promoting US Leadership in Quantum Computing While Mitigating Risks to Vulnerable Cryptographic Systems, the US gov­ ernment has initiated the transition to quantum-­ resistant public-key algorithms. Many experts in the field expect quantum-resistant algorithms will be widely available by the time quantum computing comes online.</w:t>
      </w:r>
    </w:p>
    <w:p>
      <w:pPr>
        <w:pStyle w:val="DocBody"/>
      </w:pPr>
      <w:r>
        <w:rPr>
          <w:rFonts w:ascii="Times New Roman" w:hAnsi="Times New Roman" w:eastAsia="宋体"/>
          <w:sz w:val="24"/>
        </w:rPr>
        <w:t>At the intersection of quantum computing and ­cryptography are two important issues: (1) that sup­ port for the transition to a quantum-resistant encryp­ tion environment should continue with urgency and focus, and (2) that messages protected by pre-­ quantum cryptography will be vulnerable in a post-­ quantum world. If those messages have been saved by adversaries (which is likely in the case of parties like Russia), those bad actors will be able to read a host of old messages. Containing secrets from the past, they may reveal embarrassments and dangers with potentially detrimental policy implications.20 Cryptocurrencies and the Emerging US Policy Approach While many countries are pursuing central bank dig­ ital currencies (CBDCs) to modernize their financial systems, the United States is taking a markedly dif­ ferent path. CBDCs are cryptography-based curren­ cies issued by central banks, with legal tender status and value tied to a nation’s traditional currency. They promise fast, low-cost payments with centralized oversight. Advocates cite benefits such as greater financial inclusion, lower cross-border costs, and pre­ serving the dollar’s global role — especially as rivals like China advance their own CBDCs. Critics, how­ ever, warn of privacy risks, centralized surveillance, and excessive government control. (For a full discus­ sion of CBDCs, see the chapter on cryptography in SETR 2025.)</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03  CRYPTOGRAPHY AND COMPUTER SECURITY</w:t>
      </w:r>
    </w:p>
    <w:p>
      <w:pPr>
        <w:pStyle w:val="DocBody"/>
      </w:pPr>
      <w:r>
        <w:rPr>
          <w:rFonts w:ascii="Times New Roman" w:hAnsi="Times New Roman" w:eastAsia="宋体"/>
          <w:sz w:val="24"/>
        </w:rPr>
        <w:t>assets. However, the law requires stablecoins to be backed by reserve assets such as Treasury bills and precious metals rather than algorithmic mechanisms to enhance their price stability. This may limit inno­ vation via experimentation with alternative crypto­ currency designs.</w:t>
      </w:r>
    </w:p>
    <w:p>
      <w:pPr>
        <w:pStyle w:val="DocBody"/>
      </w:pPr>
      <w:r>
        <w:rPr>
          <w:rFonts w:ascii="Times New Roman" w:hAnsi="Times New Roman" w:eastAsia="宋体"/>
          <w:sz w:val="24"/>
        </w:rPr>
        <w:t>The Trump administration is also backing the Digital Asset Market Clarity Act,21 or the Clarity Act, which proposes making the Commodity Futures Trading Commission the primary regulator of digital com­ modities and their intermediaries while maintaining certain Securities and Exchange Commission (SEC)</w:t>
      </w:r>
    </w:p>
    <w:p>
      <w:pPr>
        <w:pStyle w:val="DocBody"/>
      </w:pPr>
      <w:r>
        <w:rPr>
          <w:rFonts w:ascii="Times New Roman" w:hAnsi="Times New Roman" w:eastAsia="宋体"/>
          <w:sz w:val="24"/>
        </w:rPr>
        <w:t>powers over initial crypto sales. The act would also introduce a special exemption that eases SEC reg­ istration requirements for fundraising purposes.</w:t>
      </w:r>
    </w:p>
    <w:p>
      <w:pPr>
        <w:pStyle w:val="DocBody"/>
      </w:pPr>
      <w:r>
        <w:rPr>
          <w:rFonts w:ascii="Times New Roman" w:hAnsi="Times New Roman" w:eastAsia="宋体"/>
          <w:sz w:val="24"/>
        </w:rPr>
        <w:t>Under this proposed legislation,22 digital commod­ ities would be defned as digital assets whose worth is “intrinsically linked” to their activity on a block- chain. This group includes nearly all cryptocurren­ cies in use today. However, the defnition of the term “digital commodity” would exclude securities, derivatives, and stablecoins, even if they are based on blockchains.</w:t>
      </w:r>
    </w:p>
    <w:p>
      <w:pPr>
        <w:pStyle w:val="DocBody"/>
      </w:pPr>
      <w:r>
        <w:rPr>
          <w:rFonts w:ascii="Times New Roman" w:hAnsi="Times New Roman" w:eastAsia="宋体"/>
          <w:sz w:val="24"/>
        </w:rPr>
        <w:t>Against this backdrop, cryptocurrencies pose com­ plex and evolving policy challenges. These include the following:</w:t>
      </w:r>
    </w:p>
    <w:p>
      <w:pPr>
        <w:pStyle w:val="DocBody"/>
      </w:pPr>
      <w:r>
        <w:rPr>
          <w:rFonts w:ascii="Times New Roman" w:hAnsi="Times New Roman" w:eastAsia="宋体"/>
          <w:sz w:val="24"/>
        </w:rPr>
        <w:t>Regulatory clarity and market integrity Reg­ ° ulatory ambiguity and weak oversight continue to be a challenge facing digital asset markets.</w:t>
      </w:r>
    </w:p>
    <w:p>
      <w:pPr>
        <w:pStyle w:val="DocBody"/>
      </w:pPr>
      <w:r>
        <w:rPr>
          <w:rFonts w:ascii="Times New Roman" w:hAnsi="Times New Roman" w:eastAsia="宋体"/>
          <w:sz w:val="24"/>
        </w:rPr>
        <w:t>The decentralized, cross-border nature of crypto­ currencies complicates efforts to classify and supervise them. Inherent volatility of cryptocur­ rencies, combined with limited transparency across many exchanges, exposes users to fraud, manipulation, and fnancial risk. As use of these assets grows, so do calls for clearer rules, better disclosures, and stronger consumer protections.</w:t>
      </w:r>
    </w:p>
    <w:p>
      <w:pPr>
        <w:pStyle w:val="DocBody"/>
      </w:pPr>
      <w:r>
        <w:rPr>
          <w:rFonts w:ascii="Times New Roman" w:hAnsi="Times New Roman" w:eastAsia="宋体"/>
          <w:sz w:val="24"/>
        </w:rPr>
        <w:t>Tax reporting remains another challenge: The pseudonymous nature of cryptocurrencies com­ plicates enforcement, and users often lack a clear understanding of their tax-reporting obliga­ tions. The GENIUS and Clarity Acts are frst steps toward regulatory clarity, but as the use of crypto­ currencies expands, the surfacing of other issues requiring further legislative and executive branch attention is inevitable.</w:t>
      </w:r>
    </w:p>
    <w:p>
      <w:pPr>
        <w:pStyle w:val="DocBody"/>
      </w:pPr>
      <w:r>
        <w:rPr>
          <w:rFonts w:ascii="Times New Roman" w:hAnsi="Times New Roman" w:eastAsia="宋体"/>
          <w:sz w:val="24"/>
        </w:rPr>
        <w:t>Financial crime and illicit activities The pseud­ ° onymous nature of cryptocurrencies and their cross-border use also enables or facilitates money laundering, tax evasion, and sanctions evasion, cre­ ating major enforcement challenges. Authorities are expanding international cooperation, tight­ ening anti–money laundering and know-your­ customer protocols related to cryptocurrencies, and working to close regulatory gaps.</w:t>
      </w:r>
    </w:p>
    <w:p>
      <w:pPr>
        <w:pStyle w:val="DocBody"/>
      </w:pPr>
      <w:r>
        <w:rPr>
          <w:rFonts w:ascii="Times New Roman" w:hAnsi="Times New Roman" w:eastAsia="宋体"/>
          <w:sz w:val="24"/>
        </w:rPr>
        <w:t>Economic and monetary policy risks Because ° cryptocurrencies bypass traditional fnancial sys­ tems, their widespread use weakens central banks’</w:t>
      </w:r>
    </w:p>
    <w:p>
      <w:pPr>
        <w:pStyle w:val="DocBody"/>
      </w:pPr>
      <w:r>
        <w:rPr>
          <w:rFonts w:ascii="Times New Roman" w:hAnsi="Times New Roman" w:eastAsia="宋体"/>
          <w:sz w:val="24"/>
        </w:rPr>
        <w:t>ability to control the money supply and set interest rates across the economy. If cryptocurrencies are integrated into mainstream fnance (e.g., through retirement funds, banking systems, or national reserves), a collapse in cryptocurrency valuations could trigger a fnancial crisis, impacting savings and investments across the economy. Additionally, as more people use cryptocurrencies instead of fat money, confdence in government-issued cur­ rencies may erode.</w:t>
      </w:r>
    </w:p>
    <w:p>
      <w:pPr>
        <w:pStyle w:val="DocBody"/>
      </w:pPr>
      <w:r>
        <w:rPr>
          <w:rFonts w:ascii="Times New Roman" w:hAnsi="Times New Roman" w:eastAsia="宋体"/>
          <w:sz w:val="24"/>
        </w:rPr>
        <w:t>Conficts of interest and governance trans­ ° parency Government actions can signifcantly affect cryptocurrency prices (as is true of any other investment asset), raising concerns about personal fnancial gain among policymakers and regulators. Industry infuence over the regulatory process also prompts political and ethical scrutiny.</w:t>
      </w:r>
    </w:p>
    <w:p>
      <w:pPr>
        <w:pStyle w:val="DocBody"/>
      </w:pPr>
      <w:r>
        <w:rPr>
          <w:rFonts w:ascii="Times New Roman" w:hAnsi="Times New Roman" w:eastAsia="宋体"/>
          <w:sz w:val="24"/>
        </w:rPr>
        <w:t>Cybersecurity risks The decentralized archi­ ° tecture of cryptocurrencies creates novel oppor­ tunities for cyberattacks across digital wallets, crypto exchanges, and smart contracts. Hacks, phishing, and other exploits may cause sub­ stantial losses and erode trust. As crypto assets intertwine with traditional fnance, their vulner­ abilities may trigger broader economic fallout.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Strong cybersecurity standards, incident report­ ing, and federal coordination are essential to limit systemic risk to the national and global fnancial system.</w:t>
      </w:r>
    </w:p>
    <w:p>
      <w:pPr>
        <w:pStyle w:val="DocBody"/>
      </w:pPr>
      <w:r>
        <w:rPr>
          <w:rFonts w:ascii="Times New Roman" w:hAnsi="Times New Roman" w:eastAsia="宋体"/>
          <w:sz w:val="24"/>
        </w:rPr>
        <w:t>Privacy and surveillance concerns Digital asset ° regulation increasingly intersects with debates over fnancial privacy and civil liberties. Expanding anti–money laundering and know-your-customer rules may lead to calls for digital identity sys­ tems, raising concerns about surveillance and state overreach. At the same time, technologies that enhance privacy may face increased scrutiny.</w:t>
      </w:r>
    </w:p>
    <w:p>
      <w:pPr>
        <w:pStyle w:val="DocBody"/>
      </w:pPr>
      <w:r>
        <w:rPr>
          <w:rFonts w:ascii="Times New Roman" w:hAnsi="Times New Roman" w:eastAsia="宋体"/>
          <w:sz w:val="24"/>
        </w:rPr>
        <w:t>Policymakers will need to carefully balance law enforcement needs with privacy concerns.</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“Cryptography,” National Institute of Standards and Technol­ ogy, US Department of Commerce, n.d., https://www.nist.gov /cryptography.</w:t>
      </w:r>
    </w:p>
    <w:p>
      <w:pPr>
        <w:pStyle w:val="DocBody"/>
        <w:ind w:left="765"/>
      </w:pPr>
      <w:r>
        <w:rPr>
          <w:rFonts w:ascii="Times New Roman" w:hAnsi="Times New Roman" w:eastAsia="宋体"/>
          <w:sz w:val="24"/>
        </w:rPr>
        <w:t>In this context, encrypting the hash value simply means run­ ning the encryption algorithm using a string of numbers that just happen to be Alice’s private key as the input. In most cases involving public-key cryptography, the private key is used only for decryption purposes, but nothing stops a user from using it in other ways.</w:t>
      </w:r>
    </w:p>
    <w:p>
      <w:pPr>
        <w:pStyle w:val="DocBody"/>
        <w:ind w:left="765"/>
      </w:pPr>
      <w:r>
        <w:rPr>
          <w:rFonts w:ascii="Times New Roman" w:hAnsi="Times New Roman" w:eastAsia="宋体"/>
          <w:sz w:val="24"/>
        </w:rPr>
        <w:t>“SpruceID,” Spruce Systems, accessed October 13, 2024, https://spruceid.com/.</w:t>
      </w:r>
    </w:p>
    <w:p>
      <w:pPr>
        <w:pStyle w:val="DocBody"/>
        <w:ind w:left="765"/>
      </w:pPr>
      <w:r>
        <w:rPr>
          <w:rFonts w:ascii="Times New Roman" w:hAnsi="Times New Roman" w:eastAsia="宋体"/>
          <w:sz w:val="24"/>
        </w:rPr>
        <w:t>“What Are Zero-Knowledge Proofs?,” Zcash, accessed Septem­ ber 7, 2025, https://z.cash/learn/what-are-zero-knowledge-proofs.</w:t>
      </w:r>
    </w:p>
    <w:p>
      <w:pPr>
        <w:pStyle w:val="DocBody"/>
        <w:ind w:left="765"/>
      </w:pPr>
      <w:r>
        <w:rPr>
          <w:rFonts w:ascii="Times New Roman" w:hAnsi="Times New Roman" w:eastAsia="宋体"/>
          <w:sz w:val="24"/>
        </w:rPr>
        <w:t>Trisha Datta and Dan Boneh, “Using ZK Proofs to Fight Disin­ formation,” Medium, September 29, 2022, https://medium.com /@boneh/using-zk-proofs-to-fght-disinformation-17e7d57fe52f.</w:t>
      </w:r>
    </w:p>
    <w:p>
      <w:pPr>
        <w:pStyle w:val="DocBody"/>
        <w:ind w:left="765"/>
      </w:pPr>
      <w:r>
        <w:rPr>
          <w:rFonts w:ascii="Times New Roman" w:hAnsi="Times New Roman" w:eastAsia="宋体"/>
          <w:sz w:val="24"/>
        </w:rPr>
        <w:t>Miles A. Pomper, William Alberque, Marshall L. Brown Jr., Wil­ liam M. Moon, and Nikolai Sokov, “Everything Counts: Building a Control Regime for Nonstrategic Nuclear Warheads in Europe,”</w:t>
      </w:r>
    </w:p>
    <w:p>
      <w:pPr>
        <w:pStyle w:val="DocBody"/>
      </w:pPr>
      <w:r>
        <w:rPr>
          <w:rFonts w:ascii="Times New Roman" w:hAnsi="Times New Roman" w:eastAsia="宋体"/>
          <w:sz w:val="24"/>
        </w:rPr>
        <w:t>2022, CNS Occasional Paper #55, Monterey, CA: James Martin Center for Nonproliferation Studies, https://nonproliferation .org/op55-everything-counts-building-a-control-regime-for -nonstrategic-nuclear-warheads-in-europe.</w:t>
      </w:r>
    </w:p>
    <w:p>
      <w:pPr>
        <w:pStyle w:val="DocBody"/>
        <w:ind w:left="765"/>
      </w:pPr>
      <w:r>
        <w:rPr>
          <w:rFonts w:ascii="Times New Roman" w:hAnsi="Times New Roman" w:eastAsia="宋体"/>
          <w:sz w:val="24"/>
        </w:rPr>
        <w:t>Pang Wei Koh and Percy Liang, “Understanding Black-Box Pre­ dictions via Infuence Functions,” Proceedings of the 34th Interna­ tional Conference on Machine Learning, in Proceedings of Machine Learning Research 70 (2017): 1885–94, https://proceedings.mlr .press/v70/koh17a.html.</w:t>
      </w:r>
    </w:p>
    <w:p>
      <w:pPr>
        <w:pStyle w:val="DocBody"/>
        <w:ind w:left="765"/>
      </w:pPr>
      <w:r>
        <w:rPr>
          <w:rFonts w:ascii="Times New Roman" w:hAnsi="Times New Roman" w:eastAsia="宋体"/>
          <w:sz w:val="24"/>
        </w:rPr>
        <w:t>Shawn Shan, Wenxin Ding, Josephine Passananti, Stanley Wu, Haitao Zheng, and Ben Y. Zhao, “Nightshade: Prompt-Specifc Poisoning Attacks on Text-to-Image Generative Models,” 2024 IEEE Symposium on Security and Privacy, 2024, 807–25, https:// doi.org/10.1109/SP54263.2024.00207.</w:t>
      </w:r>
    </w:p>
    <w:p>
      <w:pPr>
        <w:pStyle w:val="DocBody"/>
        <w:ind w:left="765"/>
      </w:pPr>
      <w:r>
        <w:rPr>
          <w:rFonts w:ascii="Times New Roman" w:hAnsi="Times New Roman" w:eastAsia="宋体"/>
          <w:sz w:val="24"/>
        </w:rPr>
        <w:t>Ian J. Goodfellow, Jonathon Shlens, and Christian Szegedy, “Explaining and Harnessing Adversarial Examples,” preprint, arXiv, December 20, 2014, https://arxiv.org/abs/1412.6572; Anish Athalye, Logan Engstrom, Andrew Ilyas, and Kevin Kwok, “Syn­ thesizing Robust Adversarial Examples,” Proceedings of the 35th International Conference on Machine Learning, 2018, 284–93, https://proceedings.mlr.press/v80/athalye18b.html.</w:t>
      </w:r>
    </w:p>
    <w:p>
      <w:pPr>
        <w:pStyle w:val="DocBody"/>
        <w:ind w:left="765"/>
      </w:pPr>
      <w:r>
        <w:rPr>
          <w:rFonts w:ascii="Times New Roman" w:hAnsi="Times New Roman" w:eastAsia="宋体"/>
          <w:sz w:val="24"/>
        </w:rPr>
        <w:t>Hezekiah J. Branch, Jonathan Rodriguez Cefalu, Jeremy McHugh, Leyla Hujer, Aditya Bahl, Daniel del Castillo Iglesias, Ron Heichman, and Ramesh Darwishi, “Evaluating the Suscepti­ bility of Pre-Trained Language Models via Handcrafted Adversarial Examples,” preprint, arXiv, September 5, 2022, https://arxiv.org /abs/2209.02128.</w:t>
      </w:r>
    </w:p>
    <w:p>
      <w:pPr>
        <w:pStyle w:val="DocBody"/>
        <w:ind w:left="765"/>
      </w:pPr>
      <w:r>
        <w:rPr>
          <w:rFonts w:ascii="Times New Roman" w:hAnsi="Times New Roman" w:eastAsia="宋体"/>
          <w:sz w:val="24"/>
        </w:rPr>
        <w:t>Kai Greshake, Sahar Abdelnabi, Shailesh Mishra, Christoph Endres, Thorsten Holz, and Mario Fritz, “Not What You’ve Signed Up for: Compromising Real-World LLM-Integrated Applications with Indirect Prompt Injection,” Proceedings of the 16th ACM Workshop on Artifcial Intelligence and Security, November 26, 2023, 79–90.</w:t>
      </w:r>
    </w:p>
    <w:p>
      <w:pPr>
        <w:pStyle w:val="DocBody"/>
        <w:ind w:left="765"/>
      </w:pPr>
      <w:r>
        <w:rPr>
          <w:rFonts w:ascii="Times New Roman" w:hAnsi="Times New Roman" w:eastAsia="宋体"/>
          <w:sz w:val="24"/>
        </w:rPr>
        <w:t>Luca Beurer-Kellner, Beat Buesser, Ana-Maria Creţu, Edoardo Debenedetti, Daniel Dobos, Daniel Fabian, Marc Fischer, et al., “Design Patterns for Securing LLM Agents Against Prompt Injec­ tions,” preprint, arXiv, last updated June 27, 2025, htt ps://arxiv .org/abs/2506.08837.</w:t>
      </w:r>
    </w:p>
    <w:p>
      <w:pPr>
        <w:pStyle w:val="DocBody"/>
        <w:ind w:left="765"/>
      </w:pPr>
      <w:r>
        <w:rPr>
          <w:rFonts w:ascii="Times New Roman" w:hAnsi="Times New Roman" w:eastAsia="宋体"/>
          <w:sz w:val="24"/>
        </w:rPr>
        <w:t>Edoardo Debenedetti, Ilia Shumailov, Tianqi Fan, Jamie Hayes, Nicholas Carlini, Daniel Fabian, Christoph Kern, Chong­ yang Shi, Andreas Terzis, and Florian Tramèr, “Defeating Prompt Injections by Design,” preprint, arXiv, last updated June 24, 2025, https://arxiv.org/abs/2503.18813.</w:t>
      </w:r>
    </w:p>
    <w:p>
      <w:pPr>
        <w:pStyle w:val="DocBody"/>
        <w:ind w:left="765"/>
      </w:pPr>
      <w:r>
        <w:rPr>
          <w:rFonts w:ascii="Times New Roman" w:hAnsi="Times New Roman" w:eastAsia="宋体"/>
          <w:sz w:val="24"/>
        </w:rPr>
        <w:t>Megha Srivastava, Simran Arora, and Dan Boneh, “Optimis­ tic Verifable Training by Controlling Hardware Nondeterminism,”</w:t>
      </w:r>
    </w:p>
    <w:p>
      <w:pPr>
        <w:pStyle w:val="DocBody"/>
      </w:pPr>
      <w:r>
        <w:rPr>
          <w:rFonts w:ascii="Times New Roman" w:hAnsi="Times New Roman" w:eastAsia="宋体"/>
          <w:sz w:val="24"/>
        </w:rPr>
        <w:t>Proceedings of the 38th International Conference on Neural Infor­ mation Processing Systems, 2024 (Curran Associates, Inc., 2025), 95639–61, https://dl.acm.org/doi/10.5555/3737916.3740946.</w:t>
      </w:r>
    </w:p>
    <w:p>
      <w:pPr>
        <w:pStyle w:val="DocBody"/>
        <w:ind w:left="765"/>
      </w:pPr>
      <w:r>
        <w:rPr>
          <w:rFonts w:ascii="Times New Roman" w:hAnsi="Times New Roman" w:eastAsia="宋体"/>
          <w:sz w:val="24"/>
        </w:rPr>
        <w:t>Andy K. Zhang, Neil Perry, Riya Dulepet, Joey Ji, Celeste Menders, Justin W. Lin, Eliot Jones, et al., “Cybench: A Framework for Evaluating Cybersecurity Capabilities and Risks of Language Models,” preprint, arXiv, 2024, https://arxiv.org/abs/2408.08926.</w:t>
      </w:r>
    </w:p>
    <w:p>
      <w:pPr>
        <w:pStyle w:val="DocBody"/>
        <w:ind w:left="765"/>
      </w:pPr>
      <w:r>
        <w:rPr>
          <w:rFonts w:ascii="Times New Roman" w:hAnsi="Times New Roman" w:eastAsia="宋体"/>
          <w:sz w:val="24"/>
        </w:rPr>
        <w:t>Neil Perry, Megha Srivastava, Deepak Kumar, and Dan Boneh, “Do Users Write More Insecure Code with AI Assistants?,” Proceed­ ings of the 2023 ACM SIGSAC Conference on Computer and Com­ munications Security, 2023 (Association for Computing Machinery, 2023), 2785–99, https://doi.org/10.1145/3576915.3623157.</w:t>
      </w:r>
    </w:p>
    <w:p>
      <w:pPr>
        <w:pStyle w:val="DocBody"/>
        <w:ind w:left="765"/>
      </w:pPr>
      <w:r>
        <w:rPr>
          <w:rFonts w:ascii="Times New Roman" w:hAnsi="Times New Roman" w:eastAsia="宋体"/>
          <w:sz w:val="24"/>
        </w:rPr>
        <w:t>Florian Tramèr, Fan Zhang, Ari Juels, Michael K. Reiter, and Thomas Ristenpart, “Stealing Machine Learning Models via Pre­ diction APIs,” 25th USENIX Security Symposium, 2016, preprint, arXiv, 2016, 601–18, https://arxiv.org/abs/1609.02943.</w:t>
      </w:r>
    </w:p>
    <w:p>
      <w:pPr>
        <w:pStyle w:val="DocBody"/>
        <w:ind w:left="765"/>
      </w:pPr>
      <w:r>
        <w:rPr>
          <w:rFonts w:ascii="Times New Roman" w:hAnsi="Times New Roman" w:eastAsia="宋体"/>
          <w:sz w:val="24"/>
        </w:rPr>
        <w:t>“Attorney General William P. Barr Delivers Keynote Address at the International Conference on Cybersecurity,” Offce of Public Affairs, US Department of Justice, July 23, 2019, https://www .justice.gov/opa/speech/attorney-general-william-p-barr-delivers -keynote-address-international-conference-cyber.</w:t>
      </w:r>
    </w:p>
    <w:p>
      <w:pPr>
        <w:pStyle w:val="DocBody"/>
        <w:ind w:left="765"/>
      </w:pPr>
      <w:r>
        <w:rPr>
          <w:rFonts w:ascii="Times New Roman" w:hAnsi="Times New Roman" w:eastAsia="宋体"/>
          <w:sz w:val="24"/>
        </w:rPr>
        <w:t>“Bitcoin Energy Consumption Index,” Digiconomist, accessed September 7, 2025, https://digiconomist.net/bitcoin-energy -consumption.</w:t>
      </w:r>
    </w:p>
    <w:p>
      <w:pPr>
        <w:pStyle w:val="DocBody"/>
        <w:ind w:left="765"/>
      </w:pPr>
      <w:r>
        <w:rPr>
          <w:rFonts w:ascii="Times New Roman" w:hAnsi="Times New Roman" w:eastAsia="宋体"/>
          <w:sz w:val="24"/>
        </w:rPr>
        <w:t>Herbert Lin, “A Retrospective Post-Quantum Policy Problem,”</w:t>
      </w:r>
    </w:p>
    <w:p>
      <w:pPr>
        <w:pStyle w:val="DocBody"/>
      </w:pPr>
      <w:r>
        <w:rPr>
          <w:rFonts w:ascii="Times New Roman" w:hAnsi="Times New Roman" w:eastAsia="宋体"/>
          <w:sz w:val="24"/>
        </w:rPr>
        <w:t>Lawfare, 2022, https://www.lawfaremedia.org/article/retrospective -post-quantum-policy-problem.</w:t>
      </w:r>
    </w:p>
    <w:p>
      <w:pPr>
        <w:pStyle w:val="DocBody"/>
        <w:ind w:left="765"/>
      </w:pPr>
      <w:r>
        <w:rPr>
          <w:rFonts w:ascii="Times New Roman" w:hAnsi="Times New Roman" w:eastAsia="宋体"/>
          <w:sz w:val="24"/>
        </w:rPr>
        <w:t>Although the vast majority of cryptocurrencies are indeed based on blockchain, it is possible in principle to build a crypto­ currency on a different underlying technology.</w:t>
      </w:r>
    </w:p>
    <w:p>
      <w:pPr>
        <w:pStyle w:val="DocBody"/>
        <w:ind w:left="765"/>
      </w:pPr>
      <w:r>
        <w:rPr>
          <w:rFonts w:ascii="Times New Roman" w:hAnsi="Times New Roman" w:eastAsia="宋体"/>
          <w:sz w:val="24"/>
        </w:rPr>
        <w:t>Paul Tierno, Crypto Legislation: An Overview of H.R. 3633, the CLARITY Act, Congressional Research Service, Library of Congress, July 7, 2025, https://www.congress.gov/crs-product/IN12583.</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03  CRYPTOGRAPHY AND COMPUTER SECURITY STANFORD EXPERT CONTRIBUTORS Dr. Dan Boneh SETR Faculty Council and Professor of Computer Science and of Electrical Engineering Dr. David Tse Thomas Kailath and Guanghan Xu Professor of Engineering Neil Perry SETR Fellow and PhD Student in Computer Science</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ENERGY TECHNOLOGIES KEY TAKEAWAYS Although many clean energy technologies are now ° available and increasingly affordable, scaling them up and building the infrastructure for them will take decades due to infrastructure inertia, stakeholder complexity, and the “energy trilemma,” which bal­ ances reliability, affordability, and cleanliness.</w:t>
      </w:r>
    </w:p>
    <w:p>
      <w:pPr>
        <w:pStyle w:val="DocBody"/>
      </w:pPr>
      <w:r>
        <w:rPr>
          <w:rFonts w:ascii="Times New Roman" w:hAnsi="Times New Roman" w:eastAsia="宋体"/>
          <w:sz w:val="24"/>
        </w:rPr>
        <w:t>The US has shifted from climate urgency to ° energy dominance, redirecting support from renewables and electric vehicles to fssion, coal, and natural gas. Globally, similar trends prevail as nations record peak fossil fuel use and scale back renewable investments, prioritizing energy secu­ rity over decarbonization.</w:t>
      </w:r>
    </w:p>
    <w:p>
      <w:pPr>
        <w:pStyle w:val="DocBody"/>
      </w:pPr>
      <w:r>
        <w:rPr>
          <w:rFonts w:ascii="Times New Roman" w:hAnsi="Times New Roman" w:eastAsia="宋体"/>
          <w:sz w:val="24"/>
        </w:rPr>
        <w:t>Energy innovation is fragmented, diverse, and ° geopolitically strategic, with progress in technolo­ gies like fssion, geothermal, fusion, and batteries reshaping the energy frontier. To compete with China, US technology leadership depends on sus­ tained research and development funding, robust supply chains, and strategic industrial policies.</w:t>
      </w:r>
    </w:p>
    <w:p>
      <w:pPr>
        <w:pStyle w:val="DocBody"/>
      </w:pPr>
      <w:r>
        <w:rPr>
          <w:rFonts w:ascii="Times New Roman" w:hAnsi="Times New Roman" w:eastAsia="宋体"/>
          <w:sz w:val="24"/>
        </w:rPr>
        <w:t>Overview Energy is the lifeblood of modern society—enabling heating, cooling, light, mobility, information, and the creation of modern materials. Because it touches everything, everywhere, all the time, energy plays out against a complex backdrop of technology, economics, regulation, and consumer behavior. Key elements of this backdrop include the following:</w:t>
      </w:r>
    </w:p>
    <w:p>
      <w:pPr>
        <w:pStyle w:val="DocBody"/>
      </w:pPr>
      <w:r>
        <w:rPr>
          <w:rFonts w:ascii="Times New Roman" w:hAnsi="Times New Roman" w:eastAsia="宋体"/>
          <w:sz w:val="24"/>
        </w:rPr>
        <w:t>° Growing demand As several billion people in the developing world lift themselves out of pov­ erty, global energy consumption is projected to increase by some 50 percent between 2020 and 2050.1 That increase is not a luxury but is essen­ tial to their improved quality of life.</w:t>
      </w:r>
    </w:p>
    <w:p>
      <w:pPr>
        <w:pStyle w:val="DocBody"/>
      </w:pPr>
      <w:r>
        <w:rPr>
          <w:rFonts w:ascii="Times New Roman" w:hAnsi="Times New Roman" w:eastAsia="宋体"/>
          <w:sz w:val="24"/>
        </w:rPr>
        <w:t>° The “energy trilemma” It’s not enough that energy systems produce and deliver energy. They need to do so reliably, affordably, and cleanly, with “clean” referring to both local and greenhouse gas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4.1  The energy trilemma “Clean”</w:t>
      </w:r>
    </w:p>
    <w:p>
      <w:pPr>
        <w:pStyle w:val="DocBody"/>
      </w:pPr>
      <w:r>
        <w:rPr>
          <w:rFonts w:ascii="Times New Roman" w:hAnsi="Times New Roman" w:eastAsia="宋体"/>
          <w:sz w:val="24"/>
        </w:rPr>
        <w:t>Affordable Reliable emissions. (Local emissions refer to particulates emitted in the immediate vicinity of a power plant.)</w:t>
      </w:r>
    </w:p>
    <w:p>
      <w:pPr>
        <w:pStyle w:val="DocBody"/>
      </w:pPr>
      <w:r>
        <w:rPr>
          <w:rFonts w:ascii="Times New Roman" w:hAnsi="Times New Roman" w:eastAsia="宋体"/>
          <w:sz w:val="24"/>
        </w:rPr>
        <w:t>Those three dimensions are often expressed as the energy trilemma, as illustrated in fgure 4.1.</w:t>
      </w:r>
    </w:p>
    <w:p>
      <w:pPr>
        <w:pStyle w:val="DocBody"/>
      </w:pPr>
      <w:r>
        <w:rPr>
          <w:rFonts w:ascii="Times New Roman" w:hAnsi="Times New Roman" w:eastAsia="宋体"/>
          <w:sz w:val="24"/>
        </w:rPr>
        <w:t>It is rare to fnd technologies that simultaneously satisfy all three desiderata. In the US electricity sector, conventional coal is secure and affordable but generally emits greenhouse gases; natural gas is much cleaner locally but still emits carbon dioxide (CO2); wind and solar are affordable and non-emitting but unreliable; and nuclear power is both clean and reliable but more expensive than alternatives. The trilemma suggests that no single type of energy source will always be right under all circumstances.</w:t>
      </w:r>
    </w:p>
    <w:p>
      <w:pPr>
        <w:pStyle w:val="DocBody"/>
      </w:pPr>
      <w:r>
        <w:rPr>
          <w:rFonts w:ascii="Times New Roman" w:hAnsi="Times New Roman" w:eastAsia="宋体"/>
          <w:sz w:val="24"/>
        </w:rPr>
        <w:t>Opportunities for innovation The challenge of ° resolving the energy trilemma has engendered a furry of technological innovation. That effort has dramatically reduced the costs of onshore wind and solar generation, improved battery per­ formance and economics, surfaced promising geothermal technologies, and rekindled interest in nuclear power, particularly designs for small reac­ tors. Although the many innovations on today’s drawing boards will not be impactful for years, they are the foundation for a more affordable, more reli­ able, and cleaner energy future in the longer term.</w:t>
      </w:r>
    </w:p>
    <w:p>
      <w:pPr>
        <w:pStyle w:val="DocBody"/>
      </w:pPr>
      <w:r>
        <w:rPr>
          <w:rFonts w:ascii="Times New Roman" w:hAnsi="Times New Roman" w:eastAsia="宋体"/>
          <w:sz w:val="24"/>
        </w:rPr>
        <w:t>Growing electrifcation Energy is delivered to ° end users through carriers, whether they be fuel molecules or electrons. The latter carrier is favored in more advanced countries. This is because elec­ tricity is easily moved through wires, is clean at the point of use, and can be employed in many ways, from powering electronics to moving elec­ tric vehicles (EVs). Global electricity demand grew 4.3 percent in 2024, almost double the average rate over the prior decade. The rise of data cen­ ters, heat pumps, and vehicle electrifcation is expected to increase US electricity demand by some 25 percent in the next fve years, a dra­ matic acceleration compared with the past two decades, when demand was essentially fat.2 Hydrocarbon dominance As fgure 4.2 shows, ° hydrocarbons derived from fossil fuels (coal, oil, and natural gas) supplied 86 percent of the world’s primary energy in 2024.3 (Primary energy refers to energy sources before they have been converted to electricity.) Wind and solar gen­ eration, while growing rapidly, accounted for 6.5 percent of primary energy the same year.</w:t>
      </w:r>
    </w:p>
    <w:p>
      <w:pPr>
        <w:pStyle w:val="DocBody"/>
      </w:pPr>
      <w:r>
        <w:rPr>
          <w:rFonts w:ascii="Times New Roman" w:hAnsi="Times New Roman" w:eastAsia="宋体"/>
          <w:sz w:val="24"/>
        </w:rPr>
        <w:t>Limitations of renewable sources Wind- and ° solar-generated electricity remain substantially cheaper than electricity generated by fossil fuels and also accounted for more electrical energy in 2024 than in any previous year.4 However, the The challenge of resolving the energy trilemma has engendered a flurry of technological innovation.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04  ENERGY TECHNOLOGIES</w:t>
      </w:r>
    </w:p>
    <w:p>
      <w:pPr>
        <w:pStyle w:val="DocBody"/>
      </w:pPr>
      <w:r>
        <w:rPr>
          <w:rFonts w:ascii="Times New Roman" w:hAnsi="Times New Roman" w:eastAsia="宋体"/>
          <w:sz w:val="24"/>
        </w:rPr>
        <w:t>FIGURE 4.2 100% 80% 60% 40% 20% 0% Global energy consumption by source (1965–2024)</w:t>
      </w:r>
    </w:p>
    <w:p>
      <w:pPr>
        <w:pStyle w:val="DocBody"/>
      </w:pPr>
      <w:r>
        <w:rPr>
          <w:rFonts w:ascii="Times New Roman" w:hAnsi="Times New Roman" w:eastAsia="宋体"/>
          <w:sz w:val="24"/>
        </w:rPr>
        <w:t>Other renewables Biofuels Solar Wind Hydropower Nuclear Gas Coal Oil Source: Adapted from Our World in Data, https://ourworldindata.org/grapher/energy-consumption-by -source-and-region, CC BY-SA 3.0 drawbacks of a renewable-heavy grid are becom­ ing apparent.5 They include the following:</w:t>
      </w:r>
    </w:p>
    <w:p>
      <w:pPr>
        <w:pStyle w:val="DocBody"/>
      </w:pPr>
      <w:r>
        <w:rPr>
          <w:rFonts w:ascii="Times New Roman" w:hAnsi="Times New Roman" w:eastAsia="宋体"/>
          <w:sz w:val="24"/>
        </w:rPr>
        <w:t>– The cost of the dispatchable backup gener­ ation required to ensure high reliability (dis­ patchable refers to power sources that can be adjusted up or down on demand)</w:t>
      </w:r>
    </w:p>
    <w:p>
      <w:pPr>
        <w:pStyle w:val="DocBody"/>
      </w:pPr>
      <w:r>
        <w:rPr>
          <w:rFonts w:ascii="Times New Roman" w:hAnsi="Times New Roman" w:eastAsia="宋体"/>
          <w:sz w:val="24"/>
        </w:rPr>
        <w:t>– The diffculties of synchronizing generators that lack mechanical inertia, which makes it harder to bring them online smoothly6 – The fre risks of grid-scale battery storage – The critical materials required by clean energy technologies—materials that the United States heavily imports from countries whose interests do not always align with theirs (e.g., rare earths from China and cobalt from the Congo)</w:t>
      </w:r>
    </w:p>
    <w:p>
      <w:pPr>
        <w:pStyle w:val="DocBody"/>
      </w:pPr>
      <w:r>
        <w:rPr>
          <w:rFonts w:ascii="Times New Roman" w:hAnsi="Times New Roman" w:eastAsia="宋体"/>
          <w:sz w:val="24"/>
        </w:rPr>
        <w:t>The diffculty of large­scale change in energy ° infrastructure Energy is delivered to end users by systems, and those systems are hard to change, for fundamental reasons.7 They involve large investments in assets that last decades, their parts need to work together (e.g., cars, fuel, and the fueling infrastructure must all be compatible), and there are many stakeholders whose interests often don’t align. It also takes time to refne the hardware and operating procedures that ensure high reliability and effciency. Energy systems are therefore best changed slowly and steadily over decades.</w:t>
      </w:r>
    </w:p>
    <w:p>
      <w:pPr>
        <w:pStyle w:val="DocBody"/>
      </w:pPr>
      <w:r>
        <w:rPr>
          <w:rFonts w:ascii="Times New Roman" w:hAnsi="Times New Roman" w:eastAsia="宋体"/>
          <w:sz w:val="24"/>
        </w:rPr>
        <w:t>Effciency limitations Greater effciency of end ° use (e.g., more miles per gallon in a vehicle or more lumens per watt in a light-emitting diode, or LED) is often invoked as an energy-saving mea­ sure. Yet such savings can be partially, or even totally, offset by direct rebound (i.e., greater eff­ ciency leading to greater use) or indirect rebound (i.e., energy savings redirected to other uses).</w:t>
      </w:r>
    </w:p>
    <w:p>
      <w:pPr>
        <w:pStyle w:val="DocBody"/>
      </w:pPr>
      <w:r>
        <w:rPr>
          <w:rFonts w:ascii="Times New Roman" w:hAnsi="Times New Roman" w:eastAsia="宋体"/>
          <w:sz w:val="24"/>
        </w:rPr>
        <w:t>Pragmatic challenges Innovation in energy ° systems differs from other felds covered in the Stanford Emerging Technology Review (SETR)</w:t>
      </w:r>
    </w:p>
    <w:p>
      <w:pPr>
        <w:pStyle w:val="DocBody"/>
      </w:pPr>
      <w:r>
        <w:rPr>
          <w:rFonts w:ascii="Times New Roman" w:hAnsi="Times New Roman" w:eastAsia="宋体"/>
          <w:sz w:val="24"/>
        </w:rPr>
        <w:t>because many viable energy sources already exist. Any new energy source will be producing a</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commodity—fuel molecules or moving electrons (i.e., electricity). In this case, the cost of produc­ ing and delivering this commodity to the end user is paramount, subject to the other dimensions of the trilemma (reliability and lack of emissions).</w:t>
      </w:r>
    </w:p>
    <w:p>
      <w:pPr>
        <w:pStyle w:val="DocBody"/>
      </w:pPr>
      <w:r>
        <w:rPr>
          <w:rFonts w:ascii="Times New Roman" w:hAnsi="Times New Roman" w:eastAsia="宋体"/>
          <w:sz w:val="24"/>
        </w:rPr>
        <w:t>For large-scale deployment in a market economy, a new energy technology not only needs to work;</w:t>
      </w:r>
    </w:p>
    <w:p>
      <w:pPr>
        <w:pStyle w:val="DocBody"/>
      </w:pPr>
      <w:r>
        <w:rPr>
          <w:rFonts w:ascii="Times New Roman" w:hAnsi="Times New Roman" w:eastAsia="宋体"/>
          <w:sz w:val="24"/>
        </w:rPr>
        <w:t>it must be better than the alternatives. Moreover, in a globalized world, invention, manufacturing, and deployment often occur in different coun­ tries, which signifcantly affects the economic and security impacts of energy innovation.</w:t>
      </w:r>
    </w:p>
    <w:p>
      <w:pPr>
        <w:pStyle w:val="DocBody"/>
      </w:pPr>
      <w:r>
        <w:rPr>
          <w:rFonts w:ascii="Times New Roman" w:hAnsi="Times New Roman" w:eastAsia="宋体"/>
          <w:sz w:val="24"/>
        </w:rPr>
        <w:t>In the United States, the Department of Energy (DOE) and the private sector have been the most signifcant funders of energy innovation, with government, academia, and the private sector conducting the research on energy technologies. Academia conducts the bulk of early-stage research on energy technologies, as do the US National Laboratories. However, these organizations don’t have the resources to effect later-stage development or large-scale demonstrations, let alone deployments. Such efforts fall primarily to the private sector, which includes both large established companies and start-ups that might partner with academic institutions to take early-stage research to commercialization.</w:t>
      </w:r>
    </w:p>
    <w:p>
      <w:pPr>
        <w:pStyle w:val="DocBody"/>
      </w:pPr>
      <w:r>
        <w:rPr>
          <w:rFonts w:ascii="Times New Roman" w:hAnsi="Times New Roman" w:eastAsia="宋体"/>
          <w:sz w:val="24"/>
        </w:rPr>
        <w:t>Key Developments In the past few years, explosive growth in the demand for energy has begun to reshape the US energy econ­ omy. Data centers, artifcial intelligence (AI) workloads, mining of cryptocurrencies, and industrial reshoring have driven electricity demand up by more than 2 per­ cent annually for three consecutive years—a reversal of two decades of fat consumption. Forecasts sug­ gest demand could rise between 16 and 25 percent over the next fve years, straining grid capacity and prompting calls for new generation capacity.</w:t>
      </w:r>
    </w:p>
    <w:p>
      <w:pPr>
        <w:pStyle w:val="DocBody"/>
      </w:pPr>
      <w:r>
        <w:rPr>
          <w:rFonts w:ascii="Times New Roman" w:hAnsi="Times New Roman" w:eastAsia="宋体"/>
          <w:sz w:val="24"/>
        </w:rPr>
        <w:t>In response, capital is shifting from intermittent renewables to dispatchable generation—especially natural gas, nuclear, and energy storage. Clean energy sectors are facing headwinds as utility-scale solar and wind projects have slowed due to the loss of federal tax credits and rising interest rates. Wind generation of electricity in the United States declined in 2023 for the frst time in twenty-fve years,8 and growth in solar generation capacity slowed despite record installations in 2023.9 At the same time, nat­ ural gas infrastructure is expanding rapidly, albeit constrained by labor and supply chain bottlenecks.</w:t>
      </w:r>
    </w:p>
    <w:p>
      <w:pPr>
        <w:pStyle w:val="DocBody"/>
      </w:pPr>
      <w:r>
        <w:rPr>
          <w:rFonts w:ascii="Times New Roman" w:hAnsi="Times New Roman" w:eastAsia="宋体"/>
          <w:sz w:val="24"/>
        </w:rPr>
        <w:t>Nuclear power is experiencing a renaissance, with new builds, restarts, and uprates underway. (Uprates refer to the process of increasing the maximum power output of an existing nuclear power plant through modifcations or improvements.)</w:t>
      </w:r>
    </w:p>
    <w:p>
      <w:pPr>
        <w:pStyle w:val="DocBody"/>
      </w:pPr>
      <w:r>
        <w:rPr>
          <w:rFonts w:ascii="Times New Roman" w:hAnsi="Times New Roman" w:eastAsia="宋体"/>
          <w:sz w:val="24"/>
        </w:rPr>
        <w:t>In short, aspirations for an accelerated energy transition have collided with scientifc and techno­ economic realities. These collisions, many of which predate the current US administration, have led to a new pragmatism in energy matters as the transition’s costs and challenges become increasingly apparent.</w:t>
      </w:r>
    </w:p>
    <w:p>
      <w:pPr>
        <w:pStyle w:val="DocBody"/>
      </w:pPr>
      <w:r>
        <w:rPr>
          <w:rFonts w:ascii="Times New Roman" w:hAnsi="Times New Roman" w:eastAsia="宋体"/>
          <w:sz w:val="24"/>
        </w:rPr>
        <w:t>There is now more attention on an energy source being affordable and reliable than a single-minded focus on mitigating greenhouse gas emissions.10 This pragmatism is refected in the repeal of most tax subsidies for emissions mitigation in the US Infation Reduction Act and by the Trump administration’s elevation of energy reliability and abundance, if not “energy dominance,” over emissions-mitigation efforts. A number of other global developments during the past year refect this trend as well:</w:t>
      </w:r>
    </w:p>
    <w:p>
      <w:pPr>
        <w:pStyle w:val="DocBody"/>
      </w:pPr>
      <w:r>
        <w:rPr>
          <w:rFonts w:ascii="Times New Roman" w:hAnsi="Times New Roman" w:eastAsia="宋体"/>
          <w:sz w:val="24"/>
        </w:rPr>
        <w:t>Global consumption of each of the major fossil ° fuels (coal, oil, and natural gas) hit a record high in 2024, despite record investments in renewable energy.11 Total energy-related CO2 emissions increased by 0.8 percent in 2024, hitting an all- time high of 37.8 gigatons of CO2.12 The United States began withdrawing from the ° Paris Agreement, while the European Union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04  ENERGY TECHNOLOGIES</w:t>
      </w:r>
    </w:p>
    <w:p>
      <w:pPr>
        <w:pStyle w:val="DocBody"/>
      </w:pPr>
      <w:r>
        <w:rPr>
          <w:rFonts w:ascii="Times New Roman" w:hAnsi="Times New Roman" w:eastAsia="宋体"/>
          <w:sz w:val="24"/>
        </w:rPr>
        <w:t>Nuclear power is experiencing a renaissance, with new builds, restarts, and uprates underway.</w:t>
      </w:r>
    </w:p>
    <w:p>
      <w:pPr>
        <w:pStyle w:val="DocBody"/>
      </w:pPr>
      <w:r>
        <w:rPr>
          <w:rFonts w:ascii="Times New Roman" w:hAnsi="Times New Roman" w:eastAsia="宋体"/>
          <w:sz w:val="24"/>
        </w:rPr>
        <w:t>softened compliance burdens under political pressure, signaling a retreat from an aggressive climate policy.13 Mandates banning internal combustion engine ° vehicles are facing mounting resistance in Europe.14 In addition, as Russia curtailed ship­ ments of pipeline gas to Europe in retaliation for European support to Ukraine, Europe increased its imports of liquefed natural gas (LNG) to com­ pensate for the loss.15 However, LNG has a sig­ nifcantly worse emissions footprint than Russian pipeline gas because of the processing needed to liquify natural gas and the transportation of it from source to destination. Europe’s actions there­ fore suggest a weakening of its commitments to reducing emissions, at least in the short term.</w:t>
      </w:r>
    </w:p>
    <w:p>
      <w:pPr>
        <w:pStyle w:val="DocBody"/>
      </w:pPr>
      <w:r>
        <w:rPr>
          <w:rFonts w:ascii="Times New Roman" w:hAnsi="Times New Roman" w:eastAsia="宋体"/>
          <w:sz w:val="24"/>
        </w:rPr>
        <w:t>Established in 2021 to align the fnancial sector ° with emissions targets, the Glasgow Financial Alliance for Net Zero unraveled in early 2025 fol­ lowing mass departures by major US banks from its affliated coalitions, exposing the fragility of voluntary climate fnance initiatives.16 Companies are quietly retreating from public sustainability commitments amid a political backlash.17 Major carmakers, including General Motors, Mercedes- Benz, and Aston Martin, scaled back EV plans in 2024–25, citing weak demand, high costs, and uncertain policy environments.18 The emerging zeitgeist is that all three legs of the trilemma are important—a change that will temper, but not halt, sustainable energy research and devel­ opment and deployment efforts. In the past year, the two energy technologies that have gained in promi­ nence are nuclear power and coal.</w:t>
      </w:r>
    </w:p>
    <w:p>
      <w:pPr>
        <w:pStyle w:val="DocBody"/>
      </w:pPr>
      <w:r>
        <w:rPr>
          <w:rFonts w:ascii="Times New Roman" w:hAnsi="Times New Roman" w:eastAsia="宋体"/>
          <w:sz w:val="24"/>
        </w:rPr>
        <w:t>Nuclear Power In September 2024, the DOE’s “Pathways to Com­ mercial Liftoff: Advanced Nuclear” report projected that the United States would need 700–900 giga­ watts (GW) of clean frm power by 2050, with nuclear expected to triple its capacity to about 300 GW.19 Consistent with this theme, the past year has seen a renaissance in the US nuclear power sector, driven by surging electricity demand, emissions concerns, and strategic industrial policy.</w:t>
      </w:r>
    </w:p>
    <w:p>
      <w:pPr>
        <w:pStyle w:val="DocBody"/>
      </w:pPr>
      <w:r>
        <w:rPr>
          <w:rFonts w:ascii="Times New Roman" w:hAnsi="Times New Roman" w:eastAsia="宋体"/>
          <w:sz w:val="24"/>
        </w:rPr>
        <w:t>The most tangible development has been the completion of Vogtle Units 3 and 4 at the Alvin W.</w:t>
      </w:r>
    </w:p>
    <w:p>
      <w:pPr>
        <w:pStyle w:val="DocBody"/>
      </w:pPr>
      <w:r>
        <w:rPr>
          <w:rFonts w:ascii="Times New Roman" w:hAnsi="Times New Roman" w:eastAsia="宋体"/>
          <w:sz w:val="24"/>
        </w:rPr>
        <w:t>Vogtle Electric Generating Plant, in Georgia, which marked a historic milestone as the frst new reactors built in the United States in over three decades (see fgure  4.3).20 These Westinghouse AP1000 pres­ surized water reactors added 2.2 GW of baseload capacity, making Plant Vogtle the largest nuclear power station in the country. Despite cost overruns and delays, the project demonstrated that large reactors remain viable when paired with federal loan guarantees and tax incentives.</w:t>
      </w:r>
    </w:p>
    <w:p>
      <w:pPr>
        <w:pStyle w:val="DocBody"/>
      </w:pPr>
      <w:r>
        <w:rPr>
          <w:rFonts w:ascii="Times New Roman" w:hAnsi="Times New Roman" w:eastAsia="宋体"/>
          <w:sz w:val="24"/>
        </w:rPr>
        <w:t>Fermi America and Westinghouse have also announced plans to construct four AP1000 reactors near Amarillo, Texas, to power a massive AI data center.21 The AP1000 design, now fully licensed and supported by a trained workforce and mature supply chain, is expected to see reduced costs and construction timelines compared to earlier builds.</w:t>
      </w:r>
    </w:p>
    <w:p>
      <w:pPr>
        <w:pStyle w:val="DocBody"/>
      </w:pPr>
      <w:r>
        <w:rPr>
          <w:rFonts w:ascii="Times New Roman" w:hAnsi="Times New Roman" w:eastAsia="宋体"/>
          <w:sz w:val="24"/>
        </w:rPr>
        <w:t>This proposal refects a new trend of pairing nuclear power with energy-intensive digital infrastructure, as exemplifed by Microsoft’s proposed restart of a Three Mile Island unit to power its AI data centers.22</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4.3  Vogtle Unit 3 under construction in October 2020 Source: US Nuclear Regulatory Commission Holtec International received regulatory approval to restart the Palisades Nuclear Plant, in Michigan, which has been in decommissioning for three years.23 Reactivations of a closed US nuclear plant like this could unlock latent capacity at other retired sites.</w:t>
      </w:r>
    </w:p>
    <w:p>
      <w:pPr>
        <w:pStyle w:val="DocBody"/>
      </w:pPr>
      <w:r>
        <w:rPr>
          <w:rFonts w:ascii="Times New Roman" w:hAnsi="Times New Roman" w:eastAsia="宋体"/>
          <w:sz w:val="24"/>
        </w:rPr>
        <w:t>More technologically advanced reactors will gener­ ally use high-assay low-enriched uranium (HALEU), enriched to between 5 and 20 percent uranium-235.</w:t>
      </w:r>
    </w:p>
    <w:p>
      <w:pPr>
        <w:pStyle w:val="DocBody"/>
      </w:pPr>
      <w:r>
        <w:rPr>
          <w:rFonts w:ascii="Times New Roman" w:hAnsi="Times New Roman" w:eastAsia="宋体"/>
          <w:sz w:val="24"/>
        </w:rPr>
        <w:t>Yet domestic supply of this remains severely con­ strained. Historically, the United States has relied on Russian imports for HALEU, but recent legislation bans such imports after 2027, intensifying pressure to build a domestic supply chain.</w:t>
      </w:r>
    </w:p>
    <w:p>
      <w:pPr>
        <w:pStyle w:val="DocBody"/>
      </w:pPr>
      <w:r>
        <w:rPr>
          <w:rFonts w:ascii="Times New Roman" w:hAnsi="Times New Roman" w:eastAsia="宋体"/>
          <w:sz w:val="24"/>
        </w:rPr>
        <w:t>Centrus Energy, the only US frm currently produc­ ing HALEU, delivered its frst batch in late 2023 and aims to scale up its Ohio facility.24 However, expan­ sion will require billions of dollars in investment and sustained political support. In April 2025, the DOE awarded conditional HALEU supply commitments to fve reactor developers by drawing from national stockpiles and DOE reserves.25 To catalyze long­ term supply, the DOE also awarded $2.7 billion in enrichment contracts to four frms, aiming to rebuild domestic enrichment capacity and reduce reliance on foreign sources.26 Coal Coal-fred electricity in the United States has been declining since the 1950s, supplanted by inexpen­ sive natural gas and the deployment of wind and solar generation.27 Yet coal is garnering renewed attention as an option for powering data centers and AI that addresses reliability and supply chain vulnerability concerns. Coal is a domestically mined resource that can limit US dependence on foreign energy products.28 In an effort to reinvigorate the industry, the US government designated coal as a</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04  ENERGY TECHNOLOGIES</w:t>
      </w:r>
    </w:p>
    <w:p>
      <w:pPr>
        <w:pStyle w:val="DocBody"/>
      </w:pPr>
      <w:r>
        <w:rPr>
          <w:rFonts w:ascii="Times New Roman" w:hAnsi="Times New Roman" w:eastAsia="宋体"/>
          <w:sz w:val="24"/>
        </w:rPr>
        <w:t>critical mineral in April 2025, and President Trump signed an executive order, Reinvigorating America’s Beautiful Clean Coal Industry, to expand its mining and use in the United States.29 Asia continues to be heavily dependent upon coal.</w:t>
      </w:r>
    </w:p>
    <w:p>
      <w:pPr>
        <w:pStyle w:val="DocBody"/>
      </w:pPr>
      <w:r>
        <w:rPr>
          <w:rFonts w:ascii="Times New Roman" w:hAnsi="Times New Roman" w:eastAsia="宋体"/>
          <w:sz w:val="24"/>
        </w:rPr>
        <w:t>China has pledged to be carbon neutral by 2060, and to that end, installed 365 GW of solar and wind energy capacity in 2024, far outpacing Europe.30 Yet it also had almost 100 GW of new coal-fred capacity under construction in 2024, the greatest amount in a decade.31 Coal also continues to dominate in India, accounting for 75 percent of generation.32 Over the Horizon The discussion below provides an overview of technologies that are promising or where policy associated with them or an established area is less developed. It includes some energy technologies not covered in last year’s edition of SETR and, due to space limitations, provides short descriptions of others. (For more on these technologies, refer to chapter 10 of SETR 2025.)</w:t>
      </w:r>
    </w:p>
    <w:p>
      <w:pPr>
        <w:pStyle w:val="DocBody"/>
      </w:pPr>
      <w:r>
        <w:rPr>
          <w:rFonts w:ascii="Times New Roman" w:hAnsi="Times New Roman" w:eastAsia="宋体"/>
          <w:sz w:val="24"/>
        </w:rPr>
        <w:t>Thermal storage Long-duration energy storage ° from intermittent sources such as wind and solar is necessary to capture their full value. Storage allows excess energy produced during plenti­ ful times to be used when intermittent sources are unavailable. For example, solar energy is about twice as abundant in summer as in winter.</w:t>
      </w:r>
    </w:p>
    <w:p>
      <w:pPr>
        <w:pStyle w:val="DocBody"/>
      </w:pPr>
      <w:r>
        <w:rPr>
          <w:rFonts w:ascii="Times New Roman" w:hAnsi="Times New Roman" w:eastAsia="宋体"/>
          <w:sz w:val="24"/>
        </w:rPr>
        <w:t>Thermal storage stores excess power in the form of heat, such as by heating a large volume of salts to a very high temperature. When needed, this stored heat can be released to generate power.</w:t>
      </w:r>
    </w:p>
    <w:p>
      <w:pPr>
        <w:pStyle w:val="DocBody"/>
      </w:pPr>
      <w:r>
        <w:rPr>
          <w:rFonts w:ascii="Times New Roman" w:hAnsi="Times New Roman" w:eastAsia="宋体"/>
          <w:sz w:val="24"/>
        </w:rPr>
        <w:t>Renewable combustible hydrocarbons and ° biodiesel Research on these technologies aims to create energy sources that do not rely on fossil fuels such as oil, gas, or coal. Renewable fuels include combustible hydrocarbons such as biodiesel, which can be produced from animal fats or vegetable oils; bioethanol produced from corn or algae; hydrogen, which can be produced from many sources; and ammonia produced using green hydrogen (see defnition of green hydrogen later in this chapter).</w:t>
      </w:r>
    </w:p>
    <w:p>
      <w:pPr>
        <w:pStyle w:val="DocBody"/>
      </w:pPr>
      <w:r>
        <w:rPr>
          <w:rFonts w:ascii="Times New Roman" w:hAnsi="Times New Roman" w:eastAsia="宋体"/>
          <w:sz w:val="24"/>
        </w:rPr>
        <w:t>Carbon capture and storage (CCS) CSS ° reduces CO2 in the atmosphere by capturing and storing it underground. Carbon capture is usually done at the emission source, like power plant smokestacks, using materials and membranes to extract CO2 for underground storage or material use. Direct air capture, which removes CO2 from the atmosphere at much lower concentrations, consumes more energy. However, it is currently progressing through several commercial-scale projects, with research focused on scaling, stor­ age duration, and cost-effectiveness of various removal methods such as biomass storage and mineralization.</w:t>
      </w:r>
    </w:p>
    <w:p>
      <w:pPr>
        <w:pStyle w:val="DocBody"/>
      </w:pPr>
      <w:r>
        <w:rPr>
          <w:rFonts w:ascii="Times New Roman" w:hAnsi="Times New Roman" w:eastAsia="宋体"/>
          <w:sz w:val="24"/>
        </w:rPr>
        <w:t>New grid technologies These are needed to ° manage the future electric grid. Compared to today’s grid, this future one will be larger, more complex, and more decentralized, integrating varied renewable energy sources and dealing with increased electricity demand. Relevant new technologies include reconductoring (replacing existing power cables with more advanced ones)</w:t>
      </w:r>
    </w:p>
    <w:p>
      <w:pPr>
        <w:pStyle w:val="DocBody"/>
      </w:pPr>
      <w:r>
        <w:rPr>
          <w:rFonts w:ascii="Times New Roman" w:hAnsi="Times New Roman" w:eastAsia="宋体"/>
          <w:sz w:val="24"/>
        </w:rPr>
        <w:t>to boost line capacity, end-use energy manage­ ment to shift and optimize the timing of elec­ tricity consumption, vehicle-to-grid systems that allow EVs to feed energy back to the grid, and second-life battery applications for stationary storage.</w:t>
      </w:r>
    </w:p>
    <w:p>
      <w:pPr>
        <w:pStyle w:val="DocBody"/>
      </w:pPr>
      <w:r>
        <w:rPr>
          <w:rFonts w:ascii="Times New Roman" w:hAnsi="Times New Roman" w:eastAsia="宋体"/>
          <w:sz w:val="24"/>
        </w:rPr>
        <w:t>Additionally, AI and data-driven systems will opti­ mize grid operations and maintenance by respond­ ing dynamically to changes in renewable generation and demand, and by predicting equipment failures.</w:t>
      </w:r>
    </w:p>
    <w:p>
      <w:pPr>
        <w:pStyle w:val="DocBody"/>
      </w:pPr>
      <w:r>
        <w:rPr>
          <w:rFonts w:ascii="Times New Roman" w:hAnsi="Times New Roman" w:eastAsia="宋体"/>
          <w:sz w:val="24"/>
        </w:rPr>
        <w:t>Of particular interest this year are the following technologies, for which longer descriptions are offered: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Green Hydrogen Hydrogen is vital to today’s energy systems, with important roles in refning and in fertilizer and steel production. Many envision it to be similarly vital in a deeply decarbonized energy future, either as a vehi­ cle fuel itself or as a component of a synthetic fuel, as a form of grid-scale storage, and as an input to industrial processes.</w:t>
      </w:r>
    </w:p>
    <w:p>
      <w:pPr>
        <w:pStyle w:val="DocBody"/>
      </w:pPr>
      <w:r>
        <w:rPr>
          <w:rFonts w:ascii="Times New Roman" w:hAnsi="Times New Roman" w:eastAsia="宋体"/>
          <w:sz w:val="24"/>
        </w:rPr>
        <w:t>Hydrogen today is produced almost exclusively by steam reforming, in which methane and water are passed over catalysts at suitable temperatures and pressures to yield hydrogen and CO2.33 In a decar­ bonized world, that process would be replaced by the electrolysis of water driven by carbon-free elec­ tricity (e.g., from renewables). While there have been initial steps in that direction, progress will depend upon the cost of “green” hydrogen (i.e., hydrogen produced through renewable electricity sources) rel­ ative to that produced by steam reforming, the scal­ ability of the technology, and the extent to which the world pursues decarbonization.</w:t>
      </w:r>
    </w:p>
    <w:p>
      <w:pPr>
        <w:pStyle w:val="DocBody"/>
      </w:pPr>
      <w:r>
        <w:rPr>
          <w:rFonts w:ascii="Times New Roman" w:hAnsi="Times New Roman" w:eastAsia="宋体"/>
          <w:sz w:val="24"/>
        </w:rPr>
        <w:t>Electrolyzer technologies—primarily alkaline, proton exchange membrane, and emerging solid oxide sys- tems—have seen dramatic cost reductions over the past decade. DOE estimates suggest electrolyzer costs have dropped by over 80 percent since 2005, with further reductions expected as manufacturing scales and effciency improves.34 Global installed electrolyzer capacity now exceeds 4.5 GW, up from just 0.17 GW in 2021. But despite these advances and a 10 percent annual growth in demand, green hydrogen still accounted for less than 1 percent of the roughly 100 million tons of global hydrogen pro­ duction in 2024.</w:t>
      </w:r>
    </w:p>
    <w:p>
      <w:pPr>
        <w:pStyle w:val="DocBody"/>
      </w:pPr>
      <w:r>
        <w:rPr>
          <w:rFonts w:ascii="Times New Roman" w:hAnsi="Times New Roman" w:eastAsia="宋体"/>
          <w:sz w:val="24"/>
        </w:rPr>
        <w:t>While political changes have reduced US prospects and enthusiasm for green hydrogen, global investment is growing. The International Energy Agency projected $7.8 billion in global spending on clean hydrogen in 2025—a 70 percent increase over 2024—with 6 GW allocated to electrolysis projects. Countries like India, China, and Oman are launching giga-scale projects and positioning themselves as future exporters.</w:t>
      </w:r>
    </w:p>
    <w:p>
      <w:pPr>
        <w:pStyle w:val="DocBody"/>
      </w:pPr>
      <w:r>
        <w:rPr>
          <w:rFonts w:ascii="Times New Roman" w:hAnsi="Times New Roman" w:eastAsia="宋体"/>
          <w:sz w:val="24"/>
        </w:rPr>
        <w:t>The extent to which those investments will pay off depends upon several factors:</w:t>
      </w:r>
    </w:p>
    <w:p>
      <w:pPr>
        <w:pStyle w:val="DocBody"/>
      </w:pPr>
      <w:r>
        <w:rPr>
          <w:rFonts w:ascii="Times New Roman" w:hAnsi="Times New Roman" w:eastAsia="宋体"/>
          <w:sz w:val="24"/>
        </w:rPr>
        <w:t>Cost Green hydrogen is still expensive and ° capital-intensive. Today’s cost, $3 to $6 per kilo­ gram, remains signifcantly higher than the $1 to $2 per kilogram cost of steam reforming. Achieving cost parity by 2031 will require breakthroughs in effciency, materials, and manufacturing.</w:t>
      </w:r>
    </w:p>
    <w:p>
      <w:pPr>
        <w:pStyle w:val="DocBody"/>
      </w:pPr>
      <w:r>
        <w:rPr>
          <w:rFonts w:ascii="Times New Roman" w:hAnsi="Times New Roman" w:eastAsia="宋体"/>
          <w:sz w:val="24"/>
        </w:rPr>
        <w:t>Infrastructure Pipelines, storage, and refueling ° stations are limited, especially outside pilot hubs.</w:t>
      </w:r>
    </w:p>
    <w:p>
      <w:pPr>
        <w:pStyle w:val="DocBody"/>
      </w:pPr>
      <w:r>
        <w:rPr>
          <w:rFonts w:ascii="Times New Roman" w:hAnsi="Times New Roman" w:eastAsia="宋体"/>
          <w:sz w:val="24"/>
        </w:rPr>
        <w:t>Offtake uncertainty Many projects lack frm ° buyers, creating a mismatch between fnal invest­ ment decisions and market demand.</w:t>
      </w:r>
    </w:p>
    <w:p>
      <w:pPr>
        <w:pStyle w:val="DocBody"/>
      </w:pPr>
      <w:r>
        <w:rPr>
          <w:rFonts w:ascii="Times New Roman" w:hAnsi="Times New Roman" w:eastAsia="宋体"/>
          <w:sz w:val="24"/>
        </w:rPr>
        <w:t>Regulatory fragmentation Inconsistent stan­ ° dards for emissions accounting, certifcation, and trade hinder the formation of a global hydrogen market.</w:t>
      </w:r>
    </w:p>
    <w:p>
      <w:pPr>
        <w:pStyle w:val="DocBody"/>
      </w:pPr>
      <w:r>
        <w:rPr>
          <w:rFonts w:ascii="Times New Roman" w:hAnsi="Times New Roman" w:eastAsia="宋体"/>
          <w:sz w:val="24"/>
        </w:rPr>
        <w:t>Geothermal Energy Geothermal energy draws upon Earth’s internal heat, making it, unlike wind and solar technolo­ gies, independent of weather conditions. The most common method of extracting geothermal energy Compared to today’s grid, [the] future one will be larger, more complex, and more decentralized.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04  ENERGY TECHNOLOGIES</w:t>
      </w:r>
    </w:p>
    <w:p>
      <w:pPr>
        <w:pStyle w:val="DocBody"/>
      </w:pPr>
      <w:r>
        <w:rPr>
          <w:rFonts w:ascii="Times New Roman" w:hAnsi="Times New Roman" w:eastAsia="宋体"/>
          <w:sz w:val="24"/>
        </w:rPr>
        <w:t>FIGURE 4.4  Drone image of the setup for the first demonstration of Quaise Energy’s novel drilling technique on a full­ scale oil rig Source: Quaise Energy is to use steam from naturally occurring geysers to generate electricity. The hot water from geothermal springs can also be used to heat buildings directly.35 However, there are a limited number of sites where these methods can be deployed.</w:t>
      </w:r>
    </w:p>
    <w:p>
      <w:pPr>
        <w:pStyle w:val="DocBody"/>
      </w:pPr>
      <w:r>
        <w:rPr>
          <w:rFonts w:ascii="Times New Roman" w:hAnsi="Times New Roman" w:eastAsia="宋体"/>
          <w:sz w:val="24"/>
        </w:rPr>
        <w:t>An alternative method for extracting geothermal energy is to inject water into dry, hot rock deeper down and bring the resulting steam to the surface to generate electricity.36 Beyond knowing where best to drill, the use of standard drills limits the depths that can be reached and thus the temperatures that can be accessed. And because fracking (which involves injecting liquid at high pressure to expand existing fssures) is required to create channels for steam generation, it is possible to induce seismic events that can damage local infrastructure.37 To address these issues, various start-ups are devel­ oping safe and effcient drilling techniques that can access greater depths. Quaise Energy, for example, has recently developed a new drill that uses an elec­ tromagnetic beam to vaporize rock at great depths (see fgure 4.4),38 thus addressing many of the chal­ lenges faced by physical drills.39 The deepest hole ever drilled was almost eight miles deep, but Quaise wants to push to twelve miles.</w:t>
      </w:r>
    </w:p>
    <w:p>
      <w:pPr>
        <w:pStyle w:val="DocBody"/>
      </w:pPr>
      <w:r>
        <w:rPr>
          <w:rFonts w:ascii="Times New Roman" w:hAnsi="Times New Roman" w:eastAsia="宋体"/>
          <w:sz w:val="24"/>
        </w:rPr>
        <w:t>There are also several recent innovations in dry heat geothermal generation and storage, which increase the fexibility and availability of geothermal energy.</w:t>
      </w:r>
    </w:p>
    <w:p>
      <w:pPr>
        <w:pStyle w:val="DocBody"/>
      </w:pPr>
      <w:r>
        <w:rPr>
          <w:rFonts w:ascii="Times New Roman" w:hAnsi="Times New Roman" w:eastAsia="宋体"/>
          <w:sz w:val="24"/>
        </w:rPr>
        <w:t>For example, Fervo, a start-up based out of Houston, drills horizontally to fnd heat sources that can warm the water that it injects.40 Oil and gas companies have become increasingly interested in this form of</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technology because oil wells can be retroftted for geothermal energy.41 One generic challenge in geothermal applications is depletion of the heat resource because of the long amount of time it takes for the ambient underground heat to replace that which has been extracted. For example, the capacity of the Geysers geothermal plants in California has declined some 65 percent in the past three decades, from 2,000 megawatts (MW)</w:t>
      </w:r>
    </w:p>
    <w:p>
      <w:pPr>
        <w:pStyle w:val="DocBody"/>
      </w:pPr>
      <w:r>
        <w:rPr>
          <w:rFonts w:ascii="Times New Roman" w:hAnsi="Times New Roman" w:eastAsia="宋体"/>
          <w:sz w:val="24"/>
        </w:rPr>
        <w:t>in 1987 to 725 MW today.42 The National Renewable Energy Laboratory esti­ mates that geothermal energy on federal lands could support as much as 975 GW of dispatchable generation.43 The technology has signifcant bipar­ tisan support. The Geothermal Energy Opportunity Act was introduced in Congress in January 2025 to accelerate approval of geothermal projects.44 On May 30, 2025, the US Department of the Interior announced emergency permitting proce­ dures to accelerate geothermal projects in sup­ port of the Trump administration’s goal of energy dominance.45 Small Modular Nuclear Reactors A small modular reactor (SMR) is a compact nuclear fssion reactor with an electric power output of up to 300 MW. It is designed for factory fabrication and modular installation to provide a fexible, scalable low-carbon energy source. More than a dozen US start-ups are racing to commercialize advanced SMR designs that promise lower costs, faster deployment, and enhanced safety. These include molten salt, liquid metal, and high-temperature, gas-cooled reactors, many of which operate at atmospheric pressure and use passive safety sys­ tems. (Passive safety systems in nuclear reac­ tors enhance safety by relying on natural physical phenomena—such as gravity, natural circulation, and convection—to maintain safe reactor condi­ tions without external power, active controls, or operator intervention.)</w:t>
      </w:r>
    </w:p>
    <w:p>
      <w:pPr>
        <w:pStyle w:val="DocBody"/>
      </w:pPr>
      <w:r>
        <w:rPr>
          <w:rFonts w:ascii="Times New Roman" w:hAnsi="Times New Roman" w:eastAsia="宋体"/>
          <w:sz w:val="24"/>
        </w:rPr>
        <w:t>Among them are:</w:t>
      </w:r>
    </w:p>
    <w:p>
      <w:pPr>
        <w:pStyle w:val="DocBody"/>
      </w:pPr>
      <w:r>
        <w:rPr>
          <w:rFonts w:ascii="Times New Roman" w:hAnsi="Times New Roman" w:eastAsia="宋体"/>
          <w:sz w:val="24"/>
        </w:rPr>
        <w:t>Kairos Power, which is developing the Hermes 2 ° reactor in Tennessee.46 This uses molten fuoride salt as coolant and is expected to deliver 50 MW to Google’s data centers by 2030, with plans to scale to 500 MW by 2035.</w:t>
      </w:r>
    </w:p>
    <w:p>
      <w:pPr>
        <w:pStyle w:val="DocBody"/>
      </w:pPr>
      <w:r>
        <w:rPr>
          <w:rFonts w:ascii="Times New Roman" w:hAnsi="Times New Roman" w:eastAsia="宋体"/>
          <w:sz w:val="24"/>
        </w:rPr>
        <w:t>TerraPower, which broke ground on its Natrium ° reactor in Wyoming.47 Using liquid sodium cool­ ant and molten salt energy storage, the plant aims to dispatch 345 MW by 2030 to PacifCorp, with ramp-up capability to 500 MW.</w:t>
      </w:r>
    </w:p>
    <w:p>
      <w:pPr>
        <w:pStyle w:val="DocBody"/>
      </w:pPr>
      <w:r>
        <w:rPr>
          <w:rFonts w:ascii="Times New Roman" w:hAnsi="Times New Roman" w:eastAsia="宋体"/>
          <w:sz w:val="24"/>
        </w:rPr>
        <w:t>Oklo, which is pursuing compact fast reactors ° cooled by liquid metal.48 Despite regulatory setbacks, it has secured agreements to supply 12 GW to data center operator Switch by 2044.</w:t>
      </w:r>
    </w:p>
    <w:p>
      <w:pPr>
        <w:pStyle w:val="DocBody"/>
      </w:pPr>
      <w:r>
        <w:rPr>
          <w:rFonts w:ascii="Times New Roman" w:hAnsi="Times New Roman" w:eastAsia="宋体"/>
          <w:sz w:val="24"/>
        </w:rPr>
        <w:t>Refecting the urgency to meet AI-driven electricity demand, the DOE recently selected eleven projects for a pilot program to fast-track the development of advanced reactor technologies. Some of these will be intended for use in small modular test reactors, with the aim to bring at least three online by July 4, 2026.49 One of these, Deep Fission, plans to put an SMR in a one-mile deep borehole that will provide much of the physical safety barriers needed for reactors and thereby reduce construction costs signifcantly.50 Fusion Energy Like the energy produced by splitting heavy atoms such as uranium or plutonium (fssion), energy pro­ duced by combining two light atoms (fusion) entails no greenhouse gas emissions. It also has the addi­ tional advantages of using abundant fuels and pro­ ducing minimal long-lived radioactive waste.51 While it is still some distance from commercial demonstra­ tion, nuclear fusion could prove to be a viable long­ term energy source for future generations.</w:t>
      </w:r>
    </w:p>
    <w:p>
      <w:pPr>
        <w:pStyle w:val="DocBody"/>
      </w:pPr>
      <w:r>
        <w:rPr>
          <w:rFonts w:ascii="Times New Roman" w:hAnsi="Times New Roman" w:eastAsia="宋体"/>
          <w:sz w:val="24"/>
        </w:rPr>
        <w:t>The most important among the several technical challenges to realizing fusion energy is to achieve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04  ENERGY TECHNOLOGIES</w:t>
      </w:r>
    </w:p>
    <w:p>
      <w:pPr>
        <w:pStyle w:val="DocBody"/>
      </w:pPr>
      <w:r>
        <w:rPr>
          <w:rFonts w:ascii="Times New Roman" w:hAnsi="Times New Roman" w:eastAsia="宋体"/>
          <w:sz w:val="24"/>
        </w:rPr>
        <w:t>Many nuclear fusion advances are now driven by start-ups, reflecting the private sector’s central role in energy innovation.</w:t>
      </w:r>
    </w:p>
    <w:p>
      <w:pPr>
        <w:pStyle w:val="DocBody"/>
      </w:pPr>
      <w:r>
        <w:rPr>
          <w:rFonts w:ascii="Times New Roman" w:hAnsi="Times New Roman" w:eastAsia="宋体"/>
          <w:sz w:val="24"/>
        </w:rPr>
        <w:t>“gain”—that is, to confne a plasma of hydrogen isotopes for durations and at temperatures and densities suffcient to produce more energy from fusion than was required to create the plasma. One approach to solving this confnement problem is magnetic confnement fusion, which uses power­ ful magnets to contain and control a superheated plasma of deuterium and tritium. A second is iner­ tial confnement fusion, which calls for rapidly com­ pressing a deuterium-tritium fuel pellet using lasers to ignite the fusion reaction.</w:t>
      </w:r>
    </w:p>
    <w:p>
      <w:pPr>
        <w:pStyle w:val="DocBody"/>
      </w:pPr>
      <w:r>
        <w:rPr>
          <w:rFonts w:ascii="Times New Roman" w:hAnsi="Times New Roman" w:eastAsia="宋体"/>
          <w:sz w:val="24"/>
        </w:rPr>
        <w:t>In 2022, the National Ignition Facility, which has the world’s largest laser, achieved the frst laboratory fusion system with net gain—that is, it produced fusion energy 1.5 times greater than the laser energy that created the hot, dense mass of hydrogen.</w:t>
      </w:r>
    </w:p>
    <w:p>
      <w:pPr>
        <w:pStyle w:val="DocBody"/>
      </w:pPr>
      <w:r>
        <w:rPr>
          <w:rFonts w:ascii="Times New Roman" w:hAnsi="Times New Roman" w:eastAsia="宋体"/>
          <w:sz w:val="24"/>
        </w:rPr>
        <w:t>Subsequent refnement led to an April 2025 experi­ ment that showed a gain of 4.2 times.52 Although this is a promising milestone, a gain of mid-double-digits magnitude is necessary for a viable power plant.</w:t>
      </w:r>
    </w:p>
    <w:p>
      <w:pPr>
        <w:pStyle w:val="DocBody"/>
      </w:pPr>
      <w:r>
        <w:rPr>
          <w:rFonts w:ascii="Times New Roman" w:hAnsi="Times New Roman" w:eastAsia="宋体"/>
          <w:sz w:val="24"/>
        </w:rPr>
        <w:t>Beyond sustaining a plasma of suffcient gain, there are two other major technological challenges in making fusion a viable source of energy.</w:t>
      </w:r>
    </w:p>
    <w:p>
      <w:pPr>
        <w:pStyle w:val="DocBody"/>
      </w:pPr>
      <w:r>
        <w:rPr>
          <w:rFonts w:ascii="Times New Roman" w:hAnsi="Times New Roman" w:eastAsia="宋体"/>
          <w:sz w:val="24"/>
        </w:rPr>
        <w:t>° The walls of whatever vessel contains the plasma must be robust. A fusion plasma produces X-rays and particles that will rapidly degrade wall mate­ rial. It’s therefore important to fnd material that can resist (or at least slow) this degradation.</w:t>
      </w:r>
    </w:p>
    <w:p>
      <w:pPr>
        <w:pStyle w:val="DocBody"/>
      </w:pPr>
      <w:r>
        <w:rPr>
          <w:rFonts w:ascii="Times New Roman" w:hAnsi="Times New Roman" w:eastAsia="宋体"/>
          <w:sz w:val="24"/>
        </w:rPr>
        <w:t>° The frst fusion reactors will almost certainly be fueled by a mixture of deuterium and tritium.</w:t>
      </w:r>
    </w:p>
    <w:p>
      <w:pPr>
        <w:pStyle w:val="DocBody"/>
      </w:pPr>
      <w:r>
        <w:rPr>
          <w:rFonts w:ascii="Times New Roman" w:hAnsi="Times New Roman" w:eastAsia="宋体"/>
          <w:sz w:val="24"/>
        </w:rPr>
        <w:t>While deuterium is readily available in nature, tri­ tium is radioactive, with a half-life of 12.3 years.</w:t>
      </w:r>
    </w:p>
    <w:p>
      <w:pPr>
        <w:pStyle w:val="DocBody"/>
      </w:pPr>
      <w:r>
        <w:rPr>
          <w:rFonts w:ascii="Times New Roman" w:hAnsi="Times New Roman" w:eastAsia="宋体"/>
          <w:sz w:val="24"/>
        </w:rPr>
        <w:t>This means that tritium must be manufactured.</w:t>
      </w:r>
    </w:p>
    <w:p>
      <w:pPr>
        <w:pStyle w:val="DocBody"/>
      </w:pPr>
      <w:r>
        <w:rPr>
          <w:rFonts w:ascii="Times New Roman" w:hAnsi="Times New Roman" w:eastAsia="宋体"/>
          <w:sz w:val="24"/>
        </w:rPr>
        <w:t>A fusion power plant with a 1 GW output oper­ ating for a year would consume at least several times the current global production of tritium.</w:t>
      </w:r>
    </w:p>
    <w:p>
      <w:pPr>
        <w:pStyle w:val="DocBody"/>
      </w:pPr>
      <w:r>
        <w:rPr>
          <w:rFonts w:ascii="Times New Roman" w:hAnsi="Times New Roman" w:eastAsia="宋体"/>
          <w:sz w:val="24"/>
        </w:rPr>
        <w:t>Therefore, a viable fusion reactor must breed its own tritium. Self-manufacture of tritium can be done in principle by exposing6 Li (a particular and relatively rare isotope of lithium) to the neutrons that the reactor produces. However, this pro­ cess has never been demonstrated at the scale required.</w:t>
      </w:r>
    </w:p>
    <w:p>
      <w:pPr>
        <w:pStyle w:val="DocBody"/>
      </w:pPr>
      <w:r>
        <w:rPr>
          <w:rFonts w:ascii="Times New Roman" w:hAnsi="Times New Roman" w:eastAsia="宋体"/>
          <w:sz w:val="24"/>
        </w:rPr>
        <w:t>Even after these hurdles are surmounted, the cost of electricity generated must be competitive with con­ ventional alternatives. Most knowledgeable observ­ ers believe fusion power into the grid won’t happen until 2040, at the earliest.</w:t>
      </w:r>
    </w:p>
    <w:p>
      <w:pPr>
        <w:pStyle w:val="DocBody"/>
      </w:pPr>
      <w:r>
        <w:rPr>
          <w:rFonts w:ascii="Times New Roman" w:hAnsi="Times New Roman" w:eastAsia="宋体"/>
          <w:sz w:val="24"/>
        </w:rPr>
        <w:t>France, Japan, and China are all making progress in their national programs pursuing magnetic con­ fnement fusion.53 America’s national program is dominated by participation in the ITER tokamak international initiative to build a fusion reactor, although the DOE has recently reinvigorated efforts on the alternative stellarator concept. (A tokamak is easier to build and more effcient than a stellarator design, but a tokamak must operate in pulses rather than continuously. A stellarator can operate continu­ ously but is more diffcult to build.)</w:t>
      </w:r>
    </w:p>
    <w:p>
      <w:pPr>
        <w:pStyle w:val="DocBody"/>
      </w:pPr>
      <w:r>
        <w:rPr>
          <w:rFonts w:ascii="Times New Roman" w:hAnsi="Times New Roman" w:eastAsia="宋体"/>
          <w:sz w:val="24"/>
        </w:rPr>
        <w:t>Many nuclear fusion advances are now driven by start­ ups, refecting the private sector’s central role in energy innovation.54 Private companies are pursuing a wider range of fusion technologies than government-backed programs, across both inertial and magnetic confne­ ment approaches. In magnetic confnement, notable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examples include Commonwealth Fusion Systems (originating from MIT research)55 and TAE Technologies (founded at University of California–Irvine),56 which plan to build their frst fusion reactors by the early 2030s. German start-up Proxima Fusion has released open-source plans for a nuclear fusion power plant employing novel containment strategies.57 Iron-Air Batteries Storing energy in large-scale, long-duration bat­ teries is one way of compensating for intermittent wind and solar generation. Unfortunately, lithium-ion (Li-ion) batteries are ill suited for this purpose due to their limited storage capacity and high cost. In SETR 2025, we highlighted novel batteries that are emerging to meet future energy reliability needs, including redox fow, Ni-H2 gas, and Zn-MnO2. In the past year, Form Energy’s iron-air batteries have also emerged as a promising alternative.58 Iron-air batteries can deliver up to one hundred hours of utility-scale storage, compared to four hours from Li-ion batteries. (The time of utility-scale storage refers to the period over which a battery can sustain its full rated power output.) This improve­ ment stems from a reversible rusting process. To dis­ charge an iron-air battery, iron oxidizes (i.e., it rusts by combining with oxygen), causing a fow of elec­ trons (electricity). To charge the battery, electricity is used to reverse the rusting process, releasing oxy­ gen.59 While the chemical processes in Li-ion batter­ ies allow for rapid charge and discharge cycles, they also lead to faster battery degradation. In contrast, the reversible rusting process enables extended energy release, making iron-air batteries ideal for long-duration storage.</w:t>
      </w:r>
    </w:p>
    <w:p>
      <w:pPr>
        <w:pStyle w:val="DocBody"/>
      </w:pPr>
      <w:r>
        <w:rPr>
          <w:rFonts w:ascii="Times New Roman" w:hAnsi="Times New Roman" w:eastAsia="宋体"/>
          <w:sz w:val="24"/>
        </w:rPr>
        <w:t>Because iron is one of the most abundant metals on Earth, the batteries are signifcantly cheaper than Li-ion or redox fow batteries. They are also safer, with no fammable materials.60 But they are less eff­ cient than traditional batteries, releasing only 50 to 60 percent of the stored energy compared to 80 to 90 percent for Li-ion batteries.61 Even so, many utility companies plan to use this novel energy stor­ age technology. PacifCorp, for example, noted in its 2025 integrated resource plan that “100-hour iron- air storage has a low capital cost with a low round trip effciency,” making it “a valuable asset in its portfolio.”62 Iron-air batteries are not intended to completely replace Li-ion batteries but rather serve as a com­ plementary form of long-duration energy storage.</w:t>
      </w:r>
    </w:p>
    <w:p>
      <w:pPr>
        <w:pStyle w:val="DocBody"/>
      </w:pPr>
      <w:r>
        <w:rPr>
          <w:rFonts w:ascii="Times New Roman" w:hAnsi="Times New Roman" w:eastAsia="宋体"/>
          <w:sz w:val="24"/>
        </w:rPr>
        <w:t>They will also contribute to national security goals by reducing US dependence on Chinese-dominated Li-ion batteries.63 Transportation Electrifcation The One Big Beautiful Bill that passed in 2025 elim­ inated the tax incentives for EVs and the associated charging infrastructure that had been in place under the 2022 Infation Reduction Act. This will slow EV adoption in the United States. Nevertheless, the electrifcation of light-duty transport continues apace in other parts of the world.64 (Light-duty transport refers to vehicles designed primarily for the transpor­ tation of passengers or cargo and weighing less than 8,500  pounds. It typically includes passenger cars, small vans, SUVs, and pickup trucks.)</w:t>
      </w:r>
    </w:p>
    <w:p>
      <w:pPr>
        <w:pStyle w:val="DocBody"/>
      </w:pPr>
      <w:r>
        <w:rPr>
          <w:rFonts w:ascii="Times New Roman" w:hAnsi="Times New Roman" w:eastAsia="宋体"/>
          <w:sz w:val="24"/>
        </w:rPr>
        <w:t>Certain EV technologies, such as batteries, are cur­ rently dominated by Chinese suppliers, who lead the global market. For example, Contemporary Amperex Technology Co., Limited (CATL), supplies 35 percent of the world’s Li-ion EV batteries, serving major com­ panies including Tesla, BMW, and Volkswagen. In early May 2025, CATL raised $4.6 billion in a Hong Kong IPO, notably excluding American investors.65 Range is one of the greatest challenges facing EVs, making improving battery technology key to their adoption. Currently, EVs with fast charging speeds and long ranges, such as the Tesla Model Y and Mercedes-Benz EQS, take roughly 30 min­ utes to charge to a range of 280 miles. However, in April 2025, CATL announced that its latest EV battery could add 323 miles of driving range with 5 minutes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04  ENERGY TECHNOLOGIES</w:t>
      </w:r>
    </w:p>
    <w:p>
      <w:pPr>
        <w:pStyle w:val="DocBody"/>
      </w:pPr>
      <w:r>
        <w:rPr>
          <w:rFonts w:ascii="Times New Roman" w:hAnsi="Times New Roman" w:eastAsia="宋体"/>
          <w:sz w:val="24"/>
        </w:rPr>
        <w:t>of charging, marking a signifcant improvement in EV battery range and charging speed.66 However, the implications for charging infrastructure should not be underestimated—assuming a nominal 3 miles per kWh, adding 300 miles of range in 5 minutes requires 1.2 MW of power at the charging station, or about 1,000 times the average power draw of an American household.</w:t>
      </w:r>
    </w:p>
    <w:p>
      <w:pPr>
        <w:pStyle w:val="DocBody"/>
      </w:pPr>
      <w:r>
        <w:rPr>
          <w:rFonts w:ascii="Times New Roman" w:hAnsi="Times New Roman" w:eastAsia="宋体"/>
          <w:sz w:val="24"/>
        </w:rPr>
        <w:t>Policy Issues The past year has seen dramatic changes in US energy policy, regulation, and economics, driven by surging electricity demand, shifting political priori­ ties, and global market pressures. Federal and state governments have enacted sweeping reforms, regu­ latory agencies are reorienting their frameworks, and economic forces are reshaping investment fows. The following are some of the key policy-related trends:</w:t>
      </w:r>
    </w:p>
    <w:p>
      <w:pPr>
        <w:pStyle w:val="DocBody"/>
      </w:pPr>
      <w:r>
        <w:rPr>
          <w:rFonts w:ascii="Times New Roman" w:hAnsi="Times New Roman" w:eastAsia="宋体"/>
          <w:sz w:val="24"/>
        </w:rPr>
        <w:t>From Decarbonization to Energy Dominance The Trump administration has emphasized energy abundance and industrial competitiveness over green­ house gas mitigation, reversing many of the clean energy priorities of previous years. This shift is embod­ ied in legislation that eliminates tax credits for new wind and solar projects—including the Production Tax Credit and Investment Tax Credit, which had catalyzed renewable deployment for decades. New legislation has also expanded federal support for nuclear power, geothermal, and natural gas infrastructure, including fast-track permitting and loan guarantees.</w:t>
      </w:r>
    </w:p>
    <w:p>
      <w:pPr>
        <w:pStyle w:val="DocBody"/>
      </w:pPr>
      <w:r>
        <w:rPr>
          <w:rFonts w:ascii="Times New Roman" w:hAnsi="Times New Roman" w:eastAsia="宋体"/>
          <w:sz w:val="24"/>
        </w:rPr>
        <w:t>At the same time, the administration issued four executive orders aimed at “unleashing American energy,” including mandates to accelerate fossil fuel leasing on federal lands, streamline pipeline approv­ als, and sunset outdated regulations.67 These moves signal a realignment toward energy security, grid reliability, and domestic production.</w:t>
      </w:r>
    </w:p>
    <w:p>
      <w:pPr>
        <w:pStyle w:val="DocBody"/>
      </w:pPr>
      <w:r>
        <w:rPr>
          <w:rFonts w:ascii="Times New Roman" w:hAnsi="Times New Roman" w:eastAsia="宋体"/>
          <w:sz w:val="24"/>
        </w:rPr>
        <w:t>Regulatory Overhaul Regulatory agencies have undergone signifcant restructuring. The DOE launched the largest dereg­ ulatory effort in its history, proposing to eliminate or modify forty-seven regulations, ranging from appliance-effciency standards to environmental review procedures. According to the DOE,68 these changes are expected to save consumers an esti­ mated $11 billion and reduce regulatory text by over 125,000 words.</w:t>
      </w:r>
    </w:p>
    <w:p>
      <w:pPr>
        <w:pStyle w:val="DocBody"/>
      </w:pPr>
      <w:r>
        <w:rPr>
          <w:rFonts w:ascii="Times New Roman" w:hAnsi="Times New Roman" w:eastAsia="宋体"/>
          <w:sz w:val="24"/>
        </w:rPr>
        <w:t>The Federal Energy Regulatory Commission was directed to implement “conditional sunset clauses”</w:t>
      </w:r>
    </w:p>
    <w:p>
      <w:pPr>
        <w:pStyle w:val="DocBody"/>
      </w:pPr>
      <w:r>
        <w:rPr>
          <w:rFonts w:ascii="Times New Roman" w:hAnsi="Times New Roman" w:eastAsia="宋体"/>
          <w:sz w:val="24"/>
        </w:rPr>
        <w:t>for all energy-related regulations, requiring peri­ odic review and expiration of such regulations unless reauthorized. This introduces uncertainty into long-standing rules governing transmission plan­ ning, interconnection (i.e., links between local grids), and wholesale market operations.</w:t>
      </w:r>
    </w:p>
    <w:p>
      <w:pPr>
        <w:pStyle w:val="DocBody"/>
      </w:pPr>
      <w:r>
        <w:rPr>
          <w:rFonts w:ascii="Times New Roman" w:hAnsi="Times New Roman" w:eastAsia="宋体"/>
          <w:sz w:val="24"/>
        </w:rPr>
        <w:t>The Environmental Protection Agency (EPA) scaled back enforcement of greenhouse gas emissions standards for power plants and vehicles. While previous rules aimed to reduce emissions through 2032, new guidance allows states greater fexibil­ ity and delays compliance timelines. More impor­ tantly, the EPA has also proposed rescinding the Endangerment Finding that underpins its regula­ tion of greenhouse gas emissions.69 As noted ear­ lier, nuclear power is enjoying a revival that spans large-scale reactor projects, a host of SMR start­ ups, renewed attention to advanced designs and advanced fuels, and federal initiatives aimed at rebuilding domestic capacity and global leadership.</w:t>
      </w:r>
    </w:p>
    <w:p>
      <w:pPr>
        <w:pStyle w:val="DocBody"/>
      </w:pPr>
      <w:r>
        <w:rPr>
          <w:rFonts w:ascii="Times New Roman" w:hAnsi="Times New Roman" w:eastAsia="宋体"/>
          <w:sz w:val="24"/>
        </w:rPr>
        <w:t>For example, the Nuclear Regulatory Commission (NRC) has accelerated licensing pathways for SMRs and microreactors (i.e., advanced reactors gen­ erating no more than about a tenth of the power of an SMR and designed for mobility, fast deploy­ ment, and minimal onsite staffng), refecting bipar­ tisan support for advanced nuclear technologies.</w:t>
      </w:r>
    </w:p>
    <w:p>
      <w:pPr>
        <w:pStyle w:val="DocBody"/>
      </w:pPr>
      <w:r>
        <w:rPr>
          <w:rFonts w:ascii="Times New Roman" w:hAnsi="Times New Roman" w:eastAsia="宋体"/>
          <w:sz w:val="24"/>
        </w:rPr>
        <w:t>Additionally, in May 2025 the White House issued four executive orders to reinvigorate the nuclear industrial base, streamline reactor licensing, reform</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the NRC, and deploy advanced reactors for national security.70 These orders mandate:</w:t>
      </w:r>
    </w:p>
    <w:p>
      <w:pPr>
        <w:pStyle w:val="DocBody"/>
      </w:pPr>
      <w:r>
        <w:rPr>
          <w:rFonts w:ascii="Times New Roman" w:hAnsi="Times New Roman" w:eastAsia="宋体"/>
          <w:sz w:val="24"/>
        </w:rPr>
        <w:t>Accelerated licensing for SMRs and microreactors ° Funding to restart closed plants and uprate exist­ ° ing reactors Support for ten new large reactor designs under ° construction by 2030 Expansion of HALEU enrichment and deconver­ ° sion infrastructure Workforce development and supply chain ° localization Congress has also passed the Accelerating Deployment of Versatile, Advanced Nuclear for Clean Energy (ADVANCE) Act, which facilitates reactor deployment and strengthens export capa­ bilities.71 The latter is needed to compete with aggressive Chinese and Russian expansion of their nuclear exports.</w:t>
      </w:r>
    </w:p>
    <w:p>
      <w:pPr>
        <w:pStyle w:val="DocBody"/>
      </w:pPr>
      <w:r>
        <w:rPr>
          <w:rFonts w:ascii="Times New Roman" w:hAnsi="Times New Roman" w:eastAsia="宋体"/>
          <w:sz w:val="24"/>
        </w:rPr>
        <w:t>Supply Chain Issues Access to lithium and other critical minerals poses a challenge to the long-term success of domestic Li-ion EV battery production. China currently pro­ duces 90 percent of the world’s permanent rare- earth magnets, which are critical components in EV motors. Since December 2025, China has imposed regulations on exporting various critical minerals, which could gravely impact American access to the materials necessary to build EVs and many other sustainable technologies.72 Many companies are also concerned about the long-term availability of these materials, and some, like CATL, are looking into more effcient ways to recycle old Li-ion bat­ teries.73 The battery recycling market is predicted to grow at a compound annual growth rate of 40 percent.</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“International Energy Outlook—Consumption,” US Energy Information Administration, October 2021, https://www.eia.gov /outlooks/ieo/consumption/sub-topic-03.php.</w:t>
      </w:r>
    </w:p>
    <w:p>
      <w:pPr>
        <w:pStyle w:val="DocBody"/>
        <w:ind w:left="765"/>
      </w:pPr>
      <w:r>
        <w:rPr>
          <w:rFonts w:ascii="Times New Roman" w:hAnsi="Times New Roman" w:eastAsia="宋体"/>
          <w:sz w:val="24"/>
        </w:rPr>
        <w:t>Mark Schipper and Tyler Hodge, “After More Than a Decade of Little Change, U.S. Electricity Consumption Is Rising Again,”</w:t>
      </w:r>
    </w:p>
    <w:p>
      <w:pPr>
        <w:pStyle w:val="DocBody"/>
      </w:pPr>
      <w:r>
        <w:rPr>
          <w:rFonts w:ascii="Times New Roman" w:hAnsi="Times New Roman" w:eastAsia="宋体"/>
          <w:sz w:val="24"/>
        </w:rPr>
        <w:t>US Energy Information Administration, May 13, 2025, https://www .eia.gov/todayinenergy/detail.php?id=65264.</w:t>
      </w:r>
    </w:p>
    <w:p>
      <w:pPr>
        <w:pStyle w:val="DocBody"/>
        <w:ind w:left="765"/>
      </w:pPr>
      <w:r>
        <w:rPr>
          <w:rFonts w:ascii="Times New Roman" w:hAnsi="Times New Roman" w:eastAsia="宋体"/>
          <w:sz w:val="24"/>
        </w:rPr>
        <w:t>Energy Institute, “Statistical Review of World Energy 2025,” with major processing by Our World in Data, “Other Renewables (Including Geothermal and Biomass)” [dataset], https://ourworldindata.org/grapher/energy-consumption-by -source-and-country?overlay=sources.</w:t>
      </w:r>
    </w:p>
    <w:p>
      <w:pPr>
        <w:pStyle w:val="DocBody"/>
        <w:ind w:left="765"/>
      </w:pPr>
      <w:r>
        <w:rPr>
          <w:rFonts w:ascii="Times New Roman" w:hAnsi="Times New Roman" w:eastAsia="宋体"/>
          <w:sz w:val="24"/>
        </w:rPr>
        <w:t>Euan Graham and Nicolas Fulghum, Global Electricity Review 2025, Ember Energy, April 8, 2025, https://ember-energy.org /latest-insights/global-electricity-review-2025.</w:t>
      </w:r>
    </w:p>
    <w:p>
      <w:pPr>
        <w:pStyle w:val="DocBody"/>
        <w:ind w:left="765"/>
      </w:pPr>
      <w:r>
        <w:rPr>
          <w:rFonts w:ascii="Times New Roman" w:hAnsi="Times New Roman" w:eastAsia="宋体"/>
          <w:sz w:val="24"/>
        </w:rPr>
        <w:t>“Department of Energy Releases Report on Evaluating U.S. Grid Reliability and Security,” US Department of Energy, July 7, 2025, https://www.energy.gov/articles/department-energy-releases -report-evaluating-us-grid-reliability-and-security.</w:t>
      </w:r>
    </w:p>
    <w:p>
      <w:pPr>
        <w:pStyle w:val="DocBody"/>
        <w:ind w:left="765"/>
      </w:pPr>
      <w:r>
        <w:rPr>
          <w:rFonts w:ascii="Times New Roman" w:hAnsi="Times New Roman" w:eastAsia="宋体"/>
          <w:sz w:val="24"/>
        </w:rPr>
        <w:t>Mechanical inertia in an electrical generation system is vital because it resists sudden changes in the rotational speed of generators, thereby smoothing frequency fuctuations resulting from variable loads and providing critical time for other control systems to stabilize the power grid and maintain consistent elec­ tricity supply. A lack of suffcient mechanical interia contributed to a major grid failure on the Iberian Peninsula in April 2025, accord­ ing to a report by the Baker Institute (see Raúl Bajo Buenestado, “The Iberian Peninsula Blackout—Causes, Consequences, and Challenges Ahead,” Baker Institute, May 2, 2025, https://www .bakerinstitute.org/research/iberian-peninsula-blackout-causes -consequences-and-challenges-ahead).</w:t>
      </w:r>
    </w:p>
    <w:p>
      <w:pPr>
        <w:pStyle w:val="DocBody"/>
        <w:ind w:left="765"/>
      </w:pPr>
      <w:r>
        <w:rPr>
          <w:rFonts w:ascii="Times New Roman" w:hAnsi="Times New Roman" w:eastAsia="宋体"/>
          <w:sz w:val="24"/>
        </w:rPr>
        <w:t>Steven Koonin and Avi Gopstein, “Accelerating the Pace of Energy Change,” Issues in Science and Technology, 2011, https:// issues.org/koonin/.</w:t>
      </w:r>
    </w:p>
    <w:p>
      <w:pPr>
        <w:pStyle w:val="DocBody"/>
        <w:ind w:left="765"/>
      </w:pPr>
      <w:r>
        <w:rPr>
          <w:rFonts w:ascii="Times New Roman" w:hAnsi="Times New Roman" w:eastAsia="宋体"/>
          <w:sz w:val="24"/>
        </w:rPr>
        <w:t>“Wind Generation Declined in 2023 for the First Time Since the 1990s,” US Energy Information Administration, April 30, 2024, https://www.eia.gov/todayinenergy/detail.php?id=61943.</w:t>
      </w:r>
    </w:p>
    <w:p>
      <w:pPr>
        <w:pStyle w:val="DocBody"/>
        <w:ind w:left="765"/>
      </w:pPr>
      <w:r>
        <w:rPr>
          <w:rFonts w:ascii="Times New Roman" w:hAnsi="Times New Roman" w:eastAsia="宋体"/>
          <w:sz w:val="24"/>
        </w:rPr>
        <w:t>“Global Market Outlook for Solar Power 2025–2029,” SolarPower Europe, 2025, https://www.solarpowereurope.org/insights/outlooks /global-market-outlook-for-solar-power-2025-2029/detail.</w:t>
      </w:r>
    </w:p>
    <w:p>
      <w:pPr>
        <w:pStyle w:val="DocBody"/>
        <w:ind w:left="765"/>
      </w:pPr>
      <w:r>
        <w:rPr>
          <w:rFonts w:ascii="Times New Roman" w:hAnsi="Times New Roman" w:eastAsia="宋体"/>
          <w:sz w:val="24"/>
        </w:rPr>
        <w:t>Daniel Yergin, Peter Orszag, and Atul Arya, “The Trou­ bled Energy Transition,” Foreign Affairs, February 25, 2025, https://www.foreignaffairs.com/united-states/troubled-energy -transition-yergin-orszag-arya.</w:t>
      </w:r>
    </w:p>
    <w:p>
      <w:pPr>
        <w:pStyle w:val="DocBody"/>
        <w:ind w:left="765"/>
      </w:pPr>
      <w:r>
        <w:rPr>
          <w:rFonts w:ascii="Times New Roman" w:hAnsi="Times New Roman" w:eastAsia="宋体"/>
          <w:sz w:val="24"/>
        </w:rPr>
        <w:t>“Home,” “2025 Statistical Review of World Energy,” Energy Institute, https://www.energyinst.org/statistical-review/home.</w:t>
      </w:r>
    </w:p>
    <w:p>
      <w:pPr>
        <w:pStyle w:val="DocBody"/>
        <w:ind w:left="765"/>
      </w:pPr>
      <w:r>
        <w:rPr>
          <w:rFonts w:ascii="Times New Roman" w:hAnsi="Times New Roman" w:eastAsia="宋体"/>
          <w:sz w:val="24"/>
        </w:rPr>
        <w:t>“CO2 Emissions—Global Energy Review 2025,” International Energy Agency, 2025, https://www.iea.org/reports/global-energy -review-2025/co2-emissions.</w:t>
      </w:r>
    </w:p>
    <w:p>
      <w:pPr>
        <w:pStyle w:val="DocBody"/>
        <w:ind w:left="765"/>
      </w:pPr>
      <w:r>
        <w:rPr>
          <w:rFonts w:ascii="Times New Roman" w:hAnsi="Times New Roman" w:eastAsia="宋体"/>
          <w:sz w:val="24"/>
        </w:rPr>
        <w:t>“Sustainability Policy Split Widens Between U.S. and EU in 2025,” KnowESG, August 7, 2025, https://www.knowesg.com /regulators/sustainability-policy-split-widens-between-u-s-and-eu -in-2025.</w:t>
      </w:r>
    </w:p>
    <w:p>
      <w:pPr>
        <w:pStyle w:val="DocBody"/>
        <w:ind w:left="765"/>
      </w:pPr>
      <w:r>
        <w:rPr>
          <w:rFonts w:ascii="Times New Roman" w:hAnsi="Times New Roman" w:eastAsia="宋体"/>
          <w:sz w:val="24"/>
        </w:rPr>
        <w:t>Jordyn Dahl, Giorgio Leali, and Oliver Noyan, “The EU Ban on Combustion Car Engines Is in Trouble,” Politico, March 11, 2025,</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04  ENERGY TECHNOLOGIES</w:t>
      </w:r>
    </w:p>
    <w:p>
      <w:pPr>
        <w:pStyle w:val="DocBody"/>
      </w:pPr>
      <w:r>
        <w:rPr>
          <w:rFonts w:ascii="Times New Roman" w:hAnsi="Times New Roman" w:eastAsia="宋体"/>
          <w:sz w:val="24"/>
        </w:rPr>
        <w:t>https://www.politico.eu/article/why-eu-combustion-car-ban-is-in -trouble-greenhouse-gas-climate-change/.</w:t>
      </w:r>
    </w:p>
    <w:p>
      <w:pPr>
        <w:pStyle w:val="DocBody"/>
        <w:ind w:left="765"/>
      </w:pPr>
      <w:r>
        <w:rPr>
          <w:rFonts w:ascii="Times New Roman" w:hAnsi="Times New Roman" w:eastAsia="宋体"/>
          <w:sz w:val="24"/>
        </w:rPr>
        <w:t>“Security of Gas Supply,” European Commission, 2022, https://energy.ec.europa.eu/topics/energy-security/security -gas-supply_en.</w:t>
      </w:r>
    </w:p>
    <w:p>
      <w:pPr>
        <w:pStyle w:val="DocBody"/>
        <w:ind w:left="765"/>
      </w:pPr>
      <w:r>
        <w:rPr>
          <w:rFonts w:ascii="Times New Roman" w:hAnsi="Times New Roman" w:eastAsia="宋体"/>
          <w:sz w:val="24"/>
        </w:rPr>
        <w:t>Gurjinder Khambay, “GFANZ Is in Freefall: So What Hap­ pens Next?,” Finance Innovation Lab, January 20, 2025, https:// financeinnovationlab.org/gfanz-is-in-freefall-so-what-happens -next/.</w:t>
      </w:r>
    </w:p>
    <w:p>
      <w:pPr>
        <w:pStyle w:val="DocBody"/>
        <w:ind w:left="765"/>
      </w:pPr>
      <w:r>
        <w:rPr>
          <w:rFonts w:ascii="Times New Roman" w:hAnsi="Times New Roman" w:eastAsia="宋体"/>
          <w:sz w:val="24"/>
        </w:rPr>
        <w:t>ENH Curators, “Corporate Climate Promises Are Collaps­ ing as Companies Retreat from Green Goals,” Environmental Health News, June 13, 2025, https://www.ehn.org/corporate -climate-promises-are-collapsing-as-companies-retreat-from -green-goals.</w:t>
      </w:r>
    </w:p>
    <w:p>
      <w:pPr>
        <w:pStyle w:val="DocBody"/>
        <w:ind w:left="765"/>
      </w:pPr>
      <w:r>
        <w:rPr>
          <w:rFonts w:ascii="Times New Roman" w:hAnsi="Times New Roman" w:eastAsia="宋体"/>
          <w:sz w:val="24"/>
        </w:rPr>
        <w:t>Anthony Capretto, “All the Automakers That Have Back­ pedaled or Pushed Back EV Production,” CarBuzz, August 3, 2024, https://carbuzz.com/all-the-automakers-that-have-pushed -back-ev-production/.</w:t>
      </w:r>
    </w:p>
    <w:p>
      <w:pPr>
        <w:pStyle w:val="DocBody"/>
        <w:ind w:left="765"/>
      </w:pPr>
      <w:r>
        <w:rPr>
          <w:rFonts w:ascii="Times New Roman" w:hAnsi="Times New Roman" w:eastAsia="宋体"/>
          <w:sz w:val="24"/>
        </w:rPr>
        <w:t>Pathways to Commercial Liftoff: Advanced Nuclear, US Depart­ ment of Energy (DOE), September 2024. This report is no longer available on the DOE website but can be found elsewhere (e.g., https://cdn.prod.website-fles.com/650ac01414c2440d4b402689 /67ea82f863d6e92b674683aa_U.S.%20Department%20of%20 Energy%20-%20Pathways%20to%20%20Commercial%20 Liftoff%20-%20Advanced%20Nuclear.pdf).</w:t>
      </w:r>
    </w:p>
    <w:p>
      <w:pPr>
        <w:pStyle w:val="DocBody"/>
        <w:ind w:left="765"/>
      </w:pPr>
      <w:r>
        <w:rPr>
          <w:rFonts w:ascii="Times New Roman" w:hAnsi="Times New Roman" w:eastAsia="宋体"/>
          <w:sz w:val="24"/>
        </w:rPr>
        <w:t>Slade Johnson, “Plant Vogtle Unit 4 Begins Commercial Operation,” US Energy Information Administration, May 1, 2024, https://www.eia.gov/todayinenergy/detail.php?id=61963.</w:t>
      </w:r>
    </w:p>
    <w:p>
      <w:pPr>
        <w:pStyle w:val="DocBody"/>
        <w:ind w:left="765"/>
      </w:pPr>
      <w:r>
        <w:rPr>
          <w:rFonts w:ascii="Times New Roman" w:hAnsi="Times New Roman" w:eastAsia="宋体"/>
          <w:sz w:val="24"/>
        </w:rPr>
        <w:t>“Fermi America Partners with Westinghouse to Support Licensing for Four AP1000 Units,” Westinghouse Electric Com­ pany, August 21, 2025, https://info.westinghousenuclear.com /news/fermi-america-partners-with-westinghouse-to-support -licensing-for-four-ap1000-units.</w:t>
      </w:r>
    </w:p>
    <w:p>
      <w:pPr>
        <w:pStyle w:val="DocBody"/>
        <w:ind w:left="765"/>
      </w:pPr>
      <w:r>
        <w:rPr>
          <w:rFonts w:ascii="Times New Roman" w:hAnsi="Times New Roman" w:eastAsia="宋体"/>
          <w:sz w:val="24"/>
        </w:rPr>
        <w:t>Jericho Casper, “Three Mile Island Nuclear Plant May Return to Fuel Microsoft AI Data Center,” Broadband Breakfast, March 27, 2025, https://broadbandbreakfast.com/three-mile-island-nuclear -plant-may-return-to-fuel-microsoft-ai-data-center/.</w:t>
      </w:r>
    </w:p>
    <w:p>
      <w:pPr>
        <w:pStyle w:val="DocBody"/>
        <w:ind w:left="765"/>
      </w:pPr>
      <w:r>
        <w:rPr>
          <w:rFonts w:ascii="Times New Roman" w:hAnsi="Times New Roman" w:eastAsia="宋体"/>
          <w:sz w:val="24"/>
        </w:rPr>
        <w:t>Amy Grant, “NRC Reauthorizes Palisades Operating License in Historic First for U.S. Nuclear Industry,” Holtec International, July 24, 2025, https://holtecinternational.com/2025/07/24/hh-40-15/.</w:t>
      </w:r>
    </w:p>
    <w:p>
      <w:pPr>
        <w:pStyle w:val="DocBody"/>
        <w:ind w:left="765"/>
      </w:pPr>
      <w:r>
        <w:rPr>
          <w:rFonts w:ascii="Times New Roman" w:hAnsi="Times New Roman" w:eastAsia="宋体"/>
          <w:sz w:val="24"/>
        </w:rPr>
        <w:t>“Home,” Centrus Energy Corp., June 20, 2025, https://www .centrusenergy.com/.</w:t>
      </w:r>
    </w:p>
    <w:p>
      <w:pPr>
        <w:pStyle w:val="DocBody"/>
        <w:ind w:left="765"/>
      </w:pPr>
      <w:r>
        <w:rPr>
          <w:rFonts w:ascii="Times New Roman" w:hAnsi="Times New Roman" w:eastAsia="宋体"/>
          <w:sz w:val="24"/>
        </w:rPr>
        <w:t>“U.S. Department of Energy to Distribute First Amounts of HALEU to U.S. Advanced Reactor Developers,” US Department of Energy, April 9, 2025, https://www.energy.gov/articles/us -department-energy-distribute-frst-amounts-haleu-us-advanced -reactor-developers.</w:t>
      </w:r>
    </w:p>
    <w:p>
      <w:pPr>
        <w:pStyle w:val="DocBody"/>
        <w:ind w:left="765"/>
      </w:pPr>
      <w:r>
        <w:rPr>
          <w:rFonts w:ascii="Times New Roman" w:hAnsi="Times New Roman" w:eastAsia="宋体"/>
          <w:sz w:val="24"/>
        </w:rPr>
        <w:t>“DOE Names Four Companies to Split $2.7 Billion in Future HALEU Enrichment Contracts,” Nuclear Newswire, 2025, https://www.ans.org/news/article-6485/doe-names-four-haleu -enrichment-contractors/.</w:t>
      </w:r>
    </w:p>
    <w:p>
      <w:pPr>
        <w:pStyle w:val="DocBody"/>
        <w:ind w:left="765"/>
      </w:pPr>
      <w:r>
        <w:rPr>
          <w:rFonts w:ascii="Times New Roman" w:hAnsi="Times New Roman" w:eastAsia="宋体"/>
          <w:sz w:val="24"/>
        </w:rPr>
        <w:t>Charles Kolstad, What Is Killing the U.S. Coal Industry?, Stan­ ford Institute for Economic Policy Research, Stanford University, March 2017, https://siepr.stanford.edu/publications/policy-brief /what-killing-us-coal-industry.</w:t>
      </w:r>
    </w:p>
    <w:p>
      <w:pPr>
        <w:pStyle w:val="DocBody"/>
        <w:ind w:left="765"/>
      </w:pPr>
      <w:r>
        <w:rPr>
          <w:rFonts w:ascii="Times New Roman" w:hAnsi="Times New Roman" w:eastAsia="宋体"/>
          <w:sz w:val="24"/>
        </w:rPr>
        <w:t>Antonio Olivo, “Internet Data Centers Are Fueling Drive to Old Power Source: Coal,” Washington Post, April 17, 2024, https://www.washingtonpost.com/business/interactive/2024 /data-centers-internet-power-source-coal/.</w:t>
      </w:r>
    </w:p>
    <w:p>
      <w:pPr>
        <w:pStyle w:val="DocBody"/>
        <w:ind w:left="765"/>
      </w:pPr>
      <w:r>
        <w:rPr>
          <w:rFonts w:ascii="Times New Roman" w:hAnsi="Times New Roman" w:eastAsia="宋体"/>
          <w:sz w:val="24"/>
        </w:rPr>
        <w:t>“Reinvigorating America’s Beautiful Clean Coal Industry and Amending Executive Order 14241,” The White House, April 8, 2025, https://www.whitehouse.gov/presidential-actions/2025/04 /reinvigorating-americas-beautiful-clean-coal-industry-and -amending-executive-order-14241/.</w:t>
      </w:r>
    </w:p>
    <w:p>
      <w:pPr>
        <w:pStyle w:val="DocBody"/>
        <w:ind w:left="765"/>
      </w:pPr>
      <w:r>
        <w:rPr>
          <w:rFonts w:ascii="Times New Roman" w:hAnsi="Times New Roman" w:eastAsia="宋体"/>
          <w:sz w:val="24"/>
        </w:rPr>
        <w:t>Qi Qin and Christine Shearer, “When Coal Won’t Step Aside: The Challenge of Scaling Clean Energy in China,” Centre for Research on Energy and Clean Air, April 21, 2025, https:// energyandcleanair.org/publication/when-coal-wont-step-aside -the-challenge-of-scaling-clean-energy-in-china/.</w:t>
      </w:r>
    </w:p>
    <w:p>
      <w:pPr>
        <w:pStyle w:val="DocBody"/>
        <w:ind w:left="765"/>
      </w:pPr>
      <w:r>
        <w:rPr>
          <w:rFonts w:ascii="Times New Roman" w:hAnsi="Times New Roman" w:eastAsia="宋体"/>
          <w:sz w:val="24"/>
        </w:rPr>
        <w:t>Anika Patel, “China’s Construction of New Coal-Power Plants Reached 10-Year High in 2024,” Carbon Brief, February 13, 2025, https://www.carbonbrief.org/chinas-construction-of-new-coal -power-plants-reached-10-year-high-in-2024/.</w:t>
      </w:r>
    </w:p>
    <w:p>
      <w:pPr>
        <w:pStyle w:val="DocBody"/>
        <w:ind w:left="765"/>
      </w:pPr>
      <w:r>
        <w:rPr>
          <w:rFonts w:ascii="Times New Roman" w:hAnsi="Times New Roman" w:eastAsia="宋体"/>
          <w:sz w:val="24"/>
        </w:rPr>
        <w:t>Sibi Arasu, “The World’s Most Populous Nation Is Making Big Strides in Green Energy Transition,” Associated Press News, June 2025, https://apnews.com/article/climate-change -india-renewable-solar-coal-wind-power-ffaaa2446482f0b965160 45528ed690b.</w:t>
      </w:r>
    </w:p>
    <w:p>
      <w:pPr>
        <w:pStyle w:val="DocBody"/>
        <w:ind w:left="765"/>
      </w:pPr>
      <w:r>
        <w:rPr>
          <w:rFonts w:ascii="Times New Roman" w:hAnsi="Times New Roman" w:eastAsia="宋体"/>
          <w:sz w:val="24"/>
        </w:rPr>
        <w:t>Farid Safari and Ibrahim Dincer, “A Review and Compar­ ative Evaluation of Thermochemical Water Splitting Cycles for Hydrogen Production,” Energy Conversion and Manage­ ment 205 (December 2019): 112182, https://doi.org/10.1016/j .enconman.2019.112182.</w:t>
      </w:r>
    </w:p>
    <w:p>
      <w:pPr>
        <w:pStyle w:val="DocBody"/>
        <w:ind w:left="765"/>
      </w:pPr>
      <w:r>
        <w:rPr>
          <w:rFonts w:ascii="Times New Roman" w:hAnsi="Times New Roman" w:eastAsia="宋体"/>
          <w:sz w:val="24"/>
        </w:rPr>
        <w:t>“Progress in Hydrogen and Fuel Cells,” US Department of Energy Offce of Energy Effciency and Renewable Energy, Jan­ uary 2025, https://www.energy.gov/sites/default/fles/2025-01 /progress-hydrogen-fuel-cells-jan2025.pdf.</w:t>
      </w:r>
    </w:p>
    <w:p>
      <w:pPr>
        <w:pStyle w:val="DocBody"/>
        <w:ind w:left="765"/>
      </w:pPr>
      <w:r>
        <w:rPr>
          <w:rFonts w:ascii="Times New Roman" w:hAnsi="Times New Roman" w:eastAsia="宋体"/>
          <w:sz w:val="24"/>
        </w:rPr>
        <w:t>“Geothermal Basics,” US Department of Energy, 2019, https://www.energy.gov/eere/geothermal/geothermal-basics.</w:t>
      </w:r>
    </w:p>
    <w:p>
      <w:pPr>
        <w:pStyle w:val="DocBody"/>
        <w:ind w:left="765"/>
      </w:pPr>
      <w:r>
        <w:rPr>
          <w:rFonts w:ascii="Times New Roman" w:hAnsi="Times New Roman" w:eastAsia="宋体"/>
          <w:sz w:val="24"/>
        </w:rPr>
        <w:t>“Enhanced Geothermal Systems,” US Department of Energy, 2023, https://www.energygov/eere/geothermal/enhanced -geothermal-systems.</w:t>
      </w:r>
    </w:p>
    <w:p>
      <w:pPr>
        <w:pStyle w:val="DocBody"/>
        <w:ind w:left="765"/>
      </w:pPr>
      <w:r>
        <w:rPr>
          <w:rFonts w:ascii="Times New Roman" w:hAnsi="Times New Roman" w:eastAsia="宋体"/>
          <w:sz w:val="24"/>
        </w:rPr>
        <w:t>Jules Bernstein, “Study Ties Fracking to Another Type of Shak­ ing,” University of California, Riverside News, August 10, 2023, https://news.ucr.edu/articles/2023/08/10/study-ties-fracking -another-type-shaking.</w:t>
      </w:r>
    </w:p>
    <w:p>
      <w:pPr>
        <w:pStyle w:val="DocBody"/>
        <w:ind w:left="765"/>
      </w:pPr>
      <w:r>
        <w:rPr>
          <w:rFonts w:ascii="Times New Roman" w:hAnsi="Times New Roman" w:eastAsia="宋体"/>
          <w:sz w:val="24"/>
        </w:rPr>
        <w:t>Benoît Morenne, “Can a Geothermal Startup Vaporize Rock to Drill the Deepest Holes Ever?,” Wall Street Journal, March 6, 2025, https://www.wsj.com/business/energy-oil/can-a-geothermal -startup-vaporize-rock-to-drill-the-deepest-holes-ever-9f1e3c2d.</w:t>
      </w:r>
    </w:p>
    <w:p>
      <w:pPr>
        <w:pStyle w:val="DocBody"/>
        <w:ind w:left="765"/>
      </w:pPr>
      <w:r>
        <w:rPr>
          <w:rFonts w:ascii="Times New Roman" w:hAnsi="Times New Roman" w:eastAsia="宋体"/>
          <w:sz w:val="24"/>
        </w:rPr>
        <w:t>Joe Salas, “Quaise Demos Maser Drill Bit to Go Deeper Than Humans Have Ever Gone,” New Atlas, May 29, 2025, https://new atlas.com/energy/quaise-energy-millimeter-wave-drill-demo -houston/.</w:t>
      </w:r>
    </w:p>
    <w:p>
      <w:pPr>
        <w:pStyle w:val="DocBody"/>
        <w:ind w:left="765"/>
      </w:pPr>
      <w:r>
        <w:rPr>
          <w:rFonts w:ascii="Times New Roman" w:hAnsi="Times New Roman" w:eastAsia="宋体"/>
          <w:sz w:val="24"/>
        </w:rPr>
        <w:t>Brad Plumer, “Hungry for Clean Energy, Facebook Looks to a New Type of Geothermal,” New York Times, August 26, 2024, https://www.nytimes.com/2024/08/26/climate/meta-facebook -geothermal-fracking-energy.html.</w:t>
      </w:r>
    </w:p>
    <w:p>
      <w:pPr>
        <w:pStyle w:val="DocBody"/>
        <w:ind w:left="765"/>
      </w:pPr>
      <w:r>
        <w:rPr>
          <w:rFonts w:ascii="Times New Roman" w:hAnsi="Times New Roman" w:eastAsia="宋体"/>
          <w:sz w:val="24"/>
        </w:rPr>
        <w:t>Alejandro De La Garza and Andrew D. Johnson, “Geothermal Energy Could Be Huge, But We Need Oil and Gas Companies to Build It,” Time, November 22, 2023, https://time.com/6338438 /oil-gas-geothermal-energy/.</w:t>
      </w:r>
    </w:p>
    <w:p>
      <w:pPr>
        <w:pStyle w:val="DocBody"/>
        <w:ind w:left="765"/>
      </w:pPr>
      <w:r>
        <w:rPr>
          <w:rFonts w:ascii="Times New Roman" w:hAnsi="Times New Roman" w:eastAsia="宋体"/>
          <w:sz w:val="24"/>
        </w:rPr>
        <w:t>Saul Elbein, “Pilot Project Seeks to Fix Achilles’ Heel of Geo­ thermal Power,” The Hill, May 8, 2025, https://thehill.com/policy /energy-environment/5288324-pilot-project-geothermal-energy -california/.</w:t>
      </w:r>
    </w:p>
    <w:p>
      <w:pPr>
        <w:pStyle w:val="DocBody"/>
        <w:ind w:left="765"/>
      </w:pPr>
      <w:r>
        <w:rPr>
          <w:rFonts w:ascii="Times New Roman" w:hAnsi="Times New Roman" w:eastAsia="宋体"/>
          <w:sz w:val="24"/>
        </w:rPr>
        <w:t>“New Interagency Study Finds Further Expansion of Renew­ able Energy Production on Federal Lands Could Power Millions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More American Homes by 2035,” US Department of Energy, Jan­ uary 14, 2025, https://www.energy.gov/articles/new-interagency -study-finds-further-expansion-renewable-energy-production -federal-lands.</w:t>
      </w:r>
    </w:p>
    <w:p>
      <w:pPr>
        <w:pStyle w:val="DocBody"/>
        <w:ind w:left="765"/>
      </w:pPr>
      <w:r>
        <w:rPr>
          <w:rFonts w:ascii="Times New Roman" w:hAnsi="Times New Roman" w:eastAsia="宋体"/>
          <w:sz w:val="24"/>
        </w:rPr>
        <w:t>Clara Hudson, “Republicans Push for Surge in Geothermal Energy on Federal Land,” Wall Street Journal, May 13, 2025, https://www.wsj.com/articles/republicans-push-for-surge-in -geothermal-energy-on-federal-land-79f27914.</w:t>
      </w:r>
    </w:p>
    <w:p>
      <w:pPr>
        <w:pStyle w:val="DocBody"/>
        <w:ind w:left="765"/>
      </w:pPr>
      <w:r>
        <w:rPr>
          <w:rFonts w:ascii="Times New Roman" w:hAnsi="Times New Roman" w:eastAsia="宋体"/>
          <w:sz w:val="24"/>
        </w:rPr>
        <w:t>“Department of the Interior Implements Emergency Permit­ ting Procedures to Accelerate Geothermal Energy Development for National Security and Energy Independence,” US Department of the Interior, May 30, 2025, https://www.doi.gov/pressreleases /department-interior-implements-emergency-permitting-proce dures-accelerate-geothermal.</w:t>
      </w:r>
    </w:p>
    <w:p>
      <w:pPr>
        <w:pStyle w:val="DocBody"/>
        <w:ind w:left="765"/>
      </w:pPr>
      <w:r>
        <w:rPr>
          <w:rFonts w:ascii="Times New Roman" w:hAnsi="Times New Roman" w:eastAsia="宋体"/>
          <w:sz w:val="24"/>
        </w:rPr>
        <w:t>“Homepage,” Kairos Power, 2025, https://kairospower.com/.</w:t>
      </w:r>
    </w:p>
    <w:p>
      <w:pPr>
        <w:pStyle w:val="DocBody"/>
        <w:ind w:left="765"/>
      </w:pPr>
      <w:r>
        <w:rPr>
          <w:rFonts w:ascii="Times New Roman" w:hAnsi="Times New Roman" w:eastAsia="宋体"/>
          <w:sz w:val="24"/>
        </w:rPr>
        <w:t>“Natrium Nuclear Energy | Isotopes | Cancer Treatment,” Ter­ raPower, 2025, https://www.terrapower.com/.</w:t>
      </w:r>
    </w:p>
    <w:p>
      <w:pPr>
        <w:pStyle w:val="DocBody"/>
        <w:ind w:left="765"/>
      </w:pPr>
      <w:r>
        <w:rPr>
          <w:rFonts w:ascii="Times New Roman" w:hAnsi="Times New Roman" w:eastAsia="宋体"/>
          <w:sz w:val="24"/>
        </w:rPr>
        <w:t>“Home,” Oklo Inc., 2025, https://www.oklo.com/overview /default.aspx.</w:t>
      </w:r>
    </w:p>
    <w:p>
      <w:pPr>
        <w:pStyle w:val="DocBody"/>
        <w:ind w:left="765"/>
      </w:pPr>
      <w:r>
        <w:rPr>
          <w:rFonts w:ascii="Times New Roman" w:hAnsi="Times New Roman" w:eastAsia="宋体"/>
          <w:sz w:val="24"/>
        </w:rPr>
        <w:t>“Department of Energy Announces Initial Selections for New Reactor Pilot Program,” US Department of Energy, August 12, 2025, https://www.energy.gov/articles/department-energy-announces -initial-selections-new-reactor-pilot-program.</w:t>
      </w:r>
    </w:p>
    <w:p>
      <w:pPr>
        <w:pStyle w:val="DocBody"/>
        <w:ind w:left="765"/>
      </w:pPr>
      <w:r>
        <w:rPr>
          <w:rFonts w:ascii="Times New Roman" w:hAnsi="Times New Roman" w:eastAsia="宋体"/>
          <w:sz w:val="24"/>
        </w:rPr>
        <w:t>“Deep Fission Nuclear Energy Solutions,” Deep Fission Inc., August 2025, https://deepfssion.com/.</w:t>
      </w:r>
    </w:p>
    <w:p>
      <w:pPr>
        <w:pStyle w:val="DocBody"/>
        <w:ind w:left="765"/>
      </w:pPr>
      <w:r>
        <w:rPr>
          <w:rFonts w:ascii="Times New Roman" w:hAnsi="Times New Roman" w:eastAsia="宋体"/>
          <w:sz w:val="24"/>
        </w:rPr>
        <w:t>“Advantages of Fusion,” ITER Organization, 2023, https:// www.iter.org/fusion-energy/advantages-fusion.</w:t>
      </w:r>
    </w:p>
    <w:p>
      <w:pPr>
        <w:pStyle w:val="DocBody"/>
        <w:ind w:left="765"/>
      </w:pPr>
      <w:r>
        <w:rPr>
          <w:rFonts w:ascii="Times New Roman" w:hAnsi="Times New Roman" w:eastAsia="宋体"/>
          <w:sz w:val="24"/>
        </w:rPr>
        <w:t>Skye Jacobs, “Fusion Breakthrough: NIF Achieves 8.6 Mega- joules, Shattering Previous Record,” TechSpot, May 19, 2025, https://www.techspot.com/news/107971-fusion-breakthrough-nif -achieves-86-megajoules-shattering-previous.html.</w:t>
      </w:r>
    </w:p>
    <w:p>
      <w:pPr>
        <w:pStyle w:val="DocBody"/>
        <w:ind w:left="765"/>
      </w:pPr>
      <w:r>
        <w:rPr>
          <w:rFonts w:ascii="Times New Roman" w:hAnsi="Times New Roman" w:eastAsia="宋体"/>
          <w:sz w:val="24"/>
        </w:rPr>
        <w:t>On France: Bob Rubila, “France Could Become the First Nation to Master Nuclear Fusion, the Ultimate Dream of Human­ ity,” Farmingdale Observer, May 20, 2025, https://farmingdale -observer.com/2025/05/20/france-could-become-the-frst-nation -to-master-nuclear-fusion-the-ultimate-dream-of-humanity/;</w:t>
      </w:r>
    </w:p>
    <w:p>
      <w:pPr>
        <w:pStyle w:val="DocBody"/>
      </w:pPr>
      <w:r>
        <w:rPr>
          <w:rFonts w:ascii="Times New Roman" w:hAnsi="Times New Roman" w:eastAsia="宋体"/>
          <w:sz w:val="24"/>
        </w:rPr>
        <w:t>on Japan: Ryuto Imao and Kento Fukui, “Japan Plans to Launch Pilot Fusion Power Plant Next Decade,” Nikkei Asia, May 20, 2025, https://asia.nikkei.com/business/energy/japan-plans-to-launch -pilot-fusion-power-plant-next-decade; on China: Bob Mumgaard, “China Just Bet $2 Billion on Fusion Energy. The U.S. Must Respond,” The Hill, August 2025, https://thehill.com/opinion /energy-environment/5431531-fusion-energy-china-us-race/.</w:t>
      </w:r>
    </w:p>
    <w:p>
      <w:pPr>
        <w:pStyle w:val="DocBody"/>
        <w:ind w:left="765"/>
      </w:pPr>
      <w:r>
        <w:rPr>
          <w:rFonts w:ascii="Times New Roman" w:hAnsi="Times New Roman" w:eastAsia="宋体"/>
          <w:sz w:val="24"/>
        </w:rPr>
        <w:t>Raymond Zhong, “Inching Toward a Fusion Energy Future,”</w:t>
      </w:r>
    </w:p>
    <w:p>
      <w:pPr>
        <w:pStyle w:val="DocBody"/>
      </w:pPr>
      <w:r>
        <w:rPr>
          <w:rFonts w:ascii="Times New Roman" w:hAnsi="Times New Roman" w:eastAsia="宋体"/>
          <w:sz w:val="24"/>
        </w:rPr>
        <w:t>New York Times, November 19, 2024, https://www.nytimes.com /2024/11/19/climate/fusion-energy-startups.html.</w:t>
      </w:r>
    </w:p>
    <w:p>
      <w:pPr>
        <w:pStyle w:val="DocBody"/>
        <w:ind w:left="765"/>
      </w:pPr>
      <w:r>
        <w:rPr>
          <w:rFonts w:ascii="Times New Roman" w:hAnsi="Times New Roman" w:eastAsia="宋体"/>
          <w:sz w:val="24"/>
        </w:rPr>
        <w:t>“Home,” Commonwealth Fusion Systems, 2024, https://cfs .energy/.</w:t>
      </w:r>
    </w:p>
    <w:p>
      <w:pPr>
        <w:pStyle w:val="DocBody"/>
        <w:ind w:left="765"/>
      </w:pPr>
      <w:r>
        <w:rPr>
          <w:rFonts w:ascii="Times New Roman" w:hAnsi="Times New Roman" w:eastAsia="宋体"/>
          <w:sz w:val="24"/>
        </w:rPr>
        <w:t>“Clean Energy Solutions for a Bright Future,” TAE Technolo­ gies, April 15, 2025, https://tae.com/.</w:t>
      </w:r>
    </w:p>
    <w:p>
      <w:pPr>
        <w:pStyle w:val="DocBody"/>
        <w:ind w:left="765"/>
      </w:pPr>
      <w:r>
        <w:rPr>
          <w:rFonts w:ascii="Times New Roman" w:hAnsi="Times New Roman" w:eastAsia="宋体"/>
          <w:sz w:val="24"/>
        </w:rPr>
        <w:t>Yusuf Khan, “German Startup Publishes Open-Source Plans for Nuclear-Fusion Power Plant,” Wall Street Journal, February 26, 2025, https://www.wsj.com/articles/german-startup-publishes -open-source-plans-for-nuclear-fusion-power-plant-7b2b6241.</w:t>
      </w:r>
    </w:p>
    <w:p>
      <w:pPr>
        <w:pStyle w:val="DocBody"/>
        <w:ind w:left="765"/>
      </w:pPr>
      <w:r>
        <w:rPr>
          <w:rFonts w:ascii="Times New Roman" w:hAnsi="Times New Roman" w:eastAsia="宋体"/>
          <w:sz w:val="24"/>
        </w:rPr>
        <w:t>Scott J. Mulligan, “2024 Climate Tech Companies to Watch: Form Energy and Its Iron Batteries,” MIT Technol­ ogy Review, October 2024, https://www.technologyreview.</w:t>
      </w:r>
    </w:p>
    <w:p>
      <w:pPr>
        <w:pStyle w:val="DocBody"/>
      </w:pPr>
      <w:r>
        <w:rPr>
          <w:rFonts w:ascii="Times New Roman" w:hAnsi="Times New Roman" w:eastAsia="宋体"/>
          <w:sz w:val="24"/>
        </w:rPr>
        <w:t>com/2024/10/01/1104382/2024-climate-tech-companies-form -energy-iron-batteries/.</w:t>
      </w:r>
    </w:p>
    <w:p>
      <w:pPr>
        <w:pStyle w:val="DocBody"/>
        <w:ind w:left="765"/>
      </w:pPr>
      <w:r>
        <w:rPr>
          <w:rFonts w:ascii="Times New Roman" w:hAnsi="Times New Roman" w:eastAsia="宋体"/>
          <w:sz w:val="24"/>
        </w:rPr>
        <w:t>Matt Blois, “The Search for Long-Duration Energy Storage,”</w:t>
      </w:r>
    </w:p>
    <w:p>
      <w:pPr>
        <w:pStyle w:val="DocBody"/>
      </w:pPr>
      <w:r>
        <w:rPr>
          <w:rFonts w:ascii="Times New Roman" w:hAnsi="Times New Roman" w:eastAsia="宋体"/>
          <w:sz w:val="24"/>
        </w:rPr>
        <w:t>C&amp;EN Global Enterprise 103, no. 5 (2025): 30–35, https://doi .org/10.1021/cen-10305-cover.</w:t>
      </w:r>
    </w:p>
    <w:p>
      <w:pPr>
        <w:pStyle w:val="DocBody"/>
        <w:ind w:left="765"/>
      </w:pPr>
      <w:r>
        <w:rPr>
          <w:rFonts w:ascii="Times New Roman" w:hAnsi="Times New Roman" w:eastAsia="宋体"/>
          <w:sz w:val="24"/>
        </w:rPr>
        <w:t>Jan Ing Girschik, “ELuStat: Iron-Air Battery as Stationary Energy Storage,” Fraunhofer Institute for Environmental, Safety and Energy Technology UMSICHT, 2019, https://www.umsicht .fraunhofer.de/en/projects/iron-air-battery.html.</w:t>
      </w:r>
    </w:p>
    <w:p>
      <w:pPr>
        <w:pStyle w:val="DocBody"/>
        <w:ind w:left="765"/>
      </w:pPr>
      <w:r>
        <w:rPr>
          <w:rFonts w:ascii="Times New Roman" w:hAnsi="Times New Roman" w:eastAsia="宋体"/>
          <w:sz w:val="24"/>
        </w:rPr>
        <w:t>Staff writer, “Will Iron-Air Batteries Revolutionize Renew­ able Energy Storage?,” Environment + Energy Leader, August 19, 2024, https://www.environmentenergyleader.com/stories /will-iron-air-batteries-revolutionize-renewable-energy-storage ,48339.</w:t>
      </w:r>
    </w:p>
    <w:p>
      <w:pPr>
        <w:pStyle w:val="DocBody"/>
        <w:ind w:left="765"/>
      </w:pPr>
      <w:r>
        <w:rPr>
          <w:rFonts w:ascii="Times New Roman" w:hAnsi="Times New Roman" w:eastAsia="宋体"/>
          <w:sz w:val="24"/>
        </w:rPr>
        <w:t>April Bonner, “PacifCorp Looks to Add 3,073 MW of Multi- Day Duration Iron-Air Battery Storage in 2025 IRP,” Energy­ Storage.News, April 10, 2025, https://www.energy-storage.news /pacifcorp-looks-to-add-3073mw-of-iron-air-storage-in-2025-irp/.</w:t>
      </w:r>
    </w:p>
    <w:p>
      <w:pPr>
        <w:pStyle w:val="DocBody"/>
        <w:ind w:left="765"/>
      </w:pPr>
      <w:r>
        <w:rPr>
          <w:rFonts w:ascii="Times New Roman" w:hAnsi="Times New Roman" w:eastAsia="宋体"/>
          <w:sz w:val="24"/>
        </w:rPr>
        <w:t>Ellen Wald, “The U.S. Wants to End Its Reliance on Chinese Lithium. Its Policies Are Doing the Opposite,” Atlantic Council, January 23, 2024, https://www.atlanticcouncil.org/blogs/new -atlanticist/the-us-wants-to-end-its-reliance-on-chinese-lithium-its -policies-are-doing-the-opposite/.</w:t>
      </w:r>
    </w:p>
    <w:p>
      <w:pPr>
        <w:pStyle w:val="DocBody"/>
        <w:ind w:left="765"/>
      </w:pPr>
      <w:r>
        <w:rPr>
          <w:rFonts w:ascii="Times New Roman" w:hAnsi="Times New Roman" w:eastAsia="宋体"/>
          <w:sz w:val="24"/>
        </w:rPr>
        <w:t>“Trends in Electric Car Markets—Global EV Outlook 2025,”</w:t>
      </w:r>
    </w:p>
    <w:p>
      <w:pPr>
        <w:pStyle w:val="DocBody"/>
      </w:pPr>
      <w:r>
        <w:rPr>
          <w:rFonts w:ascii="Times New Roman" w:hAnsi="Times New Roman" w:eastAsia="宋体"/>
          <w:sz w:val="24"/>
        </w:rPr>
        <w:t>International Energy Agency, 2025, https://www.iea.org/reports /global-ev-outlook-2025/trends-in-electric-car-markets-2.</w:t>
      </w:r>
    </w:p>
    <w:p>
      <w:pPr>
        <w:pStyle w:val="DocBody"/>
        <w:ind w:left="765"/>
      </w:pPr>
      <w:r>
        <w:rPr>
          <w:rFonts w:ascii="Times New Roman" w:hAnsi="Times New Roman" w:eastAsia="宋体"/>
          <w:sz w:val="24"/>
        </w:rPr>
        <w:t>Jennifer Jett and Eve Qiao, “China’s EV Battery Leader Surges in World’s Biggest Listing This Year,” NBC News, May 20, 2025, https://www.nbcnews.com/world/asia/china-ev-battery-electic -vehicle-listing-catl-rcna207619.</w:t>
      </w:r>
    </w:p>
    <w:p>
      <w:pPr>
        <w:pStyle w:val="DocBody"/>
        <w:ind w:left="765"/>
      </w:pPr>
      <w:r>
        <w:rPr>
          <w:rFonts w:ascii="Times New Roman" w:hAnsi="Times New Roman" w:eastAsia="宋体"/>
          <w:sz w:val="24"/>
        </w:rPr>
        <w:t>Dylan Butts, “China’s CATL Claims to Beat BYD’s EV Battery Record with Longer Range on a 5-Minute Charge,” CNBC, April 22, 2025, https://www.cnbc.com/2025/04/22/chinas-catl-claims -to-beat-byds-ev-battery-record-with-longer-range-on-a-5 -minute-charge.html.</w:t>
      </w:r>
    </w:p>
    <w:p>
      <w:pPr>
        <w:pStyle w:val="DocBody"/>
        <w:ind w:left="765"/>
      </w:pPr>
      <w:r>
        <w:rPr>
          <w:rFonts w:ascii="Times New Roman" w:hAnsi="Times New Roman" w:eastAsia="宋体"/>
          <w:sz w:val="24"/>
        </w:rPr>
        <w:t>“Unleashing American Energy,” The White House, January 21, 2025, https://www.whitehouse.gov/presidential-actions/2025/01 /unleashing-american-energy/.</w:t>
      </w:r>
    </w:p>
    <w:p>
      <w:pPr>
        <w:pStyle w:val="DocBody"/>
        <w:ind w:left="765"/>
      </w:pPr>
      <w:r>
        <w:rPr>
          <w:rFonts w:ascii="Times New Roman" w:hAnsi="Times New Roman" w:eastAsia="宋体"/>
          <w:sz w:val="24"/>
        </w:rPr>
        <w:t>“Energy Department Slashes 47 Burdensome and Costly Regulations, Delivering First Milestone in America’s Biggest Deregulatory Effort,” US Department of Energy, May 13, 2025, https://www.energy.gov/articles/energy-department-slashes-47 -burdensome-and-costly-regulations-delivering-frst-milestone.</w:t>
      </w:r>
    </w:p>
    <w:p>
      <w:pPr>
        <w:pStyle w:val="DocBody"/>
        <w:ind w:left="765"/>
      </w:pPr>
      <w:r>
        <w:rPr>
          <w:rFonts w:ascii="Times New Roman" w:hAnsi="Times New Roman" w:eastAsia="宋体"/>
          <w:sz w:val="24"/>
        </w:rPr>
        <w:t>“Proposed Rule:</w:t>
      </w:r>
    </w:p>
    <w:p>
      <w:pPr>
        <w:pStyle w:val="DocBody"/>
      </w:pPr>
      <w:r>
        <w:rPr>
          <w:rFonts w:ascii="Times New Roman" w:hAnsi="Times New Roman" w:eastAsia="宋体"/>
          <w:sz w:val="24"/>
        </w:rPr>
        <w:t>Reconsideration of Endanger­ ment Finding and Greenhouse Gas Vehicle Standards,” US Environmental Protection Agency, May 13, 2025, https:// www.epa.gov/regulations-emissions-vehicles-and-engines /proposed-rule-reconsideration-2009-endangerment-fnding.</w:t>
      </w:r>
    </w:p>
    <w:p>
      <w:pPr>
        <w:pStyle w:val="DocBody"/>
        <w:ind w:left="765"/>
      </w:pPr>
      <w:r>
        <w:rPr>
          <w:rFonts w:ascii="Times New Roman" w:hAnsi="Times New Roman" w:eastAsia="宋体"/>
          <w:sz w:val="24"/>
        </w:rPr>
        <w:t>Andy Kriha, Jason Hill, Kenneth Cestari, Taite McDonald, and Elizabeth Noll, “President Trump Signs 4 Executive Orders to Deploy New Nuclear Reactors, Strengthen Supply Chain,” Holland &amp; Knight Insights, May 28, 2025, https://www.hklaw.com/en/insights /publications/2025/05/president-trump-signs-4-executive-orders.</w:t>
      </w:r>
    </w:p>
    <w:p>
      <w:pPr>
        <w:pStyle w:val="DocBody"/>
        <w:ind w:left="765"/>
      </w:pPr>
      <w:r>
        <w:rPr>
          <w:rFonts w:ascii="Times New Roman" w:hAnsi="Times New Roman" w:eastAsia="宋体"/>
          <w:sz w:val="24"/>
        </w:rPr>
        <w:t>Justine Calma, “Congress Votes to Advance Nuclear Energy Development in the U.S.,” The Verge, June 19, 2024, https://www.theverge.com/2024/6/19/24181808/congress-pass -nuclear-energy-bill-biden-signature.</w:t>
      </w:r>
    </w:p>
    <w:p>
      <w:pPr>
        <w:pStyle w:val="DocBody"/>
        <w:ind w:left="765"/>
      </w:pPr>
      <w:r>
        <w:rPr>
          <w:rFonts w:ascii="Times New Roman" w:hAnsi="Times New Roman" w:eastAsia="宋体"/>
          <w:sz w:val="24"/>
        </w:rPr>
        <w:t>Mia Nulimaimaiti, “China’s Critical Metal Exports Plum­ met as Trade War Curbs Take Effect,” South China Morn­ ing Post, April 22, 2025, https://www.scmp.com/economy /china-economy/article/3307410/chinas-critical-metal-exports -plummet-trade-war-curbs-take-effect.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04  ENERGY TECHNOLOGIES</w:t>
      </w:r>
    </w:p>
    <w:p>
      <w:pPr>
        <w:pStyle w:val="DocBody"/>
        <w:ind w:left="765"/>
      </w:pPr>
      <w:r>
        <w:rPr>
          <w:rFonts w:ascii="Times New Roman" w:hAnsi="Times New Roman" w:eastAsia="宋体"/>
          <w:sz w:val="24"/>
        </w:rPr>
        <w:t>Research and Markets, “EV Battery Recycling Industry Research 2024–2035: Market to Grow at a CAGR of 40.9% with Contemporary Amperex Technology, GEM, Umicore, Glencore, and Fortum Dom­ inating,” GlobeNewswire News Room, May 7, 2025, https://www .globenewswire.com/news-release/2025/05/07/3076256/28124 /en/EV-Battery-Recycling-Industry-Research-2024-2035-Market -to-Grow-at-a-CAGR-of-40-9-with-Contemporary-Amperex -Technology-GEM-Umicore-Glencore-and-Fortum-Dominating.html.</w:t>
      </w:r>
    </w:p>
    <w:p>
      <w:pPr>
        <w:pStyle w:val="DocBody"/>
      </w:pPr>
      <w:r>
        <w:rPr>
          <w:rFonts w:ascii="Times New Roman" w:hAnsi="Times New Roman" w:eastAsia="宋体"/>
          <w:sz w:val="24"/>
        </w:rPr>
        <w:t>STANFORD EXPERT CONTRIBUTORS Dr. Steven E. Koonin SETR Faculty Council and Edward Teller Senior Fellow, Hoover Institution</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MATERIALS SCIENCE ° Materials science is a foundational technology that underlies advances in many other felds, including robotics, space, energy, and synthetic biology.</w:t>
      </w:r>
    </w:p>
    <w:p>
      <w:pPr>
        <w:pStyle w:val="DocBody"/>
      </w:pPr>
      <w:r>
        <w:rPr>
          <w:rFonts w:ascii="Times New Roman" w:hAnsi="Times New Roman" w:eastAsia="宋体"/>
          <w:sz w:val="24"/>
        </w:rPr>
        <w:t>° The feld will exploit artifcial intelligence as another promising tool to predict new materials with new properties and to identify novel uses for known materials.</w:t>
      </w:r>
    </w:p>
    <w:p>
      <w:pPr>
        <w:pStyle w:val="DocBody"/>
      </w:pPr>
      <w:r>
        <w:rPr>
          <w:rFonts w:ascii="Times New Roman" w:hAnsi="Times New Roman" w:eastAsia="宋体"/>
          <w:sz w:val="24"/>
        </w:rPr>
        <w:t>° Future progress in materials science requires new funding mechanisms and access to additional computational power to more effectively transi­ tion from innovation to implementation.</w:t>
      </w:r>
    </w:p>
    <w:p>
      <w:pPr>
        <w:pStyle w:val="DocBody"/>
      </w:pPr>
      <w:r>
        <w:rPr>
          <w:rFonts w:ascii="Times New Roman" w:hAnsi="Times New Roman" w:eastAsia="宋体"/>
          <w:sz w:val="24"/>
        </w:rPr>
        <w:t>KEY TAKEAWAYS Overview From semiconductors in computer chips to plas­ tics in everyday objects, materials are everywhere.</w:t>
      </w:r>
    </w:p>
    <w:p>
      <w:pPr>
        <w:pStyle w:val="DocBody"/>
      </w:pPr>
      <w:r>
        <w:rPr>
          <w:rFonts w:ascii="Times New Roman" w:hAnsi="Times New Roman" w:eastAsia="宋体"/>
          <w:sz w:val="24"/>
        </w:rPr>
        <w:t>Knowing how to synthesize and process them, as well as understanding their structure and properties, has helped to shape the world around us. Materials science contributes to the development of stronger, lighter, and more fexible materials that improve everything from battery electrodes to medical implants and from automobiles to spacecraft.</w:t>
      </w:r>
    </w:p>
    <w:p>
      <w:pPr>
        <w:pStyle w:val="DocBody"/>
      </w:pPr>
      <w:r>
        <w:rPr>
          <w:rFonts w:ascii="Times New Roman" w:hAnsi="Times New Roman" w:eastAsia="宋体"/>
          <w:sz w:val="24"/>
        </w:rPr>
        <w:t>It is a wide feld. At Stanford University, for exam­ ple, faculty working on materials science research programs are found in many departments, includ­ ing materials science and engineering, chemical engineering, electrical engineering, bioengineering, chemistry, and physics.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 Synthesis of materials Understanding how materials can be created and assembled from the atomic to macroscopic scale ° Characterization of materials Determining their structure and properties, such as conductiv­ ity, chemical reactivity, and elasticity ° Modeling and computational analysis Study­ ing how materials are formed and how they adapt in specifc situations ° Manufacturing and scaling Assessing how materials can be produced and scaled for indus­ trial applications Broadly speaking, materials science research focuses on four major areas:</w:t>
      </w:r>
    </w:p>
    <w:p>
      <w:pPr>
        <w:pStyle w:val="DocBody"/>
      </w:pPr>
      <w:r>
        <w:rPr>
          <w:rFonts w:ascii="Times New Roman" w:hAnsi="Times New Roman" w:eastAsia="宋体"/>
          <w:sz w:val="24"/>
        </w:rPr>
        <w:t>Basics of Materials Science All materials are composed of atoms. The periodic table of the elements (fgure 5.1) lists all the known types of atoms. Certain ones can be combined with others into molecules that have vastly different properties than the individual atoms involved. For example, table salt consists of sodium and chlorine, which are elements. Sodium burns on contact with water, and chlorine is a poisonous gas, yet the table salt we consume every day is a completely different substance.</w:t>
      </w:r>
    </w:p>
    <w:p>
      <w:pPr>
        <w:pStyle w:val="DocBody"/>
      </w:pPr>
      <w:r>
        <w:rPr>
          <w:rFonts w:ascii="Times New Roman" w:hAnsi="Times New Roman" w:eastAsia="宋体"/>
          <w:sz w:val="24"/>
        </w:rPr>
        <w:t>The periodic table contains ninety-two naturally occurring elements alongside twenty-six laboratory- synthesized ones (with the latter having an atomic number larger than 92). Elements positioned within the same column exhibit roughly similar properties, FIGURE 5.1  The periodic table of the elements Group Period Source: Adapted from Wikimedia Commons, CC BY-SA 4.0 H Li Be B C N O F Ne Na K Ca Sc Ti V Cr Mn Fe Co Ni Cu Zn Ga Ge As Se Br Kr Rb Cs Fr Mg Sr Ba Ra Y Lu Lr La Ac Zr Hf Rf Ce Th Nb Ta Db Pr Pa Mo W Sg Nd U Tc Re Bh Pm Np Ru Os Hs Sm Pu Rh Ir Mt Eu Am Pd Pt Ds Gd Cm Ag Au Rg Tb Bk Cd Hg Cn Dy Cf Al In Tl Nh Ho Es Si Sn Pb Fl Er Fm P Sb Bi Mc Tm Md S Te Po Lv Yb No Cl I At Ts He Ar Xe Rn Og</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05  MATERIALS SCIENCE</w:t>
      </w:r>
    </w:p>
    <w:p>
      <w:pPr>
        <w:pStyle w:val="DocBody"/>
      </w:pPr>
      <w:r>
        <w:rPr>
          <w:rFonts w:ascii="Times New Roman" w:hAnsi="Times New Roman" w:eastAsia="宋体"/>
          <w:sz w:val="24"/>
        </w:rPr>
        <w:t>enabling researchers to extrapolate fndings from one element to others within its group.</w:t>
      </w:r>
    </w:p>
    <w:p>
      <w:pPr>
        <w:pStyle w:val="DocBody"/>
      </w:pPr>
      <w:r>
        <w:rPr>
          <w:rFonts w:ascii="Times New Roman" w:hAnsi="Times New Roman" w:eastAsia="宋体"/>
          <w:sz w:val="24"/>
        </w:rPr>
        <w:t>Atoms can be arranged spatially in various ways. A crystal, for example, is the result of arranging atoms in a periodically repeating lattice. The silicon wafer at the heart of the semiconductor industry is one such crystal; more precisely, it’s a slice of a single silicon crystal.</w:t>
      </w:r>
    </w:p>
    <w:p>
      <w:pPr>
        <w:pStyle w:val="DocBody"/>
      </w:pPr>
      <w:r>
        <w:rPr>
          <w:rFonts w:ascii="Times New Roman" w:hAnsi="Times New Roman" w:eastAsia="宋体"/>
          <w:sz w:val="24"/>
        </w:rPr>
        <w:t>Many elements can be combined with one another, generating an extensive array of potential com­ pounds from which materials scientists must iden­ tify those with practical applications. This effort is increasingly supported by machine learning (ML)</w:t>
      </w:r>
    </w:p>
    <w:p>
      <w:pPr>
        <w:pStyle w:val="DocBody"/>
      </w:pPr>
      <w:r>
        <w:rPr>
          <w:rFonts w:ascii="Times New Roman" w:hAnsi="Times New Roman" w:eastAsia="宋体"/>
          <w:sz w:val="24"/>
        </w:rPr>
        <w:t>techniques that predict material properties with enough accuracy to expedite identifcation of prom­ ising candidate materials.</w:t>
      </w:r>
    </w:p>
    <w:p>
      <w:pPr>
        <w:pStyle w:val="DocBody"/>
      </w:pPr>
      <w:r>
        <w:rPr>
          <w:rFonts w:ascii="Times New Roman" w:hAnsi="Times New Roman" w:eastAsia="宋体"/>
          <w:sz w:val="24"/>
        </w:rPr>
        <w:t>Molecules, which are composed of atoms, can, in turn, be linked together into structures called macro­ molecules (see fgure 5.2). These can occur naturally, as is the case for proteins, DNAs, and cellulose, or they can be synthesized artifcially and used to create things such as polymers. The polymer chains in plastics dictate the material’s properties. If the polymer chains can deform and slip past each other, then the material will be fexible and malleable. The harder it is for the polymer chains to move, the more rigid that material will be. Research on new polymer structures can be used to develop plastics that are easier to recycle or have advantageous mechanical properties while weighing less than metals.</w:t>
      </w:r>
    </w:p>
    <w:p>
      <w:pPr>
        <w:pStyle w:val="DocBody"/>
      </w:pPr>
      <w:r>
        <w:rPr>
          <w:rFonts w:ascii="Times New Roman" w:hAnsi="Times New Roman" w:eastAsia="宋体"/>
          <w:sz w:val="24"/>
        </w:rPr>
        <w:t>FIGURE 5.2  Objects of study in materials science Composites Inorganic Organic Plastics Atom Molecules Macromolecules Key Developments Some interesting present-day applications of materi­ als science are discussed below.</w:t>
      </w:r>
    </w:p>
    <w:p>
      <w:pPr>
        <w:pStyle w:val="DocBody"/>
      </w:pPr>
      <w:r>
        <w:rPr>
          <w:rFonts w:ascii="Times New Roman" w:hAnsi="Times New Roman" w:eastAsia="宋体"/>
          <w:sz w:val="24"/>
        </w:rPr>
        <w:t>Flexible Electronics Flexible or stretchable electronics involves the cre­ ation of electrical devices that can bend, stretch, and deform without compromising their performance.</w:t>
      </w:r>
    </w:p>
    <w:p>
      <w:pPr>
        <w:pStyle w:val="DocBody"/>
      </w:pPr>
      <w:r>
        <w:rPr>
          <w:rFonts w:ascii="Times New Roman" w:hAnsi="Times New Roman" w:eastAsia="宋体"/>
          <w:sz w:val="24"/>
        </w:rPr>
        <w:t>Such electronics can be used as wearable, skinlike devices. For example, “electronic skin,” or e-skin, can conform to real skin and sense things such as temperature and pressure, as well as encode these into electrical signals.1 A “smart bandage” with inte­ grated sensors to monitor wound conditions and with electrical stimulation can accelerate the time needed to heal chronic wounds by 25 percent.2 Additive Manufacturing One of the most promising advances in materials processing over the past ffteen years is additive manufacturing, colloquially known as 3-D print­ ing. The technology comes in different forms. For instance, a method known as continuous liquid interface production (CLIP) uses directed ultraviolet (UV) light to form structures from a polymer resin.3 (See fgure 5.3.) A key aspect of CLIP is its use of an oxygen-permeable window placed above a UV light projector that prevents the resin from curing in unwanted places.</w:t>
      </w:r>
    </w:p>
    <w:p>
      <w:pPr>
        <w:pStyle w:val="DocBody"/>
      </w:pPr>
      <w:r>
        <w:rPr>
          <w:rFonts w:ascii="Times New Roman" w:hAnsi="Times New Roman" w:eastAsia="宋体"/>
          <w:sz w:val="24"/>
        </w:rPr>
        <w:t>Especially at high speeds, 3-D printing struggles with producing small features. The 3-D printing pro­ cess requires several components to perform in con­ cert, including the material resin, the light source, and the build platform where an object is printed.</w:t>
      </w:r>
    </w:p>
    <w:p>
      <w:pPr>
        <w:pStyle w:val="DocBody"/>
      </w:pPr>
      <w:r>
        <w:rPr>
          <w:rFonts w:ascii="Times New Roman" w:hAnsi="Times New Roman" w:eastAsia="宋体"/>
          <w:sz w:val="24"/>
        </w:rPr>
        <w:t>That is technically challenging, but by printing on a tensioned flm made from polyethylene terephthal­ ate that’s fed through a CLIP printer, it’s possible to 3-D print very small particles at a pace of one million a day from a single machine.4</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5.3  A CLIP­based 3­D printer created a min­ iature print of the Eiffel Tower Source: Carbon Inc. / John Tumbleston Nanotechnology Nanotechnology is a large subfeld of materials sci­ ence. Size has a profound impact on the properties of a material. Figure 5.4 compares the length of a water molecule (below a nanometer [nm]), a human hair (roughly 105 nm), and a human eyeball (at 107 nm). A structure is typically referred to as nanoscale if at least one of its dimensions is in the 1 to 100 nm range.</w:t>
      </w:r>
    </w:p>
    <w:p>
      <w:pPr>
        <w:pStyle w:val="DocBody"/>
      </w:pPr>
      <w:r>
        <w:rPr>
          <w:rFonts w:ascii="Times New Roman" w:hAnsi="Times New Roman" w:eastAsia="宋体"/>
          <w:sz w:val="24"/>
        </w:rPr>
        <w:t>In the past thirty-fve years, nanoscience and nan­ otechnology have attracted enormous interest because the properties of nanoscale materials— including their electronic, optical, magnetic, thermal, and mechanical properties—are often very different from the same material in bulk form.5 Nanomaterials are classifed based on how many of their dimen­ sions are nanoscale:</w:t>
      </w:r>
    </w:p>
    <w:p>
      <w:pPr>
        <w:pStyle w:val="DocBody"/>
      </w:pPr>
      <w:r>
        <w:rPr>
          <w:rFonts w:ascii="Times New Roman" w:hAnsi="Times New Roman" w:eastAsia="宋体"/>
          <w:sz w:val="24"/>
        </w:rPr>
        <w:t>Nanoparticles have zero dimensions larger than ° 100 nm.</w:t>
      </w:r>
    </w:p>
    <w:p>
      <w:pPr>
        <w:pStyle w:val="DocBody"/>
      </w:pPr>
      <w:r>
        <w:rPr>
          <w:rFonts w:ascii="Times New Roman" w:hAnsi="Times New Roman" w:eastAsia="宋体"/>
          <w:sz w:val="24"/>
        </w:rPr>
        <w:t>Nanowires (or nanorods) have one dimension ° larger than 100 nm (i.e., two dimensions are below 100 nm).</w:t>
      </w:r>
    </w:p>
    <w:p>
      <w:pPr>
        <w:pStyle w:val="DocBody"/>
      </w:pPr>
      <w:r>
        <w:rPr>
          <w:rFonts w:ascii="Times New Roman" w:hAnsi="Times New Roman" w:eastAsia="宋体"/>
          <w:sz w:val="24"/>
        </w:rPr>
        <w:t>Nanosheets have two dimensions larger than ° 100 nm (i.e., one dimension is less than 100 nm).</w:t>
      </w:r>
    </w:p>
    <w:p>
      <w:pPr>
        <w:pStyle w:val="DocBody"/>
      </w:pPr>
      <w:r>
        <w:rPr>
          <w:rFonts w:ascii="Times New Roman" w:hAnsi="Times New Roman" w:eastAsia="宋体"/>
          <w:sz w:val="24"/>
        </w:rPr>
        <w:t>Bulk materials have all three dimensions larger ° than 100 nm (i.e., no dimensions are less than 100 nm).</w:t>
      </w:r>
    </w:p>
    <w:p>
      <w:pPr>
        <w:pStyle w:val="DocBody"/>
      </w:pPr>
      <w:r>
        <w:rPr>
          <w:rFonts w:ascii="Times New Roman" w:hAnsi="Times New Roman" w:eastAsia="宋体"/>
          <w:sz w:val="24"/>
        </w:rPr>
        <w:t>FIGURE 5.4  The size of nanoscale objects in nanometers 10-1 Water molecule H O H Antibody Nanoscale Virus Bacterium Cancer cell Human hair Human eyeball</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05  MATERIALS SCIENCE</w:t>
      </w:r>
    </w:p>
    <w:p>
      <w:pPr>
        <w:pStyle w:val="DocBody"/>
      </w:pPr>
      <w:r>
        <w:rPr>
          <w:rFonts w:ascii="Times New Roman" w:hAnsi="Times New Roman" w:eastAsia="宋体"/>
          <w:sz w:val="24"/>
        </w:rPr>
        <w:t>FIGURE 5.5  Dimensionality of nanomaterials 0-D 1-D 2-D nanoparticle nanowire nanosheet Bulk Nanotechnology (at least one dimension &lt;100 nm)</w:t>
      </w:r>
    </w:p>
    <w:p>
      <w:pPr>
        <w:pStyle w:val="DocBody"/>
        <w:ind w:left="510"/>
      </w:pPr>
      <w:r>
        <w:rPr>
          <w:rFonts w:ascii="Times New Roman" w:hAnsi="Times New Roman" w:eastAsia="宋体"/>
          <w:sz w:val="24"/>
        </w:rPr>
        <w:t>100 nm</w:t>
      </w:r>
    </w:p>
    <w:p>
      <w:pPr>
        <w:pStyle w:val="DocBody"/>
      </w:pPr>
      <w:r>
        <w:rPr>
          <w:rFonts w:ascii="Times New Roman" w:hAnsi="Times New Roman" w:eastAsia="宋体"/>
          <w:sz w:val="24"/>
        </w:rPr>
        <w:t>See fgure 5.5 for an illustration.</w:t>
      </w:r>
    </w:p>
    <w:p>
      <w:pPr>
        <w:pStyle w:val="DocBody"/>
      </w:pPr>
      <w:r>
        <w:rPr>
          <w:rFonts w:ascii="Times New Roman" w:hAnsi="Times New Roman" w:eastAsia="宋体"/>
          <w:sz w:val="24"/>
        </w:rPr>
        <w:t>The unique properties of nanomaterials have enabled breakthrough applications across numerous felds, from medicine to electronics. These applica­ tions demonstrate how manipulating matter at the nanoscale can solve complex technological chal­ lenges and create entirely new possibilities. Some current uses of the technology include the following:</w:t>
      </w:r>
    </w:p>
    <w:p>
      <w:pPr>
        <w:pStyle w:val="DocBody"/>
      </w:pPr>
      <w:r>
        <w:rPr>
          <w:rFonts w:ascii="Times New Roman" w:hAnsi="Times New Roman" w:eastAsia="宋体"/>
          <w:sz w:val="24"/>
        </w:rPr>
        <w:t>Quantum dots These are metallic, carbona­ ° ceous, or semiconductor spherical nanocrystals less than 10 nm in size that emit bright mono­ chromatic light in response to excitation by a light source with a higher energy.6 Their many applica­ tions include being used in medical imaging, as fuorescent markers for biological structures, and in the energy sector, where they enable solar cells to capture more of the solar spectrum.</w:t>
      </w:r>
    </w:p>
    <w:p>
      <w:pPr>
        <w:pStyle w:val="DocBody"/>
      </w:pPr>
      <w:r>
        <w:rPr>
          <w:rFonts w:ascii="Times New Roman" w:hAnsi="Times New Roman" w:eastAsia="宋体"/>
          <w:sz w:val="24"/>
        </w:rPr>
        <w:t>Vaccine stabilization Vaccines can be encap­ ° sulated in lipid nanoparticles (very tiny spheres), making it easier to transport them inside the body and preventing immediate degradation of their contents.7 This is especially useful for mRNA vac­ cines, such as the ones developed for COVID-19.</w:t>
      </w:r>
    </w:p>
    <w:p>
      <w:pPr>
        <w:pStyle w:val="DocBody"/>
      </w:pPr>
      <w:r>
        <w:rPr>
          <w:rFonts w:ascii="Times New Roman" w:hAnsi="Times New Roman" w:eastAsia="宋体"/>
          <w:sz w:val="24"/>
        </w:rPr>
        <w:t>Two­dimensional (2­D) semiconductors, graph­ ° ene, carbon nanotubes, and nanoscale materials 2-D semiconductors are semiconductors with atomic-scale thickness. These are at the forefront of the next generation of high-tech electronic devices. Active research efforts are designing new methods to integrate 2-D or carbon nano­ tube semiconductors into electronics that are currently silicon based to improve their energy effciency and heat management.8 Electrochemistry Electrochemistry studies how electrical energy and chemical reactions interact through electron trans­ fer, typically at electrode-electrolyte interfaces.</w:t>
      </w:r>
    </w:p>
    <w:p>
      <w:pPr>
        <w:pStyle w:val="DocBody"/>
      </w:pPr>
      <w:r>
        <w:rPr>
          <w:rFonts w:ascii="Times New Roman" w:hAnsi="Times New Roman" w:eastAsia="宋体"/>
          <w:sz w:val="24"/>
        </w:rPr>
        <w:t>Electrochemical devices can generate electrical energy through a spontaneous chemical reac­ tion—batteries are a typical example of this—or they can use electrical energy to drive a chemical reaction.</w:t>
      </w:r>
    </w:p>
    <w:p>
      <w:pPr>
        <w:pStyle w:val="DocBody"/>
      </w:pPr>
      <w:r>
        <w:rPr>
          <w:rFonts w:ascii="Times New Roman" w:hAnsi="Times New Roman" w:eastAsia="宋体"/>
          <w:sz w:val="24"/>
        </w:rPr>
        <w:t>Electrocatalytic platforms used to produce hydro­ gen are a good example of the latter category of device. Materials scientists play a key role in electro- chemistry by, for example, developing degradation- resistant battery electrodes and discovering effcient nanocatalysts that drive chemical reactions with electricity.</w:t>
      </w:r>
    </w:p>
    <w:p>
      <w:pPr>
        <w:pStyle w:val="DocBody"/>
      </w:pPr>
      <w:r>
        <w:rPr>
          <w:rFonts w:ascii="Times New Roman" w:hAnsi="Times New Roman" w:eastAsia="宋体"/>
          <w:sz w:val="24"/>
        </w:rPr>
        <w:t>Batteries Battery technology has become critical for global energy storage and was recognized by the 2019 Nobel Prize in Chemistry. Current research in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materials science addresses three key challenges related to the feld: developing better materials for longer-lasting batteries, creating safer alterna­ tives to fammable components, and fnding cost- effective substitutes for expensive raw materials. The main obstacles to progress remain achieving higher energy storage levels and faster charging speeds and reducing manufacturing costs—all while ensur­ ing safety and reliability.</w:t>
      </w:r>
    </w:p>
    <w:p>
      <w:pPr>
        <w:pStyle w:val="DocBody"/>
      </w:pPr>
      <w:r>
        <w:rPr>
          <w:rFonts w:ascii="Times New Roman" w:hAnsi="Times New Roman" w:eastAsia="宋体"/>
          <w:sz w:val="24"/>
        </w:rPr>
        <w:t>Key developments include the following:</w:t>
      </w:r>
    </w:p>
    <w:p>
      <w:pPr>
        <w:pStyle w:val="DocBody"/>
      </w:pPr>
      <w:r>
        <w:rPr>
          <w:rFonts w:ascii="Times New Roman" w:hAnsi="Times New Roman" w:eastAsia="宋体"/>
          <w:sz w:val="24"/>
        </w:rPr>
        <w:t>Nanotechnology in batteries Using silicon ° nanowires as battery anodes allows Li-ion bat­ teries to achieve ten times greater energy capac­ ity and maintain stable performance over time.</w:t>
      </w:r>
    </w:p>
    <w:p>
      <w:pPr>
        <w:pStyle w:val="DocBody"/>
      </w:pPr>
      <w:r>
        <w:rPr>
          <w:rFonts w:ascii="Times New Roman" w:hAnsi="Times New Roman" w:eastAsia="宋体"/>
          <w:sz w:val="24"/>
        </w:rPr>
        <w:t>This is because these nanowires can handle large volume changes during charging without break­ ing apart, overcoming the main limitation of sili­ con in traditional battery designs.9 Improved battery cycling An ML analysis of ° 186 batteries revealed that faster charging during battery manufacture actually increases battery lifespan by 50 to 70 percent, contradicting tradi­ tional slow-charging methods.10 Solid­state batteries These replace fammable ° liquids with ceramics for better safety. However, metal deposits can still penetrate the ceramics, so success depends on preventing manufactur­ ing defects in them.11 Polymer coatings for safety Using such coat­ ° ings with lithium-metal batteries improves their safety. It also helps them achieve over 99.5 per­ cent effciency and enables them to carry signif­ cantly more electrical energy per kilogram than current lithium-ion technology.12 Battery electrolyte design ML helped research­ ° ers discover that lower oxygen content in electro­ lyte solvents leads to better cycling (the repeated process of discharging followed by charging) in lithium-metal batteries.13 Sodium­ion batteries Unlike lithium-based ° batteries, which rely on volatile lithium supplies, sodium-ion batteries use abundant materials and could reach cost parity with lithium ones by 2030.</w:t>
      </w:r>
    </w:p>
    <w:p>
      <w:pPr>
        <w:pStyle w:val="DocBody"/>
      </w:pPr>
      <w:r>
        <w:rPr>
          <w:rFonts w:ascii="Times New Roman" w:hAnsi="Times New Roman" w:eastAsia="宋体"/>
          <w:sz w:val="24"/>
        </w:rPr>
        <w:t>Although they may not outperform lithium-based batteries, sodium-ion batteries will enhance supply chain security if they become more widely available.14 Electrocatalysis Electrocatalysis involves using catalysts to accelerate electrochemical reactions. It is essential in processes like water splitting (defnition below), fuel cells, and carbon dioxide (CO2) recycling. Nanomaterials are particularly well suited as electrocatalysts.15 This is because of their high surface-to-volume ratio, which means many more active catalytic surface areas can participate in a reaction than would be the case for the same material in bulk.</w:t>
      </w:r>
    </w:p>
    <w:p>
      <w:pPr>
        <w:pStyle w:val="DocBody"/>
      </w:pPr>
      <w:r>
        <w:rPr>
          <w:rFonts w:ascii="Times New Roman" w:hAnsi="Times New Roman" w:eastAsia="宋体"/>
          <w:sz w:val="24"/>
        </w:rPr>
        <w:t>Water splitting uses electricity to convert water into its constituent parts of hydrogen and oxygen.</w:t>
      </w:r>
    </w:p>
    <w:p>
      <w:pPr>
        <w:pStyle w:val="DocBody"/>
      </w:pPr>
      <w:r>
        <w:rPr>
          <w:rFonts w:ascii="Times New Roman" w:hAnsi="Times New Roman" w:eastAsia="宋体"/>
          <w:sz w:val="24"/>
        </w:rPr>
        <w:t>Platinum and other metal nanoparticles are currently used as electrocatalysts to reduce water to hydrogen gas,16 although scientists are exploring less expen­ sive replacements for them.17 This process enables renewable energy storage in the form of hydrogen, which can then be consumed in fuel cells to provide on-demand electricity by combusting the hydrogen when needed.</w:t>
      </w:r>
    </w:p>
    <w:p>
      <w:pPr>
        <w:pStyle w:val="DocBody"/>
      </w:pPr>
      <w:r>
        <w:rPr>
          <w:rFonts w:ascii="Times New Roman" w:hAnsi="Times New Roman" w:eastAsia="宋体"/>
          <w:sz w:val="24"/>
        </w:rPr>
        <w:t>CO2 electrocatalysis (also known as CO2 reduction)</w:t>
      </w:r>
    </w:p>
    <w:p>
      <w:pPr>
        <w:pStyle w:val="DocBody"/>
      </w:pPr>
      <w:r>
        <w:rPr>
          <w:rFonts w:ascii="Times New Roman" w:hAnsi="Times New Roman" w:eastAsia="宋体"/>
          <w:sz w:val="24"/>
        </w:rPr>
        <w:t>is a process that uses electricity to convert CO2 into valuable products such as synthetic fuels, chemicals like methanol and ethylene, and precursors for plas­ tics. It achieves this through the use of specialized catalysts in an electrochemical cell.18 By transform­ ing CO2 into essential commodities, this technology provides a route for reducing it in the atmosphere and for storing electricity in chemical form.</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05  MATERIALS SCIENCE</w:t>
      </w:r>
    </w:p>
    <w:p>
      <w:pPr>
        <w:pStyle w:val="DocBody"/>
      </w:pPr>
      <w:r>
        <w:rPr>
          <w:rFonts w:ascii="Times New Roman" w:hAnsi="Times New Roman" w:eastAsia="宋体"/>
          <w:sz w:val="24"/>
        </w:rPr>
        <w:t>One of the foremost challenges of materials science as a discipline is the vast number of possible materials and material combinations that can be used and the associated time and cost involved in synthesis and characterization.</w:t>
      </w:r>
    </w:p>
    <w:p>
      <w:pPr>
        <w:pStyle w:val="DocBody"/>
      </w:pPr>
      <w:r>
        <w:rPr>
          <w:rFonts w:ascii="Times New Roman" w:hAnsi="Times New Roman" w:eastAsia="宋体"/>
          <w:sz w:val="24"/>
        </w:rPr>
        <w:t>Biosensing Electrochemistry enables the detection of biologi­ cal molecules—such as metabolites, hormones, and therapeutic agents—through the use of electrical signals. In electrochemical biosensors, a special bio­ logical component like an enzyme, antibody, single strand of DNA, or other material is placed on an electrode and reacts specifcally with the substance the sensor is trying to detect. This interaction gen­ erates or alters an electrochemical signal (e.g., an electrical current) that is measured by the electrode.</w:t>
      </w:r>
    </w:p>
    <w:p>
      <w:pPr>
        <w:pStyle w:val="DocBody"/>
      </w:pPr>
      <w:r>
        <w:rPr>
          <w:rFonts w:ascii="Times New Roman" w:hAnsi="Times New Roman" w:eastAsia="宋体"/>
          <w:sz w:val="24"/>
        </w:rPr>
        <w:t>The high sensitivity, low cost, and portability of elec­ trochemical biosensors, such as wearable glucose sensors for managing diabetes, make them ideal for medical diagnostics, environmental monitoring, and pathogen detection.</w:t>
      </w:r>
    </w:p>
    <w:p>
      <w:pPr>
        <w:pStyle w:val="DocBody"/>
      </w:pPr>
      <w:r>
        <w:rPr>
          <w:rFonts w:ascii="Times New Roman" w:hAnsi="Times New Roman" w:eastAsia="宋体"/>
          <w:sz w:val="24"/>
        </w:rPr>
        <w:t>The Application of Artifcial Intelligence in Materials Science One of the foremost challenges of materials science as a discipline is the vast number of possible mate­ rials and material combinations that can be used and the associated time and cost involved in syn­ thesis and characterization. ML offers a solution by recognizing patterns in existing data that can help models make predictions about new materials and their properties.19 While this approach has been successful with relatively simple materials, complex ones remain diffcult to predict.</w:t>
      </w:r>
    </w:p>
    <w:p>
      <w:pPr>
        <w:pStyle w:val="DocBody"/>
      </w:pPr>
      <w:r>
        <w:rPr>
          <w:rFonts w:ascii="Times New Roman" w:hAnsi="Times New Roman" w:eastAsia="宋体"/>
          <w:sz w:val="24"/>
        </w:rPr>
        <w:t>To truly understand and forecast the properties of materials, more accurate, comprehensive, and tailored databases are needed. Their many appli­ cations could include helping accelerate the devel­ opment of materials that enable researchers to overcome bottlenecks in chip assembly as semicon­ ductors continue to be miniaturized. Databases such as the Materials Project, led by Lawrence Berkeley National Laboratory, represent the signifcant effort being made to improve data gathering.20 However, these efforts are still limited with respect to the range of materials’ properties that are covered. Major com­ panies are already using artifcial intelligence (AI) to discover new materials. Google DeepMind’s Graph Networks project uses neural networks to predict material properties, while IBM, Citrine Informatics, and MaterialsZone combine materials expertise with data science to speed up development and improve product design.</w:t>
      </w:r>
    </w:p>
    <w:p>
      <w:pPr>
        <w:pStyle w:val="DocBody"/>
      </w:pPr>
      <w:r>
        <w:rPr>
          <w:rFonts w:ascii="Times New Roman" w:hAnsi="Times New Roman" w:eastAsia="宋体"/>
          <w:sz w:val="24"/>
        </w:rPr>
        <w:t>To tackle the problem of limited experimental data, researchers are developing autonomous laborato­ ries that can quickly synthesize and test materials at scale. The A-Lab at University of California–Berkeley (fgure 5.6) exemplifes this approach, using robotic arms and AI-guided synthesis alongside auto­ mated characterization equipment to discover new materials.21 However, the scientifc community has questioned the accuracy of A-Lab’s characteriza­ tion work and structural analysis, with researchers noting areas for improvement.22 This emphasizes that computational and integrated approaches still need careful validation and human oversight but hold great promise. Future automated labs may be capable of accurately predicting and creating new</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5.6  The A­Lab combines AI­guided synthesis with automated materials characterization Source: © 2023 The Regents of the University of California, Lawrence Berkeley National Laboratory materials, reducing the human effort needed to design them.</w:t>
      </w:r>
    </w:p>
    <w:p>
      <w:pPr>
        <w:pStyle w:val="DocBody"/>
      </w:pPr>
      <w:r>
        <w:rPr>
          <w:rFonts w:ascii="Times New Roman" w:hAnsi="Times New Roman" w:eastAsia="宋体"/>
          <w:sz w:val="24"/>
        </w:rPr>
        <w:t>By combining advanced algorithms with expanded databases and automated experimentation, research­ ers are working on exciting efforts to explore the vast landscape of possible materials more effciently than ever before.</w:t>
      </w:r>
    </w:p>
    <w:p>
      <w:pPr>
        <w:pStyle w:val="DocBody"/>
      </w:pPr>
      <w:r>
        <w:rPr>
          <w:rFonts w:ascii="Times New Roman" w:hAnsi="Times New Roman" w:eastAsia="宋体"/>
          <w:sz w:val="24"/>
        </w:rPr>
        <w:t>Over the Horizon Enhancing the Human Body Through Materials Science Advancements in materials science are revolu­ tionizing how we repair, restore, and augment the human body. From supporting regenerative medi­ cine to brain–machine interfaces, engineered mate­ rials are enabling technologies once thought to be science fction. Prosthetics and bionics have made major leaps thanks to high-performance materials.</w:t>
      </w:r>
    </w:p>
    <w:p>
      <w:pPr>
        <w:pStyle w:val="DocBody"/>
      </w:pPr>
      <w:r>
        <w:rPr>
          <w:rFonts w:ascii="Times New Roman" w:hAnsi="Times New Roman" w:eastAsia="宋体"/>
          <w:sz w:val="24"/>
        </w:rPr>
        <w:t>Lightweight composites like carbon fber and shape memory alloys allow artifcial limbs to move natu­ rally and respond dynamically. Electrically conduc­ tive and biocompatible polymers help to form soft bioelectronic interfaces that are powering neuro­ prosthetics.23 These prosthetics aim to restore and enhance motor and sensory function by connecting directly with the nervous system.</w:t>
      </w:r>
    </w:p>
    <w:p>
      <w:pPr>
        <w:pStyle w:val="DocBody"/>
      </w:pPr>
      <w:r>
        <w:rPr>
          <w:rFonts w:ascii="Times New Roman" w:hAnsi="Times New Roman" w:eastAsia="宋体"/>
          <w:sz w:val="24"/>
        </w:rPr>
        <w:t>A particularly exciting frontier is brain–machine interfaces, which depend on materials that are both biocompatible and capable of recording or stimu­ lating neural activity. (These interfaces are discussed further in chapter 6, on neuroscience.) Pliant, ultra- thin electrodes made from composite materials, such as fexible polymers embedded with 2-D con­ ductors like graphene, carbon nanotubes, and metal nanowires, are designed to conform to the brain’s surface without damaging tissue.24 These materials interface seamlessly with neurons and can detect and decode brain signals with high resolution. This,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05  MATERIALS SCIENCE</w:t>
      </w:r>
    </w:p>
    <w:p>
      <w:pPr>
        <w:pStyle w:val="DocBody"/>
      </w:pPr>
      <w:r>
        <w:rPr>
          <w:rFonts w:ascii="Times New Roman" w:hAnsi="Times New Roman" w:eastAsia="宋体"/>
          <w:sz w:val="24"/>
        </w:rPr>
        <w:t>in turn, enables the execution of computer tasks and the control of robotic limbs, providing a means of communication for paralyzed patients.</w:t>
      </w:r>
    </w:p>
    <w:p>
      <w:pPr>
        <w:pStyle w:val="DocBody"/>
      </w:pPr>
      <w:r>
        <w:rPr>
          <w:rFonts w:ascii="Times New Roman" w:hAnsi="Times New Roman" w:eastAsia="宋体"/>
          <w:sz w:val="24"/>
        </w:rPr>
        <w:t>While scientists improve brain–machine interfaces for neural activity decoding, the next goal is active neuromodulation, or the ability to control neural activity with an implanted device. Currently, deep- brain neuromodulatory devices are being used to successfully mitigate symptoms of Parkinson’s dis­ ease. Researchers are also working with them to affect mood and memory.25 Such advances suggest that our ability to engineer materials is enabling the construction of devices that are fundamentally expanding what the human body and mind can do.</w:t>
      </w:r>
    </w:p>
    <w:p>
      <w:pPr>
        <w:pStyle w:val="DocBody"/>
      </w:pPr>
      <w:r>
        <w:rPr>
          <w:rFonts w:ascii="Times New Roman" w:hAnsi="Times New Roman" w:eastAsia="宋体"/>
          <w:sz w:val="24"/>
        </w:rPr>
        <w:t>Metamaterials: Programming Physical Properties Metamaterials are artifcially engineered materi­ als with optical or acoustic properties not found in nature. These properties arise from arranging engi­ neered microscopic structural components in par­ ticular patterns, with feature sizes smaller than the wavelength of light or sound that is of interest. The internal structure of metamaterials enables extraor­ dinary manipulation of electromagnetic or acoustic waves, including bending them in previously impos­ sible ways, opening new possibilities for controlling light or sound.</w:t>
      </w:r>
    </w:p>
    <w:p>
      <w:pPr>
        <w:pStyle w:val="DocBody"/>
      </w:pPr>
      <w:r>
        <w:rPr>
          <w:rFonts w:ascii="Times New Roman" w:hAnsi="Times New Roman" w:eastAsia="宋体"/>
          <w:sz w:val="24"/>
        </w:rPr>
        <w:t>In recent years, the feld has shifted from proof-of­ concept demonstrations to various applications.26 These include:</w:t>
      </w:r>
    </w:p>
    <w:p>
      <w:pPr>
        <w:pStyle w:val="DocBody"/>
      </w:pPr>
      <w:r>
        <w:rPr>
          <w:rFonts w:ascii="Times New Roman" w:hAnsi="Times New Roman" w:eastAsia="宋体"/>
          <w:sz w:val="24"/>
        </w:rPr>
        <w:t>Invisibility cloaks Bending light around objects ° to render them nearly invisible to the naked eye Superlenses Imaging with resolution beyond ° the diffraction limit in microscopes and medical imaging Advanced radio antennas Creating compact, ° effcient antennas with improved signal strength for communications Seismic protection Shielding buildings from ° earthquakes by redirecting seismic waves Acoustic control Improved materials for sound ° insulation, muffing vibrations, or sound fltering in medical and industrial settings Advances in manufacturing and fabrication have been the main reason for the implementation of metamaterials in the physical world. Advances in laser processing and multi-material processing, among other things, have made complex metama­ terial designs commercially viable at scale.</w:t>
      </w:r>
    </w:p>
    <w:p>
      <w:pPr>
        <w:pStyle w:val="DocBody"/>
      </w:pPr>
      <w:r>
        <w:rPr>
          <w:rFonts w:ascii="Times New Roman" w:hAnsi="Times New Roman" w:eastAsia="宋体"/>
          <w:sz w:val="24"/>
        </w:rPr>
        <w:t>In the future, new applications in telecommuni­ cations, biomedicine, and energy are expected.27 Reconfgurable intelligent antenna surfaces for 6G communications show promise for future growth.</w:t>
      </w:r>
    </w:p>
    <w:p>
      <w:pPr>
        <w:pStyle w:val="DocBody"/>
      </w:pPr>
      <w:r>
        <w:rPr>
          <w:rFonts w:ascii="Times New Roman" w:hAnsi="Times New Roman" w:eastAsia="宋体"/>
          <w:sz w:val="24"/>
        </w:rPr>
        <w:t>Biomedical applications include metamaterial­ enhanced wireless power for implants and multi- disease diagnosis with high-frequency biosensors.</w:t>
      </w:r>
    </w:p>
    <w:p>
      <w:pPr>
        <w:pStyle w:val="DocBody"/>
      </w:pPr>
      <w:r>
        <w:rPr>
          <w:rFonts w:ascii="Times New Roman" w:hAnsi="Times New Roman" w:eastAsia="宋体"/>
          <w:sz w:val="24"/>
        </w:rPr>
        <w:t>Metamaterials are also well positioned as a foun­ dational technology for next-generation systems spanning from quantum computing to autonomous sensing.</w:t>
      </w:r>
    </w:p>
    <w:p>
      <w:pPr>
        <w:pStyle w:val="DocBody"/>
      </w:pPr>
      <w:r>
        <w:rPr>
          <w:rFonts w:ascii="Times New Roman" w:hAnsi="Times New Roman" w:eastAsia="宋体"/>
          <w:sz w:val="24"/>
        </w:rPr>
        <w:t>Policy Issues Research Infrastructure Today’s materials science research infrastructure does not adequately support the transition from research to real-world applications at scale. Such transitions generally require construction of a small- scale pilot project to demonstrate the feasibility of potential large-scale manufacturing. At this point, the technology is too mature to qualify for most research funding—because basic science does not address issues related to scaling up—but not mature enough to be commercialized by actual companies.</w:t>
      </w:r>
    </w:p>
    <w:p>
      <w:pPr>
        <w:pStyle w:val="DocBody"/>
      </w:pPr>
      <w:r>
        <w:rPr>
          <w:rFonts w:ascii="Times New Roman" w:hAnsi="Times New Roman" w:eastAsia="宋体"/>
          <w:sz w:val="24"/>
        </w:rPr>
        <w:t>Neither government funders nor venture capital investors are particularly enthusiastic about fnancing</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Historically, the United States has led the world in nanotechnology, but the gap between it and China has narrowed.</w:t>
      </w:r>
    </w:p>
    <w:p>
      <w:pPr>
        <w:pStyle w:val="DocBody"/>
      </w:pPr>
      <w:r>
        <w:rPr>
          <w:rFonts w:ascii="Times New Roman" w:hAnsi="Times New Roman" w:eastAsia="宋体"/>
          <w:sz w:val="24"/>
        </w:rPr>
        <w:t>pilot projects given the signifcant up-front invest­ ment needed. Therefore, different forms of funding are required to bridge the gap between bench-scale research and company-level investment. Although the US government does occasionally support pilot projects, additional support in this area could also establish national rapid prototyping centers where academic researchers can fnd the help and tools necessary to build prototypes and pilot plants for their technology.</w:t>
      </w:r>
    </w:p>
    <w:p>
      <w:pPr>
        <w:pStyle w:val="DocBody"/>
      </w:pPr>
      <w:r>
        <w:rPr>
          <w:rFonts w:ascii="Times New Roman" w:hAnsi="Times New Roman" w:eastAsia="宋体"/>
          <w:sz w:val="24"/>
        </w:rPr>
        <w:t>Today’s research processes are also ill-suited to rapid transitions to real-world applications. Such processes emphasize sequential steps. The standard process has been to characterize a material and then proceed to a simple demonstration of how it might be used. Today, addressing big societal challenges calls for a more scalable, system-level approach that involves extensive rapid prototyping and fast, reli­ able demonstrations to provide feedback on the potential value of specifc materials and to fll in knowledge gaps.</w:t>
      </w:r>
    </w:p>
    <w:p>
      <w:pPr>
        <w:pStyle w:val="DocBody"/>
      </w:pPr>
      <w:r>
        <w:rPr>
          <w:rFonts w:ascii="Times New Roman" w:hAnsi="Times New Roman" w:eastAsia="宋体"/>
          <w:sz w:val="24"/>
        </w:rPr>
        <w:t>Current research arrangements make this diffcult.</w:t>
      </w:r>
    </w:p>
    <w:p>
      <w:pPr>
        <w:pStyle w:val="DocBody"/>
      </w:pPr>
      <w:r>
        <w:rPr>
          <w:rFonts w:ascii="Times New Roman" w:hAnsi="Times New Roman" w:eastAsia="宋体"/>
          <w:sz w:val="24"/>
        </w:rPr>
        <w:t>For example, in collaborations with a medical school, it is often necessary to bring almost-fnished prod­ ucts to clinical tests to validate the true impact of a new medical device that is using innovative mate­ rials. There is typically a window of thirty minutes or less in which to place a device on a patient and gather data. This means that any malfunction, such as a sudden equipment failure or a loose wire, can jeopardize an entire experiment and potentially halt future patient interactions. Lab-assembled devices may not meet this standard of reliability, even if they do demonstrate the value of the underlying science.</w:t>
      </w:r>
    </w:p>
    <w:p>
      <w:pPr>
        <w:pStyle w:val="DocBody"/>
      </w:pPr>
      <w:r>
        <w:rPr>
          <w:rFonts w:ascii="Times New Roman" w:hAnsi="Times New Roman" w:eastAsia="宋体"/>
          <w:sz w:val="24"/>
        </w:rPr>
        <w:t>Regulation of Products Incorporating (Nano)Materials and Environmental Concerns As with other areas of technology, materials science faces concerns about the appropriate regulatory balance between the need to ensure public safety and the imperative to innovate quickly and leapfrog possible competitors. In the biomedical space, the US Food and Drug Administration (FDA) created a Nanotechnology Regulatory Science Research Plan in 2013.28 Today, FDA regulation and review of nano­ technology is governed by Executive Order 13563.29 Outside of biomedicine, regulation of and infrastruc­ ture for nanomaterials research from the govern­ ment side is based largely in the agencies involved in the National Nanotechnology Initiative. These include the US Department of Energy, the National Cancer Institute, the National Institutes of Health, the National Institute of Standards and Technology in the Department of Commerce, and the National Science Foundation.</w:t>
      </w:r>
    </w:p>
    <w:p>
      <w:pPr>
        <w:pStyle w:val="DocBody"/>
      </w:pPr>
      <w:r>
        <w:rPr>
          <w:rFonts w:ascii="Times New Roman" w:hAnsi="Times New Roman" w:eastAsia="宋体"/>
          <w:sz w:val="24"/>
        </w:rPr>
        <w:t>Nanoparticles raise particular concerns because their small size may enable them to pass through various biological borders, such as cell membranes or the blood–brain barrier, potentially harming bio­ logical systems. Nanoscale particles inhaled into the lungs, for example, may lodge there permanently, causing severe health outcomes, including pulmo­ nary infammation, lung cancer, and penetration into</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05  MATERIALS SCIENCE</w:t>
      </w:r>
    </w:p>
    <w:p>
      <w:pPr>
        <w:pStyle w:val="DocBody"/>
      </w:pPr>
      <w:r>
        <w:rPr>
          <w:rFonts w:ascii="Times New Roman" w:hAnsi="Times New Roman" w:eastAsia="宋体"/>
          <w:sz w:val="24"/>
        </w:rPr>
        <w:t>the brain and skin.30 Nanoparticles may result from air pollution and even doing laundry. However, the most common source of nanoparticles is through combustion linked to the mechanical abrasion of common objects such as cookware and car tires. By comparison, laboratory-engineered nanoparticles are an insignifcant source of nanoparticle contam­ ination today.</w:t>
      </w:r>
    </w:p>
    <w:p>
      <w:pPr>
        <w:pStyle w:val="DocBody"/>
      </w:pPr>
      <w:r>
        <w:rPr>
          <w:rFonts w:ascii="Times New Roman" w:hAnsi="Times New Roman" w:eastAsia="宋体"/>
          <w:sz w:val="24"/>
        </w:rPr>
        <w:t>Finally, end-of-life considerations that take into account environmental sustainability and resource conservation are inherently a part of developing and distributing new materials. This is especially import­ ant for plastics and materials containing per- and polyfuoroalkyl substances (PFAS), which pose signif­ icant environmental and health risks. Material devel­ opers can incorporate recyclability into their design processes. For PFAS and other persistent chemicals, the US Environmental Protection Agency strategic road map of October 2021 provides guidance for their use and disposal, and calls for research into safe alternatives and effective degradation methods.31 The Mineral Supply Chain Sourcing minerals involves a complex, global net­ work that encompasses the mining, processing, and distribution of critical raw elements such as lithium, cobalt, nickel, copper, and rare-earth elements (e.g., neodymium and yttrium). These minerals are in high demand for technologies like batteries, renew­ able energy systems, and consumer and defense electronics.</w:t>
      </w:r>
    </w:p>
    <w:p>
      <w:pPr>
        <w:pStyle w:val="DocBody"/>
      </w:pPr>
      <w:r>
        <w:rPr>
          <w:rFonts w:ascii="Times New Roman" w:hAnsi="Times New Roman" w:eastAsia="宋体"/>
          <w:sz w:val="24"/>
        </w:rPr>
        <w:t>The mining of these minerals is often concentrated in a few sites that are controlled by countries that may not be aligned with the United States. For example, the Democratic Republic of the Congo exports 74 percent of the world’s cobalt from mines that exploit slave and child labor and are oper­ ated by Chinese companies.32 Additionally, China accounts for over 90 percent of the refning capacity of rare-earth elements, which are critical for the man­ ufacturing of magnets used in modern electronics and other industries.33 This means China can unilat­ erally squeeze the supply of key minerals and nega­ tively impact electronics manufacturing in the United States and other countries.</w:t>
      </w:r>
    </w:p>
    <w:p>
      <w:pPr>
        <w:pStyle w:val="DocBody"/>
      </w:pPr>
      <w:r>
        <w:rPr>
          <w:rFonts w:ascii="Times New Roman" w:hAnsi="Times New Roman" w:eastAsia="宋体"/>
          <w:sz w:val="24"/>
        </w:rPr>
        <w:t>It is imperative that America’s supply chain for min­ erals becomes more secure. Solutions include diver­ sifying sources, investing in recycling and the reuse of materials that would otherwise have to be mined, and developing alternative materials. Strengthening domestic processing capabilities and fostering inter­ national partnerships are also critical strategies to enhance security, transparency, and resilience in the mineral supply chain.</w:t>
      </w:r>
    </w:p>
    <w:p>
      <w:pPr>
        <w:pStyle w:val="DocBody"/>
      </w:pPr>
      <w:r>
        <w:rPr>
          <w:rFonts w:ascii="Times New Roman" w:hAnsi="Times New Roman" w:eastAsia="宋体"/>
          <w:sz w:val="24"/>
        </w:rPr>
        <w:t>Foreign Collaboration and Competition Historically, the United States has led the world in nanotechnology, but the gap between it and China has narrowed. For example, in 2024, China’s output of publications in nanotechnology was about 5.3 times higher than that of the United States.34 As great power competition intensifes, many researchers are concerned that fundamental research in the United States could now be subject to export controls. Policy ambiguity can inadver­ tently hinder innovation by creating obstacles for foreign researchers wishing to contribute to work in America and by deterring international collabora­ tions with allies and partners who are important for advancing the feld.</w:t>
      </w:r>
    </w:p>
    <w:p>
      <w:pPr>
        <w:pStyle w:val="DocBody"/>
      </w:pPr>
      <w:r>
        <w:rPr>
          <w:rFonts w:ascii="Times New Roman" w:hAnsi="Times New Roman" w:eastAsia="宋体"/>
          <w:sz w:val="24"/>
        </w:rPr>
        <w:t>It is essential that scholars can collaborate broadly on fundamental research at an international level so that the exchange of ideas and perspectives can foster new ways of thinking that increase the like­ lihood and speed of technological breakthroughs.</w:t>
      </w:r>
    </w:p>
    <w:p>
      <w:pPr>
        <w:pStyle w:val="DocBody"/>
      </w:pPr>
      <w:r>
        <w:rPr>
          <w:rFonts w:ascii="Times New Roman" w:hAnsi="Times New Roman" w:eastAsia="宋体"/>
          <w:sz w:val="24"/>
        </w:rPr>
        <w:t>In nanomaterials, for example, researchers in South Korea are making signifcant strides with biomedical applications and applications for consumer electron­ ics. There is an urgent need for clarifcation of these policies, particularly those delineating fundamental research and export-controlled research.</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Infrastructure for ML-Assisted Materials Science The United States benefts from having some of the world’s largest supercomputing resources, which are essential not only for ML but also for develop­ ing extensive databases. However, better access to computing power is necessary for researchers in materials science to generate and analyze databases effectively. Greater access to data, including to data­ bases that might not always be openly available to academics, is also needed.</w:t>
      </w:r>
    </w:p>
    <w:p>
      <w:pPr>
        <w:pStyle w:val="DocBody"/>
      </w:pPr>
      <w:r>
        <w:rPr>
          <w:rFonts w:ascii="Times New Roman" w:hAnsi="Times New Roman" w:eastAsia="宋体"/>
          <w:sz w:val="24"/>
        </w:rPr>
        <w:t>One additional area where policymakers could have a signifcant impact is in bridging the gap between the scientifc community and makers of compu­ tational hardware. Frequent changes in comput­ ing architectures can lead to a loss of productivity for researchers because code must be constantly updated. Improved collaboration with hardware manufacturers and other providers of computing resources could ensure scientifc needs are better aligned with advances in computing technology, enhancing overall research effciency.</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Weichen Wang, Yuanwen Jiang, Donglai Zhong, et al., “Neu­ romorphic Sensorimotor Loop Embodied by Monolithically Inte­ grated, Low-Voltage, Soft E-Skin,” Science 380, no. 6646 (2023):</w:t>
      </w:r>
    </w:p>
    <w:p>
      <w:pPr>
        <w:pStyle w:val="DocBody"/>
      </w:pPr>
      <w:r>
        <w:rPr>
          <w:rFonts w:ascii="Times New Roman" w:hAnsi="Times New Roman" w:eastAsia="宋体"/>
          <w:sz w:val="24"/>
        </w:rPr>
        <w:t>735–42, https://doi.org/10.1126/science.ade0086.</w:t>
      </w:r>
    </w:p>
    <w:p>
      <w:pPr>
        <w:pStyle w:val="DocBody"/>
        <w:ind w:left="765"/>
      </w:pPr>
      <w:r>
        <w:rPr>
          <w:rFonts w:ascii="Times New Roman" w:hAnsi="Times New Roman" w:eastAsia="宋体"/>
          <w:sz w:val="24"/>
        </w:rPr>
        <w:t>Yuanwen Jiang, Artem A. Trotsyuk, Simiao Niu, et al., “Wire­ less, Closed-Loop, Smart Bandage with Integrated Sensors and Stimulators for Advanced Wound Care and Accelerated Healing,”</w:t>
      </w:r>
    </w:p>
    <w:p>
      <w:pPr>
        <w:pStyle w:val="DocBody"/>
      </w:pPr>
      <w:r>
        <w:rPr>
          <w:rFonts w:ascii="Times New Roman" w:hAnsi="Times New Roman" w:eastAsia="宋体"/>
          <w:sz w:val="24"/>
        </w:rPr>
        <w:t>Nature Biotechnology 41 (2023): 652–62, https://doi.org/10.1038 /s41587-022-01528-3.</w:t>
      </w:r>
    </w:p>
    <w:p>
      <w:pPr>
        <w:pStyle w:val="DocBody"/>
        <w:ind w:left="765"/>
      </w:pPr>
      <w:r>
        <w:rPr>
          <w:rFonts w:ascii="Times New Roman" w:hAnsi="Times New Roman" w:eastAsia="宋体"/>
          <w:sz w:val="24"/>
        </w:rPr>
        <w:t>John R. Tumbleston, David Shirvanyants, Nikita Ermoshkin, et al., “Continuous Liquid Interface Production of 3D Objects,”</w:t>
      </w:r>
    </w:p>
    <w:p>
      <w:pPr>
        <w:pStyle w:val="DocBody"/>
      </w:pPr>
      <w:r>
        <w:rPr>
          <w:rFonts w:ascii="Times New Roman" w:hAnsi="Times New Roman" w:eastAsia="宋体"/>
          <w:sz w:val="24"/>
        </w:rPr>
        <w:t>Science 347, no. 6228 (2015): 1349–52, https://doi.org/10.1126 /science.aaa2397; Kaiwen Hsiao, Brian J. Lee, Tim Samuelsen, et al., “Single-Digit-Micrometer-Resolution Continuous Liquid Inter­ face Production,” Science Advances 8, no. 46 (2022), https://doi .org/10.1126/sciadv.abq2846.</w:t>
      </w:r>
    </w:p>
    <w:p>
      <w:pPr>
        <w:pStyle w:val="DocBody"/>
        <w:ind w:left="765"/>
      </w:pPr>
      <w:r>
        <w:rPr>
          <w:rFonts w:ascii="Times New Roman" w:hAnsi="Times New Roman" w:eastAsia="宋体"/>
          <w:sz w:val="24"/>
        </w:rPr>
        <w:t>For more on polyethylene terephthalate, see Polymershapes, “PET Plastic Film,” accessed October 13, 2023, https://www .polymershapes.com/pet-plastic-flm/; Jason M. Kronenfeld, Lukas Rother, Max A. Saccone, Maria T. Dulay, and Joseph M. DeSimone, “Roll-to-Roll, High-Resolution 3D Printing of Shape-Specifc Parti­ cles,” Nature 627 (March 2024): 306–12, https://doi.org/10.1038 /s41586-024-07061-4.</w:t>
      </w:r>
    </w:p>
    <w:p>
      <w:pPr>
        <w:pStyle w:val="DocBody"/>
        <w:ind w:left="765"/>
      </w:pPr>
      <w:r>
        <w:rPr>
          <w:rFonts w:ascii="Times New Roman" w:hAnsi="Times New Roman" w:eastAsia="宋体"/>
          <w:sz w:val="24"/>
        </w:rPr>
        <w:t>Hui Pan and Yuan Ping Feng, “Semiconductor Nanowires and Nanotubes: Effects of Size and Surface-to-Volume Ratio,”</w:t>
      </w:r>
    </w:p>
    <w:p>
      <w:pPr>
        <w:pStyle w:val="DocBody"/>
      </w:pPr>
      <w:r>
        <w:rPr>
          <w:rFonts w:ascii="Times New Roman" w:hAnsi="Times New Roman" w:eastAsia="宋体"/>
          <w:sz w:val="24"/>
        </w:rPr>
        <w:t>ACS Nano 2, no. 11 (2008): 2410–14, https://doi.org/10.1021 /nn8004872; Anna C. Balazs, Todd Emrick, and Thomas P. Rus­ sell, “Nanoparticle Polymer Composites: Where Two Small Worlds Meet,” Science 314, no. 5802 (2006): 1107–10, https://doi .org/10.1126/science.1130557.</w:t>
      </w:r>
    </w:p>
    <w:p>
      <w:pPr>
        <w:pStyle w:val="DocBody"/>
        <w:ind w:left="765"/>
      </w:pPr>
      <w:r>
        <w:rPr>
          <w:rFonts w:ascii="Times New Roman" w:hAnsi="Times New Roman" w:eastAsia="宋体"/>
          <w:sz w:val="24"/>
        </w:rPr>
        <w:t>A. P. Alivisatos, “Semiconductor Clusters, Nanocrystals, and Quantum Dots,” Science 271, no. 5251 (1996): 933–37, https:// doi.org/10.1126/science.271.5251.933.</w:t>
      </w:r>
    </w:p>
    <w:p>
      <w:pPr>
        <w:pStyle w:val="DocBody"/>
        <w:ind w:left="765"/>
      </w:pPr>
      <w:r>
        <w:rPr>
          <w:rFonts w:ascii="Times New Roman" w:hAnsi="Times New Roman" w:eastAsia="宋体"/>
          <w:sz w:val="24"/>
        </w:rPr>
        <w:t>Norbert Pardi, Michael J. Hogan, Frederick W. Porter, and Drew Weissman, “mRNA Vaccines—A New Era in Vaccinology,”</w:t>
      </w:r>
    </w:p>
    <w:p>
      <w:pPr>
        <w:pStyle w:val="DocBody"/>
      </w:pPr>
      <w:r>
        <w:rPr>
          <w:rFonts w:ascii="Times New Roman" w:hAnsi="Times New Roman" w:eastAsia="宋体"/>
          <w:sz w:val="24"/>
        </w:rPr>
        <w:t>Nature Reviews Drug Discovery 17 (2018): 261–79, https://doi .org/10.1038/nrd.2017.243.</w:t>
      </w:r>
    </w:p>
    <w:p>
      <w:pPr>
        <w:pStyle w:val="DocBody"/>
        <w:ind w:left="765"/>
      </w:pPr>
      <w:r>
        <w:rPr>
          <w:rFonts w:ascii="Times New Roman" w:hAnsi="Times New Roman" w:eastAsia="宋体"/>
          <w:sz w:val="24"/>
        </w:rPr>
        <w:t>Weisheng Li, Xiaoshu Gong, Zhihao Yu, et al., “Approaching the Quantum Limit in Two-Dimensional Semiconductor Contacts,”</w:t>
      </w:r>
    </w:p>
    <w:p>
      <w:pPr>
        <w:pStyle w:val="DocBody"/>
      </w:pPr>
      <w:r>
        <w:rPr>
          <w:rFonts w:ascii="Times New Roman" w:hAnsi="Times New Roman" w:eastAsia="宋体"/>
          <w:sz w:val="24"/>
        </w:rPr>
        <w:t>Nature 613 (2023): 274–79, https://doi.org/10.1038/s41586 -022-05431-4; Eric Pop, “Energy Dissipation and Transport in Nanoscale Devices,” Nano Research 3 (2010): 147–69, https://doi .org/10.1007/s12274-010-1019-z.</w:t>
      </w:r>
    </w:p>
    <w:p>
      <w:pPr>
        <w:pStyle w:val="DocBody"/>
        <w:ind w:left="765"/>
      </w:pPr>
      <w:r>
        <w:rPr>
          <w:rFonts w:ascii="Times New Roman" w:hAnsi="Times New Roman" w:eastAsia="宋体"/>
          <w:sz w:val="24"/>
        </w:rPr>
        <w:t>Candace K. Chan, Hailin Peng, Gao Liu, et al., “High- Performance Lithium Battery Anodes Using Silicon Nanowires,”</w:t>
      </w:r>
    </w:p>
    <w:p>
      <w:pPr>
        <w:pStyle w:val="DocBody"/>
      </w:pPr>
      <w:r>
        <w:rPr>
          <w:rFonts w:ascii="Times New Roman" w:hAnsi="Times New Roman" w:eastAsia="宋体"/>
          <w:sz w:val="24"/>
        </w:rPr>
        <w:t>Nature Nanotechnology 3 (December 2008): 31–35, https://doi .org/10.1038/nnano.2007.411.</w:t>
      </w:r>
    </w:p>
    <w:p>
      <w:pPr>
        <w:pStyle w:val="DocBody"/>
        <w:ind w:left="765"/>
      </w:pPr>
      <w:r>
        <w:rPr>
          <w:rFonts w:ascii="Times New Roman" w:hAnsi="Times New Roman" w:eastAsia="宋体"/>
          <w:sz w:val="24"/>
        </w:rPr>
        <w:t>Xiao Cui, Stephen Dongmin Kang, Sunny Wang, et al., “Data- Driven Analysis of Battery Formation Reveals the Role of Electrode Utilization in Extending Cycle Life,” Joule 8, no. 11 (2024): 3072–87, https://doi.org/10.1016/j.joule.2024.07.024.</w:t>
      </w:r>
    </w:p>
    <w:p>
      <w:pPr>
        <w:pStyle w:val="DocBody"/>
        <w:ind w:left="765"/>
      </w:pPr>
      <w:r>
        <w:rPr>
          <w:rFonts w:ascii="Times New Roman" w:hAnsi="Times New Roman" w:eastAsia="宋体"/>
          <w:sz w:val="24"/>
        </w:rPr>
        <w:t>B. Zhang, B. Yuan, X. Yan, et al., “Atomic Mechanism of Lith­ ium Dendrite Penetration in Solid Electrolytes,” Nature Com­ munications 16, 1906 (2025), https://doi.org/10.1038/s41467 -025-57259-x.</w:t>
      </w:r>
    </w:p>
    <w:p>
      <w:pPr>
        <w:pStyle w:val="DocBody"/>
        <w:ind w:left="765"/>
      </w:pPr>
      <w:r>
        <w:rPr>
          <w:rFonts w:ascii="Times New Roman" w:hAnsi="Times New Roman" w:eastAsia="宋体"/>
          <w:sz w:val="24"/>
        </w:rPr>
        <w:t>Zhuojun Huang, Hao Lyu, Louisa C. Greenburg, Yi Cui, and Zhenan Bao,“Stabilizing Lithium-Metal Electrodes with Polymer Coatings,” Nature Energy 10, no. 7 (2025): 811–23, https://doi .org/10.1038/s41560-025-01767-z.</w:t>
      </w:r>
    </w:p>
    <w:p>
      <w:pPr>
        <w:pStyle w:val="DocBody"/>
        <w:ind w:left="765"/>
      </w:pPr>
      <w:r>
        <w:rPr>
          <w:rFonts w:ascii="Times New Roman" w:hAnsi="Times New Roman" w:eastAsia="宋体"/>
          <w:sz w:val="24"/>
        </w:rPr>
        <w:t>Sang Cheol Kim, Solomon T. Oyakhire, Constantine Athanitis, et al., “Data-Driven Electrolyte Design for Lithium Metal Anodes,”</w:t>
      </w:r>
    </w:p>
    <w:p>
      <w:pPr>
        <w:pStyle w:val="DocBody"/>
      </w:pPr>
      <w:r>
        <w:rPr>
          <w:rFonts w:ascii="Times New Roman" w:hAnsi="Times New Roman" w:eastAsia="宋体"/>
          <w:sz w:val="24"/>
        </w:rPr>
        <w:t>Proceedings of the National Academy of Sciences 120, no. 10 (2023): e2214357120, https://doi.org/10.1073/pnas.2214357120.</w:t>
      </w:r>
    </w:p>
    <w:p>
      <w:pPr>
        <w:pStyle w:val="DocBody"/>
        <w:ind w:left="765"/>
      </w:pPr>
      <w:r>
        <w:rPr>
          <w:rFonts w:ascii="Times New Roman" w:hAnsi="Times New Roman" w:eastAsia="宋体"/>
          <w:sz w:val="24"/>
        </w:rPr>
        <w:t>Adrian Yao, Sally M. Benson, and William C. Chueh, “Critically Assessing Sodium-Ion Technology Roadmaps and Scenarios for Techno-Economic Competitiveness against Lithium-Ion Batteries,”</w:t>
      </w:r>
    </w:p>
    <w:p>
      <w:pPr>
        <w:pStyle w:val="DocBody"/>
      </w:pPr>
      <w:r>
        <w:rPr>
          <w:rFonts w:ascii="Times New Roman" w:hAnsi="Times New Roman" w:eastAsia="宋体"/>
          <w:sz w:val="24"/>
        </w:rPr>
        <w:t>Nature Energy 10, no. 3 (2025): 404–16, https://doi.org/10.1038 /s41560-024-01701-9.</w:t>
      </w:r>
    </w:p>
    <w:p>
      <w:pPr>
        <w:pStyle w:val="DocBody"/>
        <w:ind w:left="765"/>
      </w:pPr>
      <w:r>
        <w:rPr>
          <w:rFonts w:ascii="Times New Roman" w:hAnsi="Times New Roman" w:eastAsia="宋体"/>
          <w:sz w:val="24"/>
        </w:rPr>
        <w:t>U. P. M. Ashik, Anchu Viswan, Shinji Kudo, and Jun-ichiro Hayachi, “Nanomaterials as Catalysts,” chap. 3 in Applications of Nanomaterials: Advances and Key Technologies, eds. Sneha Mohan Bhagyaraj, Oluwatobi Samuel Oluwafemi, Nandakumar Kalarikkal, and Sabu Thomas (Elsevier, 2018), 4582, https://doi .org/10.1016/B978-0-08-101971-9.00003-X.</w:t>
      </w:r>
    </w:p>
    <w:p>
      <w:pPr>
        <w:pStyle w:val="DocBody"/>
        <w:ind w:left="765"/>
      </w:pPr>
      <w:r>
        <w:rPr>
          <w:rFonts w:ascii="Times New Roman" w:hAnsi="Times New Roman" w:eastAsia="宋体"/>
          <w:sz w:val="24"/>
        </w:rPr>
        <w:t>Thomas F. Jaramillo, Kristina P. Jørgensen, Jacob Bonde, Jane H. Nielsen, Sebastian Horch, and Ib Chorkendorff, “Identifcation of Active Edge Sites for Electrochemical H2 Evolution from MoS2 Nanocatalysts,” Science 317, no. 5834 (2007): 100–102, https:// doi.org/10.1126/science.1141483.</w:t>
      </w:r>
    </w:p>
    <w:p>
      <w:pPr>
        <w:pStyle w:val="DocBody"/>
        <w:ind w:left="765"/>
      </w:pPr>
      <w:r>
        <w:rPr>
          <w:rFonts w:ascii="Times New Roman" w:hAnsi="Times New Roman" w:eastAsia="宋体"/>
          <w:sz w:val="24"/>
        </w:rPr>
        <w:t>Zhi Wei Seh, Jakob Kibsgaard, Colin F. Dickens, Ib Chorken­ dorff, Jens K. Nørskov, and Thomas F. Jaramillo, “Combining Theory and Experiment in Electrocatalysis: Insights Into Materials Design,” Science 355, no. 6321 (2017), https://doi.org/10.1126 /science.aad4998.</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05  MATERIALS SCIENCE</w:t>
      </w:r>
    </w:p>
    <w:p>
      <w:pPr>
        <w:pStyle w:val="DocBody"/>
        <w:ind w:left="765"/>
      </w:pPr>
      <w:r>
        <w:rPr>
          <w:rFonts w:ascii="Times New Roman" w:hAnsi="Times New Roman" w:eastAsia="宋体"/>
          <w:sz w:val="24"/>
        </w:rPr>
        <w:t>Xiaolong Zhang, Si-Xuan Guo, Karl A. Gandionco, Alan M.</w:t>
      </w:r>
    </w:p>
    <w:p>
      <w:pPr>
        <w:pStyle w:val="DocBody"/>
      </w:pPr>
      <w:r>
        <w:rPr>
          <w:rFonts w:ascii="Times New Roman" w:hAnsi="Times New Roman" w:eastAsia="宋体"/>
          <w:sz w:val="24"/>
        </w:rPr>
        <w:t>Bond, and Jie Zhang, “Electrocatalytic Carbon Dioxide Reduc­ tion: From Fundamental Principles to Catalyst Design,” Materials Today Advances 7 (2020), https://www.sciencedirect.com/science /article/pii/S2590049820300217.</w:t>
      </w:r>
    </w:p>
    <w:p>
      <w:pPr>
        <w:pStyle w:val="DocBody"/>
        <w:ind w:left="765"/>
      </w:pPr>
      <w:r>
        <w:rPr>
          <w:rFonts w:ascii="Times New Roman" w:hAnsi="Times New Roman" w:eastAsia="宋体"/>
          <w:sz w:val="24"/>
        </w:rPr>
        <w:t>Steven G. Louie, Yang-Hao Chan, Felipe H. da Jornada, Zhen­ glu Li, and Diana Y. Qiu, “Discovering and Understanding Mate­ rials Through Computation,” Nature Materials 20 (2021): 728–35, https://doi.org/10.1038/s41563-021-01015-1.</w:t>
      </w:r>
    </w:p>
    <w:p>
      <w:pPr>
        <w:pStyle w:val="DocBody"/>
        <w:ind w:left="765"/>
      </w:pPr>
      <w:r>
        <w:rPr>
          <w:rFonts w:ascii="Times New Roman" w:hAnsi="Times New Roman" w:eastAsia="宋体"/>
          <w:sz w:val="24"/>
        </w:rPr>
        <w:t>The Materials Project, “The Materials Project,” accessed Sep­ tember 18, 2024, https://next-gen.materialsproject.org.</w:t>
      </w:r>
    </w:p>
    <w:p>
      <w:pPr>
        <w:pStyle w:val="DocBody"/>
        <w:ind w:left="765"/>
      </w:pPr>
      <w:r>
        <w:rPr>
          <w:rFonts w:ascii="Times New Roman" w:hAnsi="Times New Roman" w:eastAsia="宋体"/>
          <w:sz w:val="24"/>
        </w:rPr>
        <w:t>Nathan J. Szymanski, Bernardus Rendy, Yuxing Fei, et al., “An Autonomous Laboratory for the Accelerated Synthesis of Novel Materials,” Nature 624 (November 2023): 86–91, https://doi .org/10.1038/s41586-023-06734-w.</w:t>
      </w:r>
    </w:p>
    <w:p>
      <w:pPr>
        <w:pStyle w:val="DocBody"/>
        <w:ind w:left="765"/>
      </w:pPr>
      <w:r>
        <w:rPr>
          <w:rFonts w:ascii="Times New Roman" w:hAnsi="Times New Roman" w:eastAsia="宋体"/>
          <w:sz w:val="24"/>
        </w:rPr>
        <w:t>Josh Leeman, Yuhan Liu, Joseph Stiles, et al., “Challenges in High-Throughput Inorganic Material Prediction and Autono­ mous Synthesis,” preprint, ChemRxiv, submitted January 7, 2024, https://doi.org/10.26434/chemrxiv-2024-5p9j4.</w:t>
      </w:r>
    </w:p>
    <w:p>
      <w:pPr>
        <w:pStyle w:val="DocBody"/>
        <w:ind w:left="765"/>
      </w:pPr>
      <w:r>
        <w:rPr>
          <w:rFonts w:ascii="Times New Roman" w:hAnsi="Times New Roman" w:eastAsia="宋体"/>
          <w:sz w:val="24"/>
        </w:rPr>
        <w:t>Jing Li et al., “PEDOT:PSS-Based Bioelectronics for Brain Monitoring and Modulation,” Microsystems &amp; Nanoengi­ neering 11 (2025): article 87, https://www.nature.com/articles /s41378-025-00948-w.</w:t>
      </w:r>
    </w:p>
    <w:p>
      <w:pPr>
        <w:pStyle w:val="DocBody"/>
        <w:ind w:left="765"/>
      </w:pPr>
      <w:r>
        <w:rPr>
          <w:rFonts w:ascii="Times New Roman" w:hAnsi="Times New Roman" w:eastAsia="宋体"/>
          <w:sz w:val="24"/>
        </w:rPr>
        <w:t>Dimitris Boufdis et al., “Bio-Inspired Electronics: Soft, Bio- hybrid, and ‘Living’ Neural Interfaces,” Nature Communica­ tions 16 (2025): article 1861, https://www.nature.com/articles /s41467-025-57016-0.</w:t>
      </w:r>
    </w:p>
    <w:p>
      <w:pPr>
        <w:pStyle w:val="DocBody"/>
        <w:ind w:left="765"/>
      </w:pPr>
      <w:r>
        <w:rPr>
          <w:rFonts w:ascii="Times New Roman" w:hAnsi="Times New Roman" w:eastAsia="宋体"/>
          <w:sz w:val="24"/>
        </w:rPr>
        <w:t>Andres M. Lozano et al., “Deep Brain Stimulation: Cur­ rent Challenges and Future Directions,” Nature Reviews Neu­ rology (2019):</w:t>
      </w:r>
    </w:p>
    <w:p>
      <w:pPr>
        <w:pStyle w:val="DocBody"/>
      </w:pPr>
      <w:r>
        <w:rPr>
          <w:rFonts w:ascii="Times New Roman" w:hAnsi="Times New Roman" w:eastAsia="宋体"/>
          <w:sz w:val="24"/>
        </w:rPr>
        <w:t>148–60.</w:t>
      </w:r>
    </w:p>
    <w:p>
      <w:pPr>
        <w:pStyle w:val="DocBody"/>
      </w:pPr>
      <w:r>
        <w:rPr>
          <w:rFonts w:ascii="Times New Roman" w:hAnsi="Times New Roman" w:eastAsia="宋体"/>
          <w:sz w:val="24"/>
        </w:rPr>
        <w:t>https://www.nature.com/articles /s41582-018-0128-2.</w:t>
      </w:r>
    </w:p>
    <w:p>
      <w:pPr>
        <w:pStyle w:val="DocBody"/>
        <w:ind w:left="765"/>
      </w:pPr>
      <w:r>
        <w:rPr>
          <w:rFonts w:ascii="Times New Roman" w:hAnsi="Times New Roman" w:eastAsia="宋体"/>
          <w:sz w:val="24"/>
        </w:rPr>
        <w:t>Rakesh Kumar, Manoj Kumar, Jasgurpreet Singh Chohan, and Santosh Kumar, “Overview on Metamaterial: History, Types and Applications,” Materials Today: Proceedings 56 (no. 5): 3016–24, https://doi.org/10.1016/j.matpr.2021.11.423.</w:t>
      </w:r>
    </w:p>
    <w:p>
      <w:pPr>
        <w:pStyle w:val="DocBody"/>
        <w:ind w:left="765"/>
      </w:pPr>
      <w:r>
        <w:rPr>
          <w:rFonts w:ascii="Times New Roman" w:hAnsi="Times New Roman" w:eastAsia="宋体"/>
          <w:sz w:val="24"/>
        </w:rPr>
        <w:t>J. U. Surjadi and C. M. Portela, “Enabling Three-Dimen­ sional Architected Materials Across Length Scales and Times­ cales,” Nat. Mater 24 (2025): 493–505, https://doi.org/10.1038 /s41563-025-02119-8.</w:t>
      </w:r>
    </w:p>
    <w:p>
      <w:pPr>
        <w:pStyle w:val="DocBody"/>
        <w:ind w:left="765"/>
      </w:pPr>
      <w:r>
        <w:rPr>
          <w:rFonts w:ascii="Times New Roman" w:hAnsi="Times New Roman" w:eastAsia="宋体"/>
          <w:sz w:val="24"/>
        </w:rPr>
        <w:t>US Food and Drug Administration, “2013 Nanotechnology Regulatory Science Research Plan,” last modifed March 19, 2018, https://www.fda.gov/science-research/nanotechnology-programs -fda/2013-nanotechnology-regulatory-science-research-plan.</w:t>
      </w:r>
    </w:p>
    <w:p>
      <w:pPr>
        <w:pStyle w:val="DocBody"/>
        <w:ind w:left="765"/>
      </w:pPr>
      <w:r>
        <w:rPr>
          <w:rFonts w:ascii="Times New Roman" w:hAnsi="Times New Roman" w:eastAsia="宋体"/>
          <w:sz w:val="24"/>
        </w:rPr>
        <w:t>The White House, “Executive Order 13563–Improving Regu­ lation and Regulatory Review,” Offce of the Press Secretary, Jan­ uary 18, 2011, https://obamawhitehouse.archives.gov/the-press -offce/2011/01/18/executive-order-13563-improving-regulation -and-regulatory-review.</w:t>
      </w:r>
    </w:p>
    <w:p>
      <w:pPr>
        <w:pStyle w:val="DocBody"/>
        <w:ind w:left="765"/>
      </w:pPr>
      <w:r>
        <w:rPr>
          <w:rFonts w:ascii="Times New Roman" w:hAnsi="Times New Roman" w:eastAsia="宋体"/>
          <w:sz w:val="24"/>
        </w:rPr>
        <w:t>Paresh Chandra Ray, Hongtao Yu, and Peter P. Fu, “Tox­ icity and Environmental Risks of Nanomaterials: Challenges and Future Needs,” Journal of Environmental Science and Health, Part C 27 (February 2009): 1–35, https://doi.org/10 .1080/10590500802708267.</w:t>
      </w:r>
    </w:p>
    <w:p>
      <w:pPr>
        <w:pStyle w:val="DocBody"/>
        <w:ind w:left="765"/>
      </w:pPr>
      <w:r>
        <w:rPr>
          <w:rFonts w:ascii="Times New Roman" w:hAnsi="Times New Roman" w:eastAsia="宋体"/>
          <w:sz w:val="24"/>
        </w:rPr>
        <w:t>EPA Council on PFAS, “PFAS Strategic Roadmap: EPA’s Com­ mitment to Action 2021–2024,” US Environmental Protection Agency, October 18, 2021, epa.gov/system/fles/documents /2021-10/pfas-roadmap_fnal-508.pdf.</w:t>
      </w:r>
    </w:p>
    <w:p>
      <w:pPr>
        <w:pStyle w:val="DocBody"/>
        <w:ind w:left="765"/>
      </w:pPr>
      <w:r>
        <w:rPr>
          <w:rFonts w:ascii="Times New Roman" w:hAnsi="Times New Roman" w:eastAsia="宋体"/>
          <w:sz w:val="24"/>
        </w:rPr>
        <w:t>Terry Gross, “Red Cobalt in Congo: How Mining Fuels Human Suffering,” NPR, February 1, 2023, https://www.npr.org /sections/goatsandsoda/2023/02/01/1152893248/red-cobalt -congo-drc-mining-siddharth-kara.</w:t>
      </w:r>
    </w:p>
    <w:p>
      <w:pPr>
        <w:pStyle w:val="DocBody"/>
        <w:ind w:left="765"/>
      </w:pPr>
      <w:r>
        <w:rPr>
          <w:rFonts w:ascii="Times New Roman" w:hAnsi="Times New Roman" w:eastAsia="宋体"/>
          <w:sz w:val="24"/>
        </w:rPr>
        <w:t>Gracelin Baskaran and Meredith Schwartz, “The Consequences of China’s New Rare Earths Export Restrictions,” Critical Questions, Center for Strategic and International Studies, April 14, 2025, https://www.csis.org/analysis/consequences-chinas-new-rare -earths-export-restrictions.</w:t>
      </w:r>
    </w:p>
    <w:p>
      <w:pPr>
        <w:pStyle w:val="DocBody"/>
        <w:ind w:left="765"/>
      </w:pPr>
      <w:r>
        <w:rPr>
          <w:rFonts w:ascii="Times New Roman" w:hAnsi="Times New Roman" w:eastAsia="宋体"/>
          <w:sz w:val="24"/>
        </w:rPr>
        <w:t>“Top 10 Countries by Nanotechnology Publications in 2024,”</w:t>
      </w:r>
    </w:p>
    <w:p>
      <w:pPr>
        <w:pStyle w:val="DocBody"/>
      </w:pPr>
      <w:r>
        <w:rPr>
          <w:rFonts w:ascii="Times New Roman" w:hAnsi="Times New Roman" w:eastAsia="宋体"/>
          <w:sz w:val="24"/>
        </w:rPr>
        <w:t>accessed August 19, 2025, https://statnano.com/news/print/74558 /Top-10-Countries-by-Nanotechnology-Publications-in-2024.</w:t>
      </w:r>
    </w:p>
    <w:p>
      <w:pPr>
        <w:pStyle w:val="DocBody"/>
      </w:pPr>
      <w:r>
        <w:rPr>
          <w:rFonts w:ascii="Times New Roman" w:hAnsi="Times New Roman" w:eastAsia="宋体"/>
          <w:sz w:val="24"/>
        </w:rPr>
        <w:t>STANFORD EXPERT CONTRIBUTORS Dr. Zhenan Bao SETR Faculty Council, K. K. Lee Professor of Chemical Engineering, and Professor, by courtesy, of Materials Science and Engineering and of Chemistry Dr. Felipe da Jornada Assistant Professor of Materials Science and Engineering Dr. Matthew Kanan Professor of Chemistry and Senior Fellow at the Precourt Institute for Energy Dr. Andrew Spakowitz Tang Family Foundation Chair of the Department of Chemical Engineering and Professor of Chemical Engineering and of Materials Science and Engineering Dr. Stefano Cestellos­Blanco SETR Fellow and Postdoctoral Scholar in Chemical Engineering Dr. Lukas Michalek SETR Fellow and Postdoctoral Scholar in Chemical Engineering</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NEUROSCIENCE KEY TAKEAWAYS Advances in human genetics and experimental ° neuroscience, along with computing and neuro­ science theory, have led to some progress in sev­ eral areas, including understanding and treating addiction and neurodegenerative diseases and designing brain–machine interfaces for restoring vision.</w:t>
      </w:r>
    </w:p>
    <w:p>
      <w:pPr>
        <w:pStyle w:val="DocBody"/>
      </w:pPr>
      <w:r>
        <w:rPr>
          <w:rFonts w:ascii="Times New Roman" w:hAnsi="Times New Roman" w:eastAsia="宋体"/>
          <w:sz w:val="24"/>
        </w:rPr>
        <w:t>American leadership is essential for establishing ° and upholding global norms about ethics and human subjects research in neuroscience, but this leadership is slipping with decreased strate­ gic planning and increased foreign investments in the feld.</w:t>
      </w:r>
    </w:p>
    <w:p>
      <w:pPr>
        <w:pStyle w:val="DocBody"/>
      </w:pPr>
      <w:r>
        <w:rPr>
          <w:rFonts w:ascii="Times New Roman" w:hAnsi="Times New Roman" w:eastAsia="宋体"/>
          <w:sz w:val="24"/>
        </w:rPr>
        <w:t>Popular interest in neuroscience vastly exceeds ° the current scientifc understanding of the brain, giving rise to overhyped claims in the public domain that revolutionary advances are just around the corner.</w:t>
      </w:r>
    </w:p>
    <w:p>
      <w:pPr>
        <w:pStyle w:val="DocBody"/>
      </w:pPr>
      <w:r>
        <w:rPr>
          <w:rFonts w:ascii="Times New Roman" w:hAnsi="Times New Roman" w:eastAsia="宋体"/>
          <w:sz w:val="24"/>
        </w:rPr>
        <w:t>Overview Neuroscience is a multidisciplinary feld of study that focuses on the components, functions, and dysfunc­ tions of the brain and our nervous system at every level. It reaches from the earliest stages of embry­ onic development to dysfunctions and degeneration later in life, and its study spans from the individual molecules that shape the functions of a neuron to the complex system dynamics that constitute our thoughts and dictate our behaviors.</w:t>
      </w:r>
    </w:p>
    <w:p>
      <w:pPr>
        <w:pStyle w:val="DocBody"/>
      </w:pPr>
      <w:r>
        <w:rPr>
          <w:rFonts w:ascii="Times New Roman" w:hAnsi="Times New Roman" w:eastAsia="宋体"/>
          <w:sz w:val="24"/>
        </w:rPr>
        <w:t>The human brain consumes 20 to 25 percent of the body’s energy even though it constitutes only a small percentage of a human’s body weight, a fact that underscores its outsize importance.1 The power of the human brain is what has allowed us to become the dominant species on Earth without being the fastest, strongest, or biggest.</w:t>
      </w:r>
    </w:p>
    <w:p>
      <w:pPr>
        <w:pStyle w:val="DocBody"/>
      </w:pPr>
      <w:r>
        <w:rPr>
          <w:rFonts w:ascii="Times New Roman" w:hAnsi="Times New Roman" w:eastAsia="宋体"/>
          <w:sz w:val="24"/>
        </w:rPr>
        <w:t>The brain is unfathomably complex, containing approximately eighty-six billion neurons2—nerve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 engineers and physicists. Just as electrical connec­ tors create a path for electricity to flow through a circuit, neural circuits can be defined by the paral­ lel and recurrent connections between neurons that occur to compute a specific function, such as decid­ ing to move a limb or visually identifying an object.</w:t>
      </w:r>
    </w:p>
    <w:p>
      <w:pPr>
        <w:pStyle w:val="DocBody"/>
      </w:pPr>
      <w:r>
        <w:rPr>
          <w:rFonts w:ascii="Times New Roman" w:hAnsi="Times New Roman" w:eastAsia="宋体"/>
          <w:sz w:val="24"/>
        </w:rPr>
        <w:t>Neurons can also communicate with each other using hormone-like signaling, which is relatively slow but longer lasting compared to fast-acting electric signals. These types of communications underlie mood and behavior states such as sleep/awake and hunger/satiety.</w:t>
      </w:r>
    </w:p>
    <w:p>
      <w:pPr>
        <w:pStyle w:val="DocBody"/>
      </w:pPr>
      <w:r>
        <w:rPr>
          <w:rFonts w:ascii="Times New Roman" w:hAnsi="Times New Roman" w:eastAsia="宋体"/>
          <w:sz w:val="24"/>
        </w:rPr>
        <w:t>Complete understanding of what each neuron is doing at any given time is currently impossible. Even for a mouse brain, which is much simpler than a human brain, it is still a tremendous effort to charac­ terize individual brain regions despite the availability of powerful techniques that allow us to identify activ­ ity in individual neurons or to noninvasively tag cells to respond to light signals.</w:t>
      </w:r>
    </w:p>
    <w:p>
      <w:pPr>
        <w:pStyle w:val="DocBody"/>
      </w:pPr>
      <w:r>
        <w:rPr>
          <w:rFonts w:ascii="Times New Roman" w:hAnsi="Times New Roman" w:eastAsia="宋体"/>
          <w:sz w:val="24"/>
        </w:rPr>
        <w:t>cells that sense the physical world, transmit infor­ mation to the brain, process information, and send information from the brain to other parts of the body.</w:t>
      </w:r>
    </w:p>
    <w:p>
      <w:pPr>
        <w:pStyle w:val="DocBody"/>
      </w:pPr>
      <w:r>
        <w:rPr>
          <w:rFonts w:ascii="Times New Roman" w:hAnsi="Times New Roman" w:eastAsia="宋体"/>
          <w:sz w:val="24"/>
        </w:rPr>
        <w:t>A single neuron can make thousands or tens of thou­ sands of connections to other neurons. These con­ nections are called synapses (see figure 6.1).</w:t>
      </w:r>
    </w:p>
    <w:p>
      <w:pPr>
        <w:pStyle w:val="DocBody"/>
      </w:pPr>
      <w:r>
        <w:rPr>
          <w:rFonts w:ascii="Times New Roman" w:hAnsi="Times New Roman" w:eastAsia="宋体"/>
          <w:sz w:val="24"/>
        </w:rPr>
        <w:t>All of our consciousness and behavior, from the action of stabbing a potato with a fork to contem­ plating the mysteries of the universe, is underpinned by which neurons connect with one another, the neu­ rotransmitter/receptor pairs involved, the strength of the connections, and the electrical properties of the neurons — as well as by how these various fea­ tures change over time.</w:t>
      </w:r>
    </w:p>
    <w:p>
      <w:pPr>
        <w:pStyle w:val="DocBody"/>
      </w:pPr>
      <w:r>
        <w:rPr>
          <w:rFonts w:ascii="Times New Roman" w:hAnsi="Times New Roman" w:eastAsia="宋体"/>
          <w:sz w:val="24"/>
        </w:rPr>
        <w:t>Neurons and synapses function in many ways that are similar to electrical circuits. Indeed, the explo­ ration of the electrical properties of neurons came directly from the same technologies, theories, and equations developed for harnessing electricity.</w:t>
      </w:r>
    </w:p>
    <w:p>
      <w:pPr>
        <w:pStyle w:val="DocBody"/>
      </w:pPr>
      <w:r>
        <w:rPr>
          <w:rFonts w:ascii="Times New Roman" w:hAnsi="Times New Roman" w:eastAsia="宋体"/>
          <w:sz w:val="24"/>
        </w:rPr>
        <w:t>Many pioneering neuroscientists started as electrical Direction of information ﬂow Dendrites Cell body Axon Axon terminal Synapses FIGURE 6.1  Structure of a neuron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06  NEUROSCIENCE</w:t>
      </w:r>
    </w:p>
    <w:p>
      <w:pPr>
        <w:pStyle w:val="DocBody"/>
      </w:pPr>
      <w:r>
        <w:rPr>
          <w:rFonts w:ascii="Times New Roman" w:hAnsi="Times New Roman" w:eastAsia="宋体"/>
          <w:sz w:val="24"/>
        </w:rPr>
        <w:t>Headlines about mind-reading chip implants are . . .</w:t>
      </w:r>
    </w:p>
    <w:p>
      <w:pPr>
        <w:pStyle w:val="DocBody"/>
      </w:pPr>
      <w:r>
        <w:rPr>
          <w:rFonts w:ascii="Times New Roman" w:hAnsi="Times New Roman" w:eastAsia="宋体"/>
          <w:sz w:val="24"/>
        </w:rPr>
        <w:t>still more the realm of science fiction.</w:t>
      </w:r>
    </w:p>
    <w:p>
      <w:pPr>
        <w:pStyle w:val="DocBody"/>
      </w:pPr>
      <w:r>
        <w:rPr>
          <w:rFonts w:ascii="Times New Roman" w:hAnsi="Times New Roman" w:eastAsia="宋体"/>
          <w:sz w:val="24"/>
        </w:rPr>
        <w:t>Over the past several years, however, it has become clear that individual neurons are almost never responsible for any given behavior or computation;</w:t>
      </w:r>
    </w:p>
    <w:p>
      <w:pPr>
        <w:pStyle w:val="DocBody"/>
      </w:pPr>
      <w:r>
        <w:rPr>
          <w:rFonts w:ascii="Times New Roman" w:hAnsi="Times New Roman" w:eastAsia="宋体"/>
          <w:sz w:val="24"/>
        </w:rPr>
        <w:t>instead, they act in parallel, duplicating some func­ tions and combining to determine thoughts and actions. This neural redundancy makes it easier to infer what is going on in the brain more broadly.</w:t>
      </w:r>
    </w:p>
    <w:p>
      <w:pPr>
        <w:pStyle w:val="DocBody"/>
      </w:pPr>
      <w:r>
        <w:rPr>
          <w:rFonts w:ascii="Times New Roman" w:hAnsi="Times New Roman" w:eastAsia="宋体"/>
          <w:sz w:val="24"/>
        </w:rPr>
        <w:t>A particular brain region can be considered like a magnifcent choir of a thousand voices. Sampling just 1 percent of the singers can provide a pretty good idea of the music the overall choir is producing at any given time. Researchers already have the abil­ ity to record from thousands of neurons at a time.</w:t>
      </w:r>
    </w:p>
    <w:p>
      <w:pPr>
        <w:pStyle w:val="DocBody"/>
      </w:pPr>
      <w:r>
        <w:rPr>
          <w:rFonts w:ascii="Times New Roman" w:hAnsi="Times New Roman" w:eastAsia="宋体"/>
          <w:sz w:val="24"/>
        </w:rPr>
        <w:t>This provides useful insight into how a brain func­ tions, even if we don’t understand in detail what the other 99 percent of its neurons are doing.</w:t>
      </w:r>
    </w:p>
    <w:p>
      <w:pPr>
        <w:pStyle w:val="DocBody"/>
      </w:pPr>
      <w:r>
        <w:rPr>
          <w:rFonts w:ascii="Times New Roman" w:hAnsi="Times New Roman" w:eastAsia="宋体"/>
          <w:sz w:val="24"/>
        </w:rPr>
        <w:t>It is important to keep in mind that the pace of neu­ roscientifc discovery is slow and limited by the bio­ logical nature and complexity of the nervous system.</w:t>
      </w:r>
    </w:p>
    <w:p>
      <w:pPr>
        <w:pStyle w:val="DocBody"/>
      </w:pPr>
      <w:r>
        <w:rPr>
          <w:rFonts w:ascii="Times New Roman" w:hAnsi="Times New Roman" w:eastAsia="宋体"/>
          <w:sz w:val="24"/>
        </w:rPr>
        <w:t>Year-over-year advances tend to be incremental.</w:t>
      </w:r>
    </w:p>
    <w:p>
      <w:pPr>
        <w:pStyle w:val="DocBody"/>
      </w:pPr>
      <w:r>
        <w:rPr>
          <w:rFonts w:ascii="Times New Roman" w:hAnsi="Times New Roman" w:eastAsia="宋体"/>
          <w:sz w:val="24"/>
        </w:rPr>
        <w:t>Furthermore, the brain’s complexity often prevents researchers from fully understanding why even effec­ tive treatments for neurological conditions actu­ ally work. For example, we know that drugs called selective serotonin reuptake inhibitors block the reabsorption of serotonin into neurons, but neuro­ scientists do not have a clear explanation for why this helps treat depression. Sometimes, even if a detailed understanding of a treatment’s mechanisms is not essential for therapeutic intervention, knowl­ edge of the underlying biology greatly aids in the search for new drugs and therapies.</w:t>
      </w:r>
    </w:p>
    <w:p>
      <w:pPr>
        <w:pStyle w:val="DocBody"/>
      </w:pPr>
      <w:r>
        <w:rPr>
          <w:rFonts w:ascii="Times New Roman" w:hAnsi="Times New Roman" w:eastAsia="宋体"/>
          <w:sz w:val="24"/>
        </w:rPr>
        <w:t>To gain understanding of how molecules and neu­ rons work, many researchers use simple model organisms like fruit fies and mice to study fundamen­ tal questions inexpensively. But the closer research gets toward human application, the more complex, time-consuming, and expensive it becomes. For instance, because neurodegeneration is a slow, pro­ gressive disease where day-to-day worsening is min­ imal, clinical trials often take many years.</w:t>
      </w:r>
    </w:p>
    <w:p>
      <w:pPr>
        <w:pStyle w:val="DocBody"/>
      </w:pPr>
      <w:r>
        <w:rPr>
          <w:rFonts w:ascii="Times New Roman" w:hAnsi="Times New Roman" w:eastAsia="宋体"/>
          <w:sz w:val="24"/>
        </w:rPr>
        <w:t>Key Developments This chapter focuses on three research areas in neuro­ science that show major promise for concrete appli­ cations: brain–machine interfaces (neuroengineering), degeneration and aging (neurohealth), and the sci­ ence of addiction (neurodiscovery). Most of the eco­ nomic impacts of neuroscience connect in some way to the healthcare industry and its search for treatments for neurodegenerative disorders (such as Alzheimer’s and Parkinson’s disease) and neuropsychiatric disor­ ders (addiction, depression, and schizophrenia) and neural prosthesis (brain–machine interfaces to restore limb function and speech).</w:t>
      </w:r>
    </w:p>
    <w:p>
      <w:pPr>
        <w:pStyle w:val="DocBody"/>
      </w:pPr>
      <w:r>
        <w:rPr>
          <w:rFonts w:ascii="Times New Roman" w:hAnsi="Times New Roman" w:eastAsia="宋体"/>
          <w:sz w:val="24"/>
        </w:rPr>
        <w:t>Neuroengineering and the Development of Brain–Machine Interfaces A brain–machine interface is a device that maps neural impulses from the brain and translates these signals to computers. The potential applications for mature brain–machine interface technologies are wide- ranging: The augmentation of vision, other senses, and physical mobility; direct mind-to-computer interfacing; and computer-assisted memory recall and cognition are all within the theoretical realms of</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possibility. However, headlines about mind-reading chip implants are exaggerated and still more the realm of science fction. Even with tremendous inter­ est and increasing progress in neuroscience and engineering, the necessary theoretical understand­ ing of how neurocircuits work is still limited to only a few areas of the brain. What’s more, the technical problems of safely implanting electrodes have not been solved.</w:t>
      </w:r>
    </w:p>
    <w:p>
      <w:pPr>
        <w:pStyle w:val="DocBody"/>
      </w:pPr>
      <w:r>
        <w:rPr>
          <w:rFonts w:ascii="Times New Roman" w:hAnsi="Times New Roman" w:eastAsia="宋体"/>
          <w:sz w:val="24"/>
        </w:rPr>
        <w:t>One encouraging example of a brain–machine interface is the recent development of an artifcial retina. The retina is the part of the eye that converts light into corresponding electrical signals sent to the brain. People who have certain incurable retinal diseases are blind because the light-detecting cells in their retinas do not work. To restore sight, the Stanford artifcial retina project aims to take video images and use electrodes implanted in the eye to simulate the electronic signals in a pattern that a functional retina would normally produce.3 The project involves recording spontaneous neural activity to identify cell types and their normal sig­ nals, understanding how electrodes activate cells, and stimulating retinal ganglion cells—which collect visual information from photoreceptors in retinas— to represent an image so that this information can be transmitted by the optic nerve to the brain.</w:t>
      </w:r>
    </w:p>
    <w:p>
      <w:pPr>
        <w:pStyle w:val="DocBody"/>
      </w:pPr>
      <w:r>
        <w:rPr>
          <w:rFonts w:ascii="Times New Roman" w:hAnsi="Times New Roman" w:eastAsia="宋体"/>
          <w:sz w:val="24"/>
        </w:rPr>
        <w:t>Solving these technical problems calls for deep knowledge of relevant surgical techniques as well as signifcant engineering know-how in multiple areas;</w:t>
      </w:r>
    </w:p>
    <w:p>
      <w:pPr>
        <w:pStyle w:val="DocBody"/>
      </w:pPr>
      <w:r>
        <w:rPr>
          <w:rFonts w:ascii="Times New Roman" w:hAnsi="Times New Roman" w:eastAsia="宋体"/>
          <w:sz w:val="24"/>
        </w:rPr>
        <w:t>this includes translating the scientifc understand­ ing of the stimulation algorithm used into practical applications, making experimental recordings, and fabricating and packaging the electrode into the device.</w:t>
      </w:r>
    </w:p>
    <w:p>
      <w:pPr>
        <w:pStyle w:val="DocBody"/>
      </w:pPr>
      <w:r>
        <w:rPr>
          <w:rFonts w:ascii="Times New Roman" w:hAnsi="Times New Roman" w:eastAsia="宋体"/>
          <w:sz w:val="24"/>
        </w:rPr>
        <w:t>The artifcial retina project is the most mature brain– machine interface to date in terms of its ability to “read” and “write” information. The retina, a part of the central nervous system, is well suited as an experimental environment because its stimuli (light)</w:t>
      </w:r>
    </w:p>
    <w:p>
      <w:pPr>
        <w:pStyle w:val="DocBody"/>
      </w:pPr>
      <w:r>
        <w:rPr>
          <w:rFonts w:ascii="Times New Roman" w:hAnsi="Times New Roman" w:eastAsia="宋体"/>
          <w:sz w:val="24"/>
        </w:rPr>
        <w:t>is experimentally controllable and can be captured by a digital camera. It is the best-understood neural circuit, and the theory of its function has developed to the point where much of retinal processing can be modeled. Compared to complex cognitive processes like learning and memory—where even the inputs aren’t fully understood—the task of reconstructing vision is more achievable, albeit still challenging.</w:t>
      </w:r>
    </w:p>
    <w:p>
      <w:pPr>
        <w:pStyle w:val="DocBody"/>
      </w:pPr>
      <w:r>
        <w:rPr>
          <w:rFonts w:ascii="Times New Roman" w:hAnsi="Times New Roman" w:eastAsia="宋体"/>
          <w:sz w:val="24"/>
        </w:rPr>
        <w:t>Other brain–machine interfaces are currently being developed, though they are less mature or less ambi­ tious than the artifcial retina project. Some of these decode brain activity without controlling a neural signal. For instance, one interface can translate brain activity in areas controlling motor functions into sig­ nals that can then be sent to an artifcial prosthetic limb. Here, feeding high-dimensional patterns of recorded neural activity into an artifcial intelligence (AI) algorithm can make it possible to control an arti­ fcial limb without requiring direct control of neural functions—a form of control that remains beyond our current scientifc understanding.</w:t>
      </w:r>
    </w:p>
    <w:p>
      <w:pPr>
        <w:pStyle w:val="DocBody"/>
      </w:pPr>
      <w:r>
        <w:rPr>
          <w:rFonts w:ascii="Times New Roman" w:hAnsi="Times New Roman" w:eastAsia="宋体"/>
          <w:sz w:val="24"/>
        </w:rPr>
        <w:t>These demonstrations hint at the prospect of other brain–machine interfaces in the future, such as computer-assisted memory recall, even if the full suite of potential applications is still unclear. The scope and feasibility of these applications will be determined by advances in neuroscientifc theory and by technical solutions to engineering problems such as how to safely and accurately insert probes into deep-layer tissues.</w:t>
      </w:r>
    </w:p>
    <w:p>
      <w:pPr>
        <w:pStyle w:val="DocBody"/>
      </w:pPr>
      <w:r>
        <w:rPr>
          <w:rFonts w:ascii="Times New Roman" w:hAnsi="Times New Roman" w:eastAsia="宋体"/>
          <w:sz w:val="24"/>
        </w:rPr>
        <w:t>Neurohealth and Neurodegeneration Neurodegeneration is a major challenge as humans live longer. Alzheimer’s disease is of particular con­ cern. In the United States alone, the annual cost of treating it is projected to grow from $305 bil­ lion in 2020 to $1 trillion by 2050.4 Diseases like Alzheimer’s and Parkinson’s surge in frequency with age; while just 5 percent of 65- to 74-year-olds have Alzheimer’s, this rises to 33 percent for those over 85 (see fgure 6.2).5 As modern medicine and society enable longer lifespans, the human body and brain remain maladapted to maintaining nervous system function for decades past childbearing age.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06  NEUROSCIENCE</w:t>
      </w:r>
    </w:p>
    <w:p>
      <w:pPr>
        <w:pStyle w:val="DocBody"/>
      </w:pPr>
      <w:r>
        <w:rPr>
          <w:rFonts w:ascii="Times New Roman" w:hAnsi="Times New Roman" w:eastAsia="宋体"/>
          <w:sz w:val="24"/>
        </w:rPr>
        <w:t>Alzheimer’s disease is characterized by the accumu­ lation of two different proteins—amyloid beta and tau—into toxic aggregates. Amyloid beta accumu­ lates outside of neurons, induces cellular stress, and in turn may cause tau to build up inside the neu­ rons. As the brain regions where tau accumulates are those most cognitively impacted, a reasonable consensus exists that tau is the more direct cause of the neural death responsible for dementia.</w:t>
      </w:r>
    </w:p>
    <w:p>
      <w:pPr>
        <w:pStyle w:val="DocBody"/>
      </w:pPr>
      <w:r>
        <w:rPr>
          <w:rFonts w:ascii="Times New Roman" w:hAnsi="Times New Roman" w:eastAsia="宋体"/>
          <w:sz w:val="24"/>
        </w:rPr>
        <w:t>However, despite what is known about neurodegen­ erative diseases such as Alzheimer’s, no drugs can reverse the associated memory loss. Tau remains harder to target therapeutically, and the recently approved drugs target amyloid beta. While these amyloid drugs are very effective in eliminating the amyloid plaques from patient brains, they only mod­ estly slow disease progression. One factor that can improve the outcomes of future clinical trials is to select early-stage patients whose neurons have not yet died, as re-creating memories after neurons have died is not believed to be possible. Efforts are being made to develop techniques for early diagnosis for more effective intervention.</w:t>
      </w:r>
    </w:p>
    <w:p>
      <w:pPr>
        <w:pStyle w:val="DocBody"/>
      </w:pPr>
      <w:r>
        <w:rPr>
          <w:rFonts w:ascii="Times New Roman" w:hAnsi="Times New Roman" w:eastAsia="宋体"/>
          <w:sz w:val="24"/>
        </w:rPr>
        <w:t>Another form of neurodegeneration results from traumatic brain injury (TBI), which can manifest itself in a range of complex symptoms and pathologies.6 Traumatic impact to brain systems can affect cog­ nitive and behavioral functions in ways that lead to long-term and severe psychiatric conditions requir­ ing specialized care. This is particularly evident in the current surge of athletic and military brain injuries that exhibit predominantly psychiatric symptoms.</w:t>
      </w:r>
    </w:p>
    <w:p>
      <w:pPr>
        <w:pStyle w:val="DocBody"/>
      </w:pPr>
      <w:r>
        <w:rPr>
          <w:rFonts w:ascii="Times New Roman" w:hAnsi="Times New Roman" w:eastAsia="宋体"/>
          <w:sz w:val="24"/>
        </w:rPr>
        <w:t>A person’s past medical and psychiatric records, as well as any coexisting conditions, play a vital role in diagnosis and treatment. TBI offers insights into other neuropsychiatric disorders and can pave the way for innovative concepts in neurodegenerative disease.</w:t>
      </w:r>
    </w:p>
    <w:p>
      <w:pPr>
        <w:pStyle w:val="DocBody"/>
      </w:pPr>
      <w:r>
        <w:rPr>
          <w:rFonts w:ascii="Times New Roman" w:hAnsi="Times New Roman" w:eastAsia="宋体"/>
          <w:sz w:val="24"/>
        </w:rPr>
        <w:t>FIGURE 6.2  Alzheimer’s disease surges in frequency with age 5% 0% 10% 15% 20% 25% 30% 35% Percentage of age group with Alzheimer’s 65–74 75–84 85+ Age group Source: Data from “2023 Alzheimer’s Disease Facts and Figures,” Alzheimer’s &amp; Dementia 19, no. 4 (April 2023): 1598–1695, https://doi.org/10.1002/alz.13016</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Neurodiscovery and the Science of Addiction Researchers are working to understand the neural bases of addiction and chronic pain while collabo­ rating with psychiatrists and policymakers to address the opioid epidemic.7 Estimates of the economic costs of that epidemic range from $100 billion to $1 trillion a year when the loss of potential lifetime earnings of overdose victims is included.8 Additional economic losses occur due to depletion of the labor force and the billions spent on the criminal justice system and healthcare related to addiction.9 Beyond economics, there are the signifcant emotional costs to individuals experiencing addiction and their fami­ lies and friends. Death also takes its toll: The number of opioid deaths in  the United States rose from 21,000 in 2010 to 83,000 in 2022,10 placing deaths from opioid overdoses at the same level as those caused by diabetes and Alzheimer’s.11 Overdose deaths from opioids fell by 38 percent between the end of 2023 and the end of the following year,12 but it is unclear if that trend will continue.</w:t>
      </w:r>
    </w:p>
    <w:p>
      <w:pPr>
        <w:pStyle w:val="DocBody"/>
      </w:pPr>
      <w:r>
        <w:rPr>
          <w:rFonts w:ascii="Times New Roman" w:hAnsi="Times New Roman" w:eastAsia="宋体"/>
          <w:sz w:val="24"/>
        </w:rPr>
        <w:t>Many of the most impactful changes for dealing with the societal problems arising from addiction come from public policy interventions and societal shifts, such as raising taxes on tobacco or changing physi­ cians’ prescribing practices for addictive substances such as opioids (see fgure 6.3). Nevertheless, neu­ roscience has a potentially important role to play in addressing addiction. For example, a nonaddictive painkiller drug as effective as current-generation opioids could be transformative.13 Another approach is to leverage neuroscience to identify and target brain states that reinforce addic­ tion or make it more likely. Consider the problem of relapse in tackling addiction. Scientists have found that the brain mechanisms leading to an ini­ tial opioid addiction differ signifcantly from those that trigger a relapse. It turns out that opioid recep­ tors are found in neural circuits related to the desire for social interaction. Stanford neuroscientists have recently identifed a circuit that is responsible for the onset of aversion to social interactions during recov­ ery.14 Such an aversion is a signifcant challenge to recovery because social interactions are often key to helping an individual cope with the vulnerabilities associated with the recovery process. The fnding suggests it may be possible to develop drugs that inhibit social aversion during withdrawal, thereby assisting patients in seeking help or companion­ ship from friends, families, recovery programs, and doctors.</w:t>
      </w:r>
    </w:p>
    <w:p>
      <w:pPr>
        <w:pStyle w:val="DocBody"/>
      </w:pPr>
      <w:r>
        <w:rPr>
          <w:rFonts w:ascii="Times New Roman" w:hAnsi="Times New Roman" w:eastAsia="宋体"/>
          <w:sz w:val="24"/>
        </w:rPr>
        <w:t>The Nature of Neuroscience Applications Contrasting work on artifcial retinas with that on the science of neurodegeneration and addiction illustrates the two primary aspects of neuroscience applications: (1) a scientifc aspect that focuses on identifying relevant brain circuits and understanding how these function and compute; and (2) an engi­ neering aspect that is focused on how to safely use devices to stimulate the relevant brain circuits to create the desired responses.</w:t>
      </w:r>
    </w:p>
    <w:p>
      <w:pPr>
        <w:pStyle w:val="DocBody"/>
      </w:pPr>
      <w:r>
        <w:rPr>
          <w:rFonts w:ascii="Times New Roman" w:hAnsi="Times New Roman" w:eastAsia="宋体"/>
          <w:sz w:val="24"/>
        </w:rPr>
        <w:t>FIGURE 6.3  Opioids prescribed by physicians Source: iStock.com / Johnrob</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06  NEUROSCIENCE</w:t>
      </w:r>
    </w:p>
    <w:p>
      <w:pPr>
        <w:pStyle w:val="DocBody"/>
      </w:pPr>
      <w:r>
        <w:rPr>
          <w:rFonts w:ascii="Times New Roman" w:hAnsi="Times New Roman" w:eastAsia="宋体"/>
          <w:sz w:val="24"/>
        </w:rPr>
        <w:t>As previously noted, there is much about the brain’s anatomy, physiology, and chemistry that is still not well understood, and addressing the theoretical issues in neuroscience is almost exclusively the pur­ view of academia rather than of industry. There are industrial research programs that tackle basic bio­ logical questions in neuroscience, but these are tied to solving problems with a proft motive—usually the development of new drugs.</w:t>
      </w:r>
    </w:p>
    <w:p>
      <w:pPr>
        <w:pStyle w:val="DocBody"/>
      </w:pPr>
      <w:r>
        <w:rPr>
          <w:rFonts w:ascii="Times New Roman" w:hAnsi="Times New Roman" w:eastAsia="宋体"/>
          <w:sz w:val="24"/>
        </w:rPr>
        <w:t>Once the basic science has been developed and a research area approaches an economically viable application, industry does a much better job of developing it. Consequently, helping to smooth the friction of moving a project from academia to industry is crucial to overcoming roadblocks in development. Incubators and accelerators can help transition the fndings of basic research to applications by aiding in high-throughput screen- ing—the use of automated equipment to rapidly test samples—and in prototyping. With viable pro­ totypes, new companies can be created or licenses granted to existing companies to produce a fnal product. Such activities are critical in facilitating the integration of well-understood scientifc theory and technical engineering into fnal applications.</w:t>
      </w:r>
    </w:p>
    <w:p>
      <w:pPr>
        <w:pStyle w:val="DocBody"/>
      </w:pPr>
      <w:r>
        <w:rPr>
          <w:rFonts w:ascii="Times New Roman" w:hAnsi="Times New Roman" w:eastAsia="宋体"/>
          <w:sz w:val="24"/>
        </w:rPr>
        <w:t>Over the Horizon Molecular and Genetic Atlases of the Brain Recent technological advances are transforming neuroscience, enabling scientists to create “bottom­ up” maps of the brain at the molecular and genetic level rather than starting from high-level neuroanat­ omy and behavior (see fgure 6.4). These new brain atlases integrate detailed maps of neuronal wiring that show where different genes are activated in the brain and also highlight electrical recordings from different brain regions, allowing scientists to com­ pare differences between healthy and diseased FIGURE 6.4  A rat hippocampus Source: Gerry Shaw, Wikimedia Commons, 2015, CC BY-SA 3.0</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 hypotheses and therapeutic targets for a broad range of neurological diseases. Coupled with sub­ stantial decreases in the cost of DNA sequencing (in some cases by several orders of magnitude), gene synthesis, and computing capabilities, these new molecular and genetic approaches to study­ ing the brain have been enabled by the National Institutes of Health (NIH) Brain Research Through Advancing Innovative Neurotechnologies (BRAIN)</w:t>
      </w:r>
    </w:p>
    <w:p>
      <w:pPr>
        <w:pStyle w:val="DocBody"/>
      </w:pPr>
      <w:r>
        <w:rPr>
          <w:rFonts w:ascii="Times New Roman" w:hAnsi="Times New Roman" w:eastAsia="宋体"/>
          <w:sz w:val="24"/>
        </w:rPr>
        <w:t>Initiative.</w:t>
      </w:r>
    </w:p>
    <w:p>
      <w:pPr>
        <w:pStyle w:val="DocBody"/>
      </w:pPr>
      <w:r>
        <w:rPr>
          <w:rFonts w:ascii="Times New Roman" w:hAnsi="Times New Roman" w:eastAsia="宋体"/>
          <w:sz w:val="24"/>
        </w:rPr>
        <w:t>Currently, it costs about $2 million to $4 million to create atlases with 100 million cells.17 However, if the aforementioned technological trends continue with federal funding, routine atlassing of the human and the mouse brain at a cost below $10,000 could be possible in the next ten years. Continued invest­ ment in these foundational technologies and data­ sets has the promise to accelerate both fundamental research and translational drug discovery (i.e., the process of moving biomedical knowledge from brains. These atlases have already revealed key insights into the genetic mechanisms of Alzheimer’s and Parkinson’s disease.15 Understanding the genetic mechanisms behind these diseases could enable the development of rationally designed therapeutics to strengthen brain resilience. (Rational drug design refers to understanding the specific biological target of a disease, such as a protein, and then designing a molecule that precisely fits and interacts with it.)</w:t>
      </w:r>
    </w:p>
    <w:p>
      <w:pPr>
        <w:pStyle w:val="DocBody"/>
      </w:pPr>
      <w:r>
        <w:rPr>
          <w:rFonts w:ascii="Times New Roman" w:hAnsi="Times New Roman" w:eastAsia="宋体"/>
          <w:sz w:val="24"/>
        </w:rPr>
        <w:t>Over the past decade and a half, we have advanced from mapping individual cells to creating atlases of 100 million cells in a single scientific study,16 thus accelerating scientific discovery (see figure 6.5).</w:t>
      </w:r>
    </w:p>
    <w:p>
      <w:pPr>
        <w:pStyle w:val="DocBody"/>
      </w:pPr>
      <w:r>
        <w:rPr>
          <w:rFonts w:ascii="Times New Roman" w:hAnsi="Times New Roman" w:eastAsia="宋体"/>
          <w:sz w:val="24"/>
        </w:rPr>
        <w:t>Beyond facilitating insights into Alzheimer’s and Parkinson’s, brain atlases have the potential to become foundational “molecular observatories”</w:t>
      </w:r>
    </w:p>
    <w:p>
      <w:pPr>
        <w:pStyle w:val="DocBody"/>
      </w:pPr>
      <w:r>
        <w:rPr>
          <w:rFonts w:ascii="Times New Roman" w:hAnsi="Times New Roman" w:eastAsia="宋体"/>
          <w:sz w:val="24"/>
        </w:rPr>
        <w:t>for neuroscience, providing a shared resource for academic and industry researchers to chart new Growth of Cell Atlases Over Time Number of cells 100K 10K 10M 1M 100M 1K FIGURE 6.5  There has been an exponential increase in the size of cellular atlases over the past sixteen years Source: See Valentine Svensson, Roser Vento-Tormo, and Sarah A Teichmann, “Exponen­ tial Scaling of Single-Cell RNA-Seq in the Past Decade,” Nature Protocols 13, no. 4 (2018):</w:t>
      </w:r>
    </w:p>
    <w:p>
      <w:pPr>
        <w:pStyle w:val="DocBody"/>
      </w:pPr>
      <w:r>
        <w:rPr>
          <w:rFonts w:ascii="Times New Roman" w:hAnsi="Times New Roman" w:eastAsia="宋体"/>
          <w:sz w:val="24"/>
        </w:rPr>
        <w:t>599–604, https://doi.org/10.1038/nprot.2017.149; and Jesse Zhang et al.,“Tahoe-100M: A Giga-Scale Single-Cell Perturbation Atlas for Context-Dependent Gene Function and Cellular Modeling” bioRxiv 2025.02.20.639398, doi: https://doi.org/10.1101/2025.02.20.639398</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06  NEUROSCIENCE</w:t>
      </w:r>
    </w:p>
    <w:p>
      <w:pPr>
        <w:pStyle w:val="DocBody"/>
      </w:pPr>
      <w:r>
        <w:rPr>
          <w:rFonts w:ascii="Times New Roman" w:hAnsi="Times New Roman" w:eastAsia="宋体"/>
          <w:sz w:val="24"/>
        </w:rPr>
        <w:t>the laboratory to patient care and public health for developing new, effective, and accessible therapies for diseases).</w:t>
      </w:r>
    </w:p>
    <w:p>
      <w:pPr>
        <w:pStyle w:val="DocBody"/>
      </w:pPr>
      <w:r>
        <w:rPr>
          <w:rFonts w:ascii="Times New Roman" w:hAnsi="Times New Roman" w:eastAsia="宋体"/>
          <w:sz w:val="24"/>
        </w:rPr>
        <w:t>Organoid Models of Human Brain Development and Disease Developing new treatments for neurological dis­ eases requires an understanding of underlying disease mechanisms and an ethical way to test potential therapies. Since testing new therapeutics in humans poses ethical challenges, scientists must frst use model organisms, such as mice, to conduct experiments. However, several neurodegenerative diseases, such as Alzheimer’s, are specifc to humans and poorly replicated in other species. Organoid models serve as a promising alternative, enabling human-specifc disease research without direct experimentation on patients.</w:t>
      </w:r>
    </w:p>
    <w:p>
      <w:pPr>
        <w:pStyle w:val="DocBody"/>
      </w:pPr>
      <w:r>
        <w:rPr>
          <w:rFonts w:ascii="Times New Roman" w:hAnsi="Times New Roman" w:eastAsia="宋体"/>
          <w:sz w:val="24"/>
        </w:rPr>
        <w:t>Organoid models, or organoids, are three- dimensional cellular structures that self-assemble under specifc culture conditions to replicate key aspects of human tissue.18 Stem cells are derived from individual patients: Their cells—often skin cells—are harvested and then reprogrammed into stem cells, which are then differentiated into the desired cell type (e.g., neurons) that makes up an organoid. These organoids can then be studied in a dish to better understand the biology of a disease or to screen potential therapies that can slow a disease’s progression. One of the most promising features of organoid models is that they can be personalized to individual patients. This offers unique advantages in several areas, such as, for example, better under­ standing and treatment of rare diseases.</w:t>
      </w:r>
    </w:p>
    <w:p>
      <w:pPr>
        <w:pStyle w:val="DocBody"/>
      </w:pPr>
      <w:r>
        <w:rPr>
          <w:rFonts w:ascii="Times New Roman" w:hAnsi="Times New Roman" w:eastAsia="宋体"/>
          <w:sz w:val="24"/>
        </w:rPr>
        <w:t>Scientists can also transplant organoids into xeno­ grafted mice—genetically immunocompromised rodents with integrated human cells—to study dis­ ease processes in vivo. This is often done to explore how environmental conditions affect neurodegener­ ative diseases (e.g., how physical activity infuences the progression of amyotrophic lateral sclerosis, also known as Lou Gehrig’s disease).19 Such exploration cannot be done in a dish.</w:t>
      </w:r>
    </w:p>
    <w:p>
      <w:pPr>
        <w:pStyle w:val="DocBody"/>
      </w:pPr>
      <w:r>
        <w:rPr>
          <w:rFonts w:ascii="Times New Roman" w:hAnsi="Times New Roman" w:eastAsia="宋体"/>
          <w:sz w:val="24"/>
        </w:rPr>
        <w:t>Recent guidance from the US Food and Drug Administration has recommended reducing the use of mice in drug testing,20 opening the door for new approaches, such as organoid models and xeno­ grafted mice, to prove therapeutic safety and effcacy.</w:t>
      </w:r>
    </w:p>
    <w:p>
      <w:pPr>
        <w:pStyle w:val="DocBody"/>
      </w:pPr>
      <w:r>
        <w:rPr>
          <w:rFonts w:ascii="Times New Roman" w:hAnsi="Times New Roman" w:eastAsia="宋体"/>
          <w:sz w:val="24"/>
        </w:rPr>
        <w:t>However, there are not yet clear legal and ethical standards for research involving xenografted mice.</w:t>
      </w:r>
    </w:p>
    <w:p>
      <w:pPr>
        <w:pStyle w:val="DocBody"/>
      </w:pPr>
      <w:r>
        <w:rPr>
          <w:rFonts w:ascii="Times New Roman" w:hAnsi="Times New Roman" w:eastAsia="宋体"/>
          <w:sz w:val="24"/>
        </w:rPr>
        <w:t>This is an area where collective discussions between scientists can help to provide greater clarity. While using organoids is becoming a very useful way to study human cells in a dish, it remains an artifcial system and is unlikely to replace the role of mice in the understanding of neuroscience and beyond.</w:t>
      </w:r>
    </w:p>
    <w:p>
      <w:pPr>
        <w:pStyle w:val="DocBody"/>
      </w:pPr>
      <w:r>
        <w:rPr>
          <w:rFonts w:ascii="Times New Roman" w:hAnsi="Times New Roman" w:eastAsia="宋体"/>
          <w:sz w:val="24"/>
        </w:rPr>
        <w:t>Alzheimer’s Disease Detection and Treatment The potential for early detection prior to the onset of cognitive impairment is higher than it has ever been before. Current-generation diagnostic tools now include the ability to cheaply test for biomarkers from blood plasma paired with more accurate but expensive spinal taps and positron emission tomog­ raphy (PET), which scans for toxic tau and amyloid buildup. A rollout of mass blood-plasma screening, along with confrmation using more expensive tests, might mean the anti-amyloid drugs could be applied before cell death and clinical symptoms manifest themselves, possibly increasing their effectiveness.</w:t>
      </w:r>
    </w:p>
    <w:p>
      <w:pPr>
        <w:pStyle w:val="DocBody"/>
      </w:pPr>
      <w:r>
        <w:rPr>
          <w:rFonts w:ascii="Times New Roman" w:hAnsi="Times New Roman" w:eastAsia="宋体"/>
          <w:sz w:val="24"/>
        </w:rPr>
        <w:t>Neuroscience and AI As understanding of the mathematics of our neural computations increases, these computational models may have direct relevance to AI. In particular, machine learning requires vast training datasets. By contrast, humans can learn languages with a small fraction of the training data that AI models require (for more discussion of this point, please refer to chapter 1, on artifcial intelligence). A better understanding of the mathematical principles that defne how human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brains compute may therefore improve AI. The melding of neuroscience theory and AI is a topic of increasing interest under the umbrella of Stanford’s Wu Tsai Neurosciences Institute.21 Policy Issues Disconnect Between Public Interest and Capability The brain is perhaps the least understood, yet most important, organ in the human body. Demand for neuroscience research advances and appli­ cations—including understanding brain circuitry, developing new drugs, treating diseases and dis­ orders, and creating brain–machine interfaces—is therefore expected to continue to grow consid­ erably over the coming years. The Society for Neuroscience’s annual meeting draws close to thirty thousand attendees.22 Science fction and fantastical headlines fuel beliefs that mind-reading technology, brains controlled by computers, and other dystopias are imminent. In reality, work to comprehend the brain’s stagger­ ing complexity remains in its early stages. Most advances involve incremental progress, expanding our theoretical foundations rather than produc­ ing revolutionary leaps to futuristic applications.</w:t>
      </w:r>
    </w:p>
    <w:p>
      <w:pPr>
        <w:pStyle w:val="DocBody"/>
      </w:pPr>
      <w:r>
        <w:rPr>
          <w:rFonts w:ascii="Times New Roman" w:hAnsi="Times New Roman" w:eastAsia="宋体"/>
          <w:sz w:val="24"/>
        </w:rPr>
        <w:t>This vast gap between public expectations and scientifc reality creates an environment ripe for exploitation. Impatience for solutions to pressing medical problems like dementia and mental illness leaves many open to dubious proclamations or pseudoscience.</w:t>
      </w:r>
    </w:p>
    <w:p>
      <w:pPr>
        <w:pStyle w:val="DocBody"/>
      </w:pPr>
      <w:r>
        <w:rPr>
          <w:rFonts w:ascii="Times New Roman" w:hAnsi="Times New Roman" w:eastAsia="宋体"/>
          <w:sz w:val="24"/>
        </w:rPr>
        <w:t>The Impact of Cognitive and Behavioral Neuroscience on Law Cognitive and behavioral neuroscience, which stud­ ies the biological basis of thoughts and actions, has broad implications for public policy. For exam­ ple, a basic aspect of criminal law is the nature and extent of an individual’s responsibility for a criminal act. Under a 2005 US Supreme Court ruling, minors under eighteen years of age cannot be subject to the death penalty for crimes they have committed, because adolescent brains are not fully developed, which puts minors at higher risk of impulsive, irratio­ nal thoughts and behaviors.23 Funding Cuts to Transformative Neuroscience Over the past decade, much of the work outlined in this chapter was funded by the BRAIN Initiative.</w:t>
      </w:r>
    </w:p>
    <w:p>
      <w:pPr>
        <w:pStyle w:val="DocBody"/>
      </w:pPr>
      <w:r>
        <w:rPr>
          <w:rFonts w:ascii="Times New Roman" w:hAnsi="Times New Roman" w:eastAsia="宋体"/>
          <w:sz w:val="24"/>
        </w:rPr>
        <w:t>Science fiction and fantastical headlines fuel beliefs that mind-reading technology, brains controlled by computers, and other dystopias are imminent. In reality, work to comprehend the brain’s staggering complexity remains in its early stages.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06  NEUROSCIENCE</w:t>
      </w:r>
    </w:p>
    <w:p>
      <w:pPr>
        <w:pStyle w:val="DocBody"/>
      </w:pPr>
      <w:r>
        <w:rPr>
          <w:rFonts w:ascii="Times New Roman" w:hAnsi="Times New Roman" w:eastAsia="宋体"/>
          <w:sz w:val="24"/>
        </w:rPr>
        <w:t>Starting in 2014, this initiative aims to be the equivalent of the Human Genome Project for the human brain. Research from the BRAIN Initiative has helped neuroscience generate advances that aid specifcally in translating science to medicine.</w:t>
      </w:r>
    </w:p>
    <w:p>
      <w:pPr>
        <w:pStyle w:val="DocBody"/>
      </w:pPr>
      <w:r>
        <w:rPr>
          <w:rFonts w:ascii="Times New Roman" w:hAnsi="Times New Roman" w:eastAsia="宋体"/>
          <w:sz w:val="24"/>
        </w:rPr>
        <w:t>In 2024, however, the initiative’s budget was cut by 40 percent, from $680 million to $402 million.</w:t>
      </w:r>
    </w:p>
    <w:p>
      <w:pPr>
        <w:pStyle w:val="DocBody"/>
      </w:pPr>
      <w:r>
        <w:rPr>
          <w:rFonts w:ascii="Times New Roman" w:hAnsi="Times New Roman" w:eastAsia="宋体"/>
          <w:sz w:val="24"/>
        </w:rPr>
        <w:t>The decline was due to a combination of reduced funding from the NIH and through the 21st Century Cures Act. Funding through that legislation fell by an additional $81 million in 2025.24 Without addi­ tional fnancial support through the NIH, neurosci­ ence research in the United States and the country’s ability to tackle some of the most societally impact­ ful diseases will decline.</w:t>
      </w:r>
    </w:p>
    <w:p>
      <w:pPr>
        <w:pStyle w:val="DocBody"/>
      </w:pPr>
      <w:r>
        <w:rPr>
          <w:rFonts w:ascii="Times New Roman" w:hAnsi="Times New Roman" w:eastAsia="宋体"/>
          <w:sz w:val="24"/>
        </w:rPr>
        <w:t>Foreign Collaboration Human expertise will continue to be the primary driver of future advances in neuroscience, and suc­ cess will continue to depend on the United States being the best place for international scientists to train, conduct research, and use their own exper­ tise to teach the next generation of scientists.</w:t>
      </w:r>
    </w:p>
    <w:p>
      <w:pPr>
        <w:pStyle w:val="DocBody"/>
      </w:pPr>
      <w:r>
        <w:rPr>
          <w:rFonts w:ascii="Times New Roman" w:hAnsi="Times New Roman" w:eastAsia="宋体"/>
          <w:sz w:val="24"/>
        </w:rPr>
        <w:t>Against this backdrop, the apparent targeting of US scientists with personal and professional links to China raises concerns,25 and the United States only loses if these scientists leave and move their labs to China.</w:t>
      </w:r>
    </w:p>
    <w:p>
      <w:pPr>
        <w:pStyle w:val="DocBody"/>
      </w:pPr>
      <w:r>
        <w:rPr>
          <w:rFonts w:ascii="Times New Roman" w:hAnsi="Times New Roman" w:eastAsia="宋体"/>
          <w:sz w:val="24"/>
        </w:rPr>
        <w:t>Another concern is intellectual property protection.</w:t>
      </w:r>
    </w:p>
    <w:p>
      <w:pPr>
        <w:pStyle w:val="DocBody"/>
      </w:pPr>
      <w:r>
        <w:rPr>
          <w:rFonts w:ascii="Times New Roman" w:hAnsi="Times New Roman" w:eastAsia="宋体"/>
          <w:sz w:val="24"/>
        </w:rPr>
        <w:t>Nearly 80 percent of US biotech companies currently outsource research to Chinese biotechnology frms, such as WuXi AppTec, which offer lower labor costs and beneft from an expanding domestic scientifc workforce.26 Future US leadership in biotechnology will require carefully managing intellectual property risk;27 increasing investment in technologies that improve scientifc productivity in the United States;</w:t>
      </w:r>
    </w:p>
    <w:p>
      <w:pPr>
        <w:pStyle w:val="DocBody"/>
      </w:pPr>
      <w:r>
        <w:rPr>
          <w:rFonts w:ascii="Times New Roman" w:hAnsi="Times New Roman" w:eastAsia="宋体"/>
          <w:sz w:val="24"/>
        </w:rPr>
        <w:t>funding fundamental neuroscience research; and retaining the top US-trained, foreign-born scientists as part of the US scientifc workforce.</w:t>
      </w:r>
    </w:p>
    <w:p>
      <w:pPr>
        <w:pStyle w:val="DocBody"/>
      </w:pPr>
      <w:r>
        <w:rPr>
          <w:rFonts w:ascii="Times New Roman" w:hAnsi="Times New Roman" w:eastAsia="宋体"/>
          <w:sz w:val="24"/>
        </w:rPr>
        <w:t>Ethical Frameworks Neuroscience research naturally raises many ethi­ cal concerns that merit careful, ongoing discussion and monitoring. Chief among these is research on human subjects, which is governed by several existing frameworks and regulations that guide neuroscience studies in American academia today.</w:t>
      </w:r>
    </w:p>
    <w:p>
      <w:pPr>
        <w:pStyle w:val="DocBody"/>
      </w:pPr>
      <w:r>
        <w:rPr>
          <w:rFonts w:ascii="Times New Roman" w:hAnsi="Times New Roman" w:eastAsia="宋体"/>
          <w:sz w:val="24"/>
        </w:rPr>
        <w:t>Ethical guidelines for scientifc research are usually national, not international. Some countries might allow particular types of brain research and drugs, while others might not; for example, a nation might permit experimentation on prisoners or on ethnic minorities. Managing differences in state research regimes will be critical to harnessing the power of international collaboration.</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Marcus E. Raichle and Debra A. Gusnard, “Appraising the Brain’s Energy Budget,” Proceedings of the National Academy of Sciences 99, no. 16 (July 2002): 10237–39.</w:t>
      </w:r>
    </w:p>
    <w:p>
      <w:pPr>
        <w:pStyle w:val="DocBody"/>
        <w:ind w:left="765"/>
      </w:pPr>
      <w:r>
        <w:rPr>
          <w:rFonts w:ascii="Times New Roman" w:hAnsi="Times New Roman" w:eastAsia="宋体"/>
          <w:sz w:val="24"/>
        </w:rPr>
        <w:t>Frederico A. C. Azevedo, Ludmila R. B. Carvalho, Lea T.</w:t>
      </w:r>
    </w:p>
    <w:p>
      <w:pPr>
        <w:pStyle w:val="DocBody"/>
      </w:pPr>
      <w:r>
        <w:rPr>
          <w:rFonts w:ascii="Times New Roman" w:hAnsi="Times New Roman" w:eastAsia="宋体"/>
          <w:sz w:val="24"/>
        </w:rPr>
        <w:t>Grinberg, et al., “Equal Numbers of Neuronal and Nonneuronal Cells Make the Human Brain an Isometrically Scaled-up Primate Brain,” The Journal of Comparative Neurology 513, no. 5 (2009):</w:t>
      </w:r>
    </w:p>
    <w:p>
      <w:pPr>
        <w:pStyle w:val="DocBody"/>
      </w:pPr>
      <w:r>
        <w:rPr>
          <w:rFonts w:ascii="Times New Roman" w:hAnsi="Times New Roman" w:eastAsia="宋体"/>
          <w:sz w:val="24"/>
        </w:rPr>
        <w:t>532–41, https://doi.org/10.1002/cne.21974.</w:t>
      </w:r>
    </w:p>
    <w:p>
      <w:pPr>
        <w:pStyle w:val="DocBody"/>
        <w:ind w:left="765"/>
      </w:pPr>
      <w:r>
        <w:rPr>
          <w:rFonts w:ascii="Times New Roman" w:hAnsi="Times New Roman" w:eastAsia="宋体"/>
          <w:sz w:val="24"/>
        </w:rPr>
        <w:t>Stanford Medicine, “The Stanford Artifcial Retina Project,”</w:t>
      </w:r>
    </w:p>
    <w:p>
      <w:pPr>
        <w:pStyle w:val="DocBody"/>
      </w:pPr>
      <w:r>
        <w:rPr>
          <w:rFonts w:ascii="Times New Roman" w:hAnsi="Times New Roman" w:eastAsia="宋体"/>
          <w:sz w:val="24"/>
        </w:rPr>
        <w:t>accessed August 30, 2023, https://med.stanford.edu/artifcial -retina.html.</w:t>
      </w:r>
    </w:p>
    <w:p>
      <w:pPr>
        <w:pStyle w:val="DocBody"/>
        <w:ind w:left="765"/>
      </w:pPr>
      <w:r>
        <w:rPr>
          <w:rFonts w:ascii="Times New Roman" w:hAnsi="Times New Roman" w:eastAsia="宋体"/>
          <w:sz w:val="24"/>
        </w:rPr>
        <w:t>Winston Wong, “Economic Burden of Alzheimer Disease and Managed Care Considerations,” American Journal of Man­ aged Care 26, no. 8 (2020): S177–83, https://doi.org/10.37765 /ajmc.2020.88482.</w:t>
      </w:r>
    </w:p>
    <w:p>
      <w:pPr>
        <w:pStyle w:val="DocBody"/>
        <w:ind w:left="765"/>
      </w:pPr>
      <w:r>
        <w:rPr>
          <w:rFonts w:ascii="Times New Roman" w:hAnsi="Times New Roman" w:eastAsia="宋体"/>
          <w:sz w:val="24"/>
        </w:rPr>
        <w:t>Alzheimer’s Association, “2023 Alzheimer’s Disease Facts and Figures,” March 14, 2023, https://doi.org/10.1002/alz.13016;</w:t>
      </w:r>
    </w:p>
    <w:p>
      <w:pPr>
        <w:pStyle w:val="DocBody"/>
      </w:pPr>
      <w:r>
        <w:rPr>
          <w:rFonts w:ascii="Times New Roman" w:hAnsi="Times New Roman" w:eastAsia="宋体"/>
          <w:sz w:val="24"/>
        </w:rPr>
        <w:t>A. W. Willis, E. Roberts, J. C. Beck, et al., “Incidence of Parkinson’s Disease in North America,” Parkinson’s Disease 8, no. 170 (2022), https://doi.org/10.1038/s41531-022-00410-y.</w:t>
      </w:r>
    </w:p>
    <w:p>
      <w:pPr>
        <w:pStyle w:val="DocBody"/>
        <w:ind w:left="765"/>
      </w:pPr>
      <w:r>
        <w:rPr>
          <w:rFonts w:ascii="Times New Roman" w:hAnsi="Times New Roman" w:eastAsia="宋体"/>
          <w:sz w:val="24"/>
        </w:rPr>
        <w:t>Vassilis E. Koliatsos and Vani Rao, “The Behavioral Neuroscience of Traumatic Brain Injury,” Psychiatric Clinics of North America 43, no. 2 (2020): 305–30, https://doi.org/10.1016/j.psc.2020.02.009.</w:t>
      </w:r>
    </w:p>
    <w:p>
      <w:pPr>
        <w:pStyle w:val="DocBody"/>
        <w:ind w:left="765"/>
      </w:pPr>
      <w:r>
        <w:rPr>
          <w:rFonts w:ascii="Times New Roman" w:hAnsi="Times New Roman" w:eastAsia="宋体"/>
          <w:sz w:val="24"/>
        </w:rPr>
        <w:t>Wu Tsai Neurosciences Institute, “NeuroChoice Initiative (Phase 2),” Stanford University, accessed August 30, 2023, https://neuroscience.stanford.edu/research/funded-research /neurochoice.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ind w:left="765"/>
      </w:pPr>
      <w:r>
        <w:rPr>
          <w:rFonts w:ascii="Times New Roman" w:hAnsi="Times New Roman" w:eastAsia="宋体"/>
          <w:sz w:val="24"/>
        </w:rPr>
        <w:t>Low end: “The High Price of the Opioid Crisis, 2021,” info- graphic, the Pew Charitable Trusts, August 27, 2021, https://www .pewtrusts.org/en/research-and-analysis/data-visualizations/2021 /the-high-price-of-the-opioid-crisis-2021. High end: Feijin Luo, Mengyao Li, and Curtis Florence, “State-Level Economic Costs of Opioid Use Disorder and Fatal Opioid Overdose—United States, 2017,” Morbidity and Mortality Weekly Report 70, no. 15 (2021):</w:t>
      </w:r>
    </w:p>
    <w:p>
      <w:pPr>
        <w:pStyle w:val="DocBody"/>
      </w:pPr>
      <w:r>
        <w:rPr>
          <w:rFonts w:ascii="Times New Roman" w:hAnsi="Times New Roman" w:eastAsia="宋体"/>
          <w:sz w:val="24"/>
        </w:rPr>
        <w:t>541–46, http://dx.doi.org/10.15585/mmwr.mm7015a1.</w:t>
      </w:r>
    </w:p>
    <w:p>
      <w:pPr>
        <w:pStyle w:val="DocBody"/>
        <w:ind w:left="765"/>
      </w:pPr>
      <w:r>
        <w:rPr>
          <w:rFonts w:ascii="Times New Roman" w:hAnsi="Times New Roman" w:eastAsia="宋体"/>
          <w:sz w:val="24"/>
        </w:rPr>
        <w:t>“National Drug Threat Assessment, 2011,” Offce of Jus­ tice Programs, US Department of Justice, August 2011, https:// www.ojp.gov/ncjrs/virtual-library/abstracts/national-drug-threat -assessment-2011.</w:t>
      </w:r>
    </w:p>
    <w:p>
      <w:pPr>
        <w:pStyle w:val="DocBody"/>
        <w:ind w:left="765"/>
      </w:pPr>
      <w:r>
        <w:rPr>
          <w:rFonts w:ascii="Times New Roman" w:hAnsi="Times New Roman" w:eastAsia="宋体"/>
          <w:sz w:val="24"/>
        </w:rPr>
        <w:t>“Drug Overdose Deaths: Facts and Figures,” National Institute on Drug Abuse, National Institutes of Health, August 2024, https:// nida.nih.gov/research-topics/trends-statistics/overdose-death -rates.</w:t>
      </w:r>
    </w:p>
    <w:p>
      <w:pPr>
        <w:pStyle w:val="DocBody"/>
        <w:ind w:left="765"/>
      </w:pPr>
      <w:r>
        <w:rPr>
          <w:rFonts w:ascii="Times New Roman" w:hAnsi="Times New Roman" w:eastAsia="宋体"/>
          <w:sz w:val="24"/>
        </w:rPr>
        <w:t>Overdose included in the accidental death statistic in “Lead­ ing Causes of Death,” National Health Statistics, US Centers for Disease Control and Prevention, last modifed May 2, 2024, https://www.cdc.gov/nchs/fastats/leading-causes-of-death.htm.</w:t>
      </w:r>
    </w:p>
    <w:p>
      <w:pPr>
        <w:pStyle w:val="DocBody"/>
        <w:ind w:left="765"/>
      </w:pPr>
      <w:r>
        <w:rPr>
          <w:rFonts w:ascii="Times New Roman" w:hAnsi="Times New Roman" w:eastAsia="宋体"/>
          <w:sz w:val="24"/>
        </w:rPr>
        <w:t>“Provisional Drug Overdose Death Counts,” Vital Statistics Rapid Release, National Center for Health Statistics, US Centers for Disease Control and Prevention, accessed August 26, 2025, https://www.cdc.gov/nchs/nvss/vsrr/drug-overdose-data.htm.</w:t>
      </w:r>
    </w:p>
    <w:p>
      <w:pPr>
        <w:pStyle w:val="DocBody"/>
        <w:ind w:left="765"/>
      </w:pPr>
      <w:r>
        <w:rPr>
          <w:rFonts w:ascii="Times New Roman" w:hAnsi="Times New Roman" w:eastAsia="宋体"/>
          <w:sz w:val="24"/>
        </w:rPr>
        <w:t>“FDA Takes Steps Aimed at Fostering Development of Non- Addictive Alternatives to Opioids for Acute Pain Management,”</w:t>
      </w:r>
    </w:p>
    <w:p>
      <w:pPr>
        <w:pStyle w:val="DocBody"/>
      </w:pPr>
      <w:r>
        <w:rPr>
          <w:rFonts w:ascii="Times New Roman" w:hAnsi="Times New Roman" w:eastAsia="宋体"/>
          <w:sz w:val="24"/>
        </w:rPr>
        <w:t>US Food and Drug Administration, February 9, 2022, https://www .fda.gov/news-events/press-announcements/fda-takes-steps -aimed-fostering-development-non-addictive-alternatives-opioids -acute-pain-management.</w:t>
      </w:r>
    </w:p>
    <w:p>
      <w:pPr>
        <w:pStyle w:val="DocBody"/>
        <w:ind w:left="765"/>
      </w:pPr>
      <w:r>
        <w:rPr>
          <w:rFonts w:ascii="Times New Roman" w:hAnsi="Times New Roman" w:eastAsia="宋体"/>
          <w:sz w:val="24"/>
        </w:rPr>
        <w:t>Gordy Slack, “Social Aversion During Opioid Withdrawal Refects Blocked Serotonin Cues, Mouse Study Finds,” Wu Tsai Neurosciences Institute, Stanford University, November 2, 2022, https://neuroscience.stanford.edu/news/social-aversion-during -opioid-withdrawal-refects-blocked-serotonin-cues-mouse-study -fnds.</w:t>
      </w:r>
    </w:p>
    <w:p>
      <w:pPr>
        <w:pStyle w:val="DocBody"/>
        <w:ind w:left="765"/>
      </w:pPr>
      <w:r>
        <w:rPr>
          <w:rFonts w:ascii="Times New Roman" w:hAnsi="Times New Roman" w:eastAsia="宋体"/>
          <w:sz w:val="24"/>
        </w:rPr>
        <w:t>Mariano I. Gabitto, Kyle J. Travaglini, Victoria M. Rachleff, et al., “Integrated Multimodal Cell Atlas of Alzheimer’s Disease,”</w:t>
      </w:r>
    </w:p>
    <w:p>
      <w:pPr>
        <w:pStyle w:val="DocBody"/>
      </w:pPr>
      <w:r>
        <w:rPr>
          <w:rFonts w:ascii="Times New Roman" w:hAnsi="Times New Roman" w:eastAsia="宋体"/>
          <w:sz w:val="24"/>
        </w:rPr>
        <w:t>Nature Neuroscience 27, no. 12 (2024): 2366–83, https://doi.org /101038/s41593-024-01774-5; Tushar Kamath, Abdulraouf Abdul­ raouf, S. J. Burris, et al., “Single-Cell Genomic Profling of Human Dopamine Neurons Identifes a Population That Selectively Degen­ erates in Parkinson’s Disease,” Nature Neuroscience 25, no.  5 (2022): 588–95, https://doi.org/10.1038/s41593-022-01061-1.</w:t>
      </w:r>
    </w:p>
    <w:p>
      <w:pPr>
        <w:pStyle w:val="DocBody"/>
        <w:ind w:left="765"/>
      </w:pPr>
      <w:r>
        <w:rPr>
          <w:rFonts w:ascii="Times New Roman" w:hAnsi="Times New Roman" w:eastAsia="宋体"/>
          <w:sz w:val="24"/>
        </w:rPr>
        <w:t>Fuchou Tang, Catalin Barbacioru, Ying Wang, et al., “mRNA- Seq Whole-Transcriptome Analysis of a Single Cell,” Nature Methods 6 (2009): 377–82, https://doi.org/10.1038/nmeth.1315;</w:t>
      </w:r>
    </w:p>
    <w:p>
      <w:pPr>
        <w:pStyle w:val="DocBody"/>
      </w:pPr>
      <w:r>
        <w:rPr>
          <w:rFonts w:ascii="Times New Roman" w:hAnsi="Times New Roman" w:eastAsia="宋体"/>
          <w:sz w:val="24"/>
        </w:rPr>
        <w:t>Jesse Zhang et al., “Tahoe-100M: A Giga-Scale Single-Cell Pertur­ bation Atlas for Context-Dependent Gene Function and Cellular Modeling,” preprint, bioRxiv, February 20, 2025. https://doi.org /10.1101/2025.02.20.639398.</w:t>
      </w:r>
    </w:p>
    <w:p>
      <w:pPr>
        <w:pStyle w:val="DocBody"/>
        <w:ind w:left="765"/>
      </w:pPr>
      <w:r>
        <w:rPr>
          <w:rFonts w:ascii="Times New Roman" w:hAnsi="Times New Roman" w:eastAsia="宋体"/>
          <w:sz w:val="24"/>
        </w:rPr>
        <w:t>Anna Elz et al., “Evaluating the Practical Aspects and Per­ formance of Commercial Single-Cell RNA Sequencing Tech­ nologies,” preprint, bioRxiv, May 19, 2025, https://doi.org /10.1101/2025.05.19.654974.</w:t>
      </w:r>
    </w:p>
    <w:p>
      <w:pPr>
        <w:pStyle w:val="DocBody"/>
        <w:ind w:left="765"/>
      </w:pPr>
      <w:r>
        <w:rPr>
          <w:rFonts w:ascii="Times New Roman" w:hAnsi="Times New Roman" w:eastAsia="宋体"/>
          <w:sz w:val="24"/>
        </w:rPr>
        <w:t>Zixuan Zhao, Xinyi Chen, Anna M. Dowbaj, et al., “Organ­ oids,” Nature Reviews Methods Primers 2, no. 1 (2022): 94, https:// doi.org/10.1038/s43586-022-00174-y.</w:t>
      </w:r>
    </w:p>
    <w:p>
      <w:pPr>
        <w:pStyle w:val="DocBody"/>
        <w:ind w:left="765"/>
      </w:pPr>
      <w:r>
        <w:rPr>
          <w:rFonts w:ascii="Times New Roman" w:hAnsi="Times New Roman" w:eastAsia="宋体"/>
          <w:sz w:val="24"/>
        </w:rPr>
        <w:t>Laura Chapman, Johnathan Cooper-Knock, and Pamela J.</w:t>
      </w:r>
    </w:p>
    <w:p>
      <w:pPr>
        <w:pStyle w:val="DocBody"/>
      </w:pPr>
      <w:r>
        <w:rPr>
          <w:rFonts w:ascii="Times New Roman" w:hAnsi="Times New Roman" w:eastAsia="宋体"/>
          <w:sz w:val="24"/>
        </w:rPr>
        <w:t>Shaw, “Physical Activity as an Exogenous Risk Factor for Amyo­ trophic Lateral Sclerosis: A Review of the Evidence,” Brain 146, no. 5 (2023): 1532–47, https://doi.org/10.1093/brain/awac470.</w:t>
      </w:r>
    </w:p>
    <w:p>
      <w:pPr>
        <w:pStyle w:val="DocBody"/>
        <w:ind w:left="765"/>
      </w:pPr>
      <w:r>
        <w:rPr>
          <w:rFonts w:ascii="Times New Roman" w:hAnsi="Times New Roman" w:eastAsia="宋体"/>
          <w:sz w:val="24"/>
        </w:rPr>
        <w:t>“FDA Announces Plan to Phase Out Animal Testing Require­ ment for Monoclonal Antibodies and Other Drugs,” press release, US Food and Drug Administration, April 10, 2025, https://www .fda.gov/news-events/press-announcements/fda-announces -plan-phase-out-animal-testing-requirement-monoclonal -antibodies-and-other-drugs.</w:t>
      </w:r>
    </w:p>
    <w:p>
      <w:pPr>
        <w:pStyle w:val="DocBody"/>
        <w:ind w:left="765"/>
      </w:pPr>
      <w:r>
        <w:rPr>
          <w:rFonts w:ascii="Times New Roman" w:hAnsi="Times New Roman" w:eastAsia="宋体"/>
          <w:sz w:val="24"/>
        </w:rPr>
        <w:t>“Center for Mind, Brain, Computation, and Technology,” Wu Tsai Neurosciences Institute, Stanford University, accessed Octo­ ber 14, 2024, https://neuroscience.stanford.edu/initiatives-centers /center-mind-brain-computation-and-technology.</w:t>
      </w:r>
    </w:p>
    <w:p>
      <w:pPr>
        <w:pStyle w:val="DocBody"/>
        <w:ind w:left="765"/>
      </w:pPr>
      <w:r>
        <w:rPr>
          <w:rFonts w:ascii="Times New Roman" w:hAnsi="Times New Roman" w:eastAsia="宋体"/>
          <w:sz w:val="24"/>
        </w:rPr>
        <w:t>“Attendance Statistics: Meeting Attendance,” Society for Neu­ roscience, accessed August 30, 2023, https://www.sfn.org/meetings /attendance-statistics.</w:t>
      </w:r>
    </w:p>
    <w:p>
      <w:pPr>
        <w:pStyle w:val="DocBody"/>
        <w:ind w:left="765"/>
      </w:pPr>
      <w:r>
        <w:rPr>
          <w:rFonts w:ascii="Times New Roman" w:hAnsi="Times New Roman" w:eastAsia="宋体"/>
          <w:sz w:val="24"/>
        </w:rPr>
        <w:t>Roper v. Simmons, 543 U.S. 551 (2005), https://supreme .justia.com/cases/federal/us/543/551/.</w:t>
      </w:r>
    </w:p>
    <w:p>
      <w:pPr>
        <w:pStyle w:val="DocBody"/>
        <w:ind w:left="765"/>
      </w:pPr>
      <w:r>
        <w:rPr>
          <w:rFonts w:ascii="Times New Roman" w:hAnsi="Times New Roman" w:eastAsia="宋体"/>
          <w:sz w:val="24"/>
        </w:rPr>
        <w:t>“Understanding the BRAIN Initiative Budget,” National Insti­ tutes of Health, the BRAIN Initiative, last reviewed March 25, 2025, https://braininitiative.nih.gov/funding/understanding-brain -initiative-budget.</w:t>
      </w:r>
    </w:p>
    <w:p>
      <w:pPr>
        <w:pStyle w:val="DocBody"/>
        <w:ind w:left="765"/>
      </w:pPr>
      <w:r>
        <w:rPr>
          <w:rFonts w:ascii="Times New Roman" w:hAnsi="Times New Roman" w:eastAsia="宋体"/>
          <w:sz w:val="24"/>
        </w:rPr>
        <w:t>Jeffrey Mervis, “Pall of Suspicion: The National Institutes of Health’s ‘China Initiative’ Has Upended Hundreds of Lives and Destroyed Scores of Academic Careers,” Science, March 23, 2023, https://www.science.org/content/article/pall-suspicion-nihs -secretive-china-initiative-destroyed-scores-academic-careers.</w:t>
      </w:r>
    </w:p>
    <w:p>
      <w:pPr>
        <w:pStyle w:val="DocBody"/>
        <w:ind w:left="765"/>
      </w:pPr>
      <w:r>
        <w:rPr>
          <w:rFonts w:ascii="Times New Roman" w:hAnsi="Times New Roman" w:eastAsia="宋体"/>
          <w:sz w:val="24"/>
        </w:rPr>
        <w:t>Jared S. Hopkins and Clarence Leong, “U.S. Drugmak­ ers Are Breaking Up with Their Chinese Supply-Chain Part­ ners,” The Wall Street Journal, November 1, 2024, https:// www.wsj.com/health/pharma/china-manufacturing-astrazeneca -supply-chain-2ddecb11.</w:t>
      </w:r>
    </w:p>
    <w:p>
      <w:pPr>
        <w:pStyle w:val="DocBody"/>
        <w:ind w:left="765"/>
      </w:pPr>
      <w:r>
        <w:rPr>
          <w:rFonts w:ascii="Times New Roman" w:hAnsi="Times New Roman" w:eastAsia="宋体"/>
          <w:sz w:val="24"/>
        </w:rPr>
        <w:t>Michael Martina, Michael Erman, and Karen Freifeld, “Exclu­ sive: China’s WuXi AppTec Shared U.S. Client’s Data with Beijing, U.S. Intelligence Offcials Told Senators,” Reuters, March 28, 2024, https://www.reuters.com/technology/chinas-wuxi-apptec-shared -us-clients-data-with-beijing-us-intelligence-offcials-2024-03-28/.</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06  NEUROSCIENCE STANFORD EXPERT CONTRIBUTORS Dr. Kang Shen SETR Faculty Council, Frank Lee and Carol Hall Professor of Biology, and Professor of Pathology Dr. Keith Humphreys Esther Ting Memorial Professor in the Department of Psychiatry and Behavioral Sciences Dr. Paul Nuyujukian Assistant Professor of Bioengineering, of Neuro­ surgery, and, by courtesy, of Electrical Engineering Dr. Michael Greicius Iqbal Farrukh and Asad Jamal Professor and Professor, by courtesy, of Psychiatry and Behavioral Sciences Dr. Will Allen Assistant Professor of Developmental Biology Dr. Sergiu Pasca Kenneth T. Norris, Jr.  Professor of Psychiatry and Behavioral Sciences Thomas Lau SETR Fellow and PhD Student in Bioengineering</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QUANTUM TECHNOLOGIES ° Quantum computing is advancing rapidly, making clear progress toward solving practical problems such as breaking existing public-key encryption algorithms, enabling new materials design, and supporting applications in chemistry. More specu­ lative uses include machine learning, weather modeling, and fnancial portfolio optimization.</w:t>
      </w:r>
    </w:p>
    <w:p>
      <w:pPr>
        <w:pStyle w:val="DocBody"/>
      </w:pPr>
      <w:r>
        <w:rPr>
          <w:rFonts w:ascii="Times New Roman" w:hAnsi="Times New Roman" w:eastAsia="宋体"/>
          <w:sz w:val="24"/>
        </w:rPr>
        <w:t>° Quantum networking and sensing are emerg­ ing as powerful technologies—networking may be critical for scaling computers to utility levels, while sensors are already transforming felds such as medical imaging and gravitational detection.</w:t>
      </w:r>
    </w:p>
    <w:p>
      <w:pPr>
        <w:pStyle w:val="DocBody"/>
      </w:pPr>
      <w:r>
        <w:rPr>
          <w:rFonts w:ascii="Times New Roman" w:hAnsi="Times New Roman" w:eastAsia="宋体"/>
          <w:sz w:val="24"/>
        </w:rPr>
        <w:t>° Government-funded basic research in academic labs remains the foundation for breakthroughs, and sustained investment is essential to main­ tain leadership as companies push applications toward real-world utility.</w:t>
      </w:r>
    </w:p>
    <w:p>
      <w:pPr>
        <w:pStyle w:val="DocBody"/>
      </w:pPr>
      <w:r>
        <w:rPr>
          <w:rFonts w:ascii="Times New Roman" w:hAnsi="Times New Roman" w:eastAsia="宋体"/>
          <w:sz w:val="24"/>
        </w:rPr>
        <w:t>KEY TAKEAWAYS Overview Quantum technologies are based on the physics of quantum mechanics, which emerged early in the twentieth century. Since then, quantum mechanics has shaped many technologies, from nuclear weap­ ons to the transistors in smartphones to magnetic resonance imaging (MRI) machines in hospitals. But in these applications, the constituent atoms have been controlled in aggregate, with large, uncon­ trolled groups of particles all in multiple states manipulated together as an ensemble.</w:t>
      </w:r>
    </w:p>
    <w:p>
      <w:pPr>
        <w:pStyle w:val="DocBody"/>
      </w:pPr>
      <w:r>
        <w:rPr>
          <w:rFonts w:ascii="Times New Roman" w:hAnsi="Times New Roman" w:eastAsia="宋体"/>
          <w:sz w:val="24"/>
        </w:rPr>
        <w:t>Modern quantum technology seeks to control the components of an ensemble particle by particle. In 2025, the Nobel Prize in Physics was awarded for “the discovery of macroscopic quantum mechanical tunnelling and energy quantization in an electric cir­ cuit.”1 The goal is to develop real-world applications by precisely controlling many particles that are all doing many things simultaneously, which requires an enormously complex effort. In the past twenty years, several different hardware approaches have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 everything and process the data later. Instead, it is necessary to carefully craft new types of hardware that measure directly and exclusively what we want to know and do so only when we want to know it.</w:t>
      </w:r>
    </w:p>
    <w:p>
      <w:pPr>
        <w:pStyle w:val="DocBody"/>
      </w:pPr>
      <w:r>
        <w:rPr>
          <w:rFonts w:ascii="Times New Roman" w:hAnsi="Times New Roman" w:eastAsia="宋体"/>
          <w:sz w:val="24"/>
        </w:rPr>
        <w:t>Violating any of these principles (e.g., by making a query at the wrong time) reduces the quantum-­ enhanced accuracy in measuring items of interest.</w:t>
      </w:r>
    </w:p>
    <w:p>
      <w:pPr>
        <w:pStyle w:val="DocBody"/>
      </w:pPr>
      <w:r>
        <w:rPr>
          <w:rFonts w:ascii="Times New Roman" w:hAnsi="Times New Roman" w:eastAsia="宋体"/>
          <w:sz w:val="24"/>
        </w:rPr>
        <w:t>This insight is important to all of the technologies discussed below.</w:t>
      </w:r>
    </w:p>
    <w:p>
      <w:pPr>
        <w:pStyle w:val="DocBody"/>
      </w:pPr>
      <w:r>
        <w:rPr>
          <w:rFonts w:ascii="Times New Roman" w:hAnsi="Times New Roman" w:eastAsia="宋体"/>
          <w:sz w:val="24"/>
        </w:rPr>
        <w:t>While there are many potential technologies based on quantum principles, the three most mature are quantum computing, quantum communication, and quantum sensing. In the long run, it is most likely that these quantum technologies will comple­ ment rather than replace their classical counterparts.</w:t>
      </w:r>
    </w:p>
    <w:p>
      <w:pPr>
        <w:pStyle w:val="DocBody"/>
      </w:pPr>
      <w:r>
        <w:rPr>
          <w:rFonts w:ascii="Times New Roman" w:hAnsi="Times New Roman" w:eastAsia="宋体"/>
          <w:sz w:val="24"/>
        </w:rPr>
        <w:t>°   Quantum computing will be useful primarily for solving problems that classical computing cannot, but these problems for the most part will be niche problems rather than general ones of broad interest.</w:t>
      </w:r>
    </w:p>
    <w:p>
      <w:pPr>
        <w:pStyle w:val="DocBody"/>
      </w:pPr>
      <w:r>
        <w:rPr>
          <w:rFonts w:ascii="Times New Roman" w:hAnsi="Times New Roman" w:eastAsia="宋体"/>
          <w:sz w:val="24"/>
        </w:rPr>
        <w:t>emerged to control and detect individual particles and their states. In just the past five years, this con­ trol has become strong enough that useful quantum technologies are starting to be built and used (see sidebar on entanglement).</w:t>
      </w:r>
    </w:p>
    <w:p>
      <w:pPr>
        <w:pStyle w:val="DocBody"/>
      </w:pPr>
      <w:r>
        <w:rPr>
          <w:rFonts w:ascii="Times New Roman" w:hAnsi="Times New Roman" w:eastAsia="宋体"/>
          <w:sz w:val="24"/>
        </w:rPr>
        <w:t>Precise control allows for the management of super­ position and entanglement. Superposition is an empirically validated principle of quantum mechan­ ics stating that particles can be in different states (e.g., in different places or spinning different ways)</w:t>
      </w:r>
    </w:p>
    <w:p>
      <w:pPr>
        <w:pStyle w:val="DocBody"/>
      </w:pPr>
      <w:r>
        <w:rPr>
          <w:rFonts w:ascii="Times New Roman" w:hAnsi="Times New Roman" w:eastAsia="宋体"/>
          <w:sz w:val="24"/>
        </w:rPr>
        <w:t>simultaneously. Entanglement is the quantum phe­ nomenon in which particles are linked in a correla­ tional sense. This means that measuring a property of one reveals a correlated property of the other instantly, even if they are separated by very long dis­ tances and their properties have not been individu­ ally determined beforehand (see sidebar).</w:t>
      </w:r>
    </w:p>
    <w:p>
      <w:pPr>
        <w:pStyle w:val="DocBody"/>
      </w:pPr>
      <w:r>
        <w:rPr>
          <w:rFonts w:ascii="Times New Roman" w:hAnsi="Times New Roman" w:eastAsia="宋体"/>
          <w:sz w:val="24"/>
        </w:rPr>
        <w:t>A particularly important aspect of this new quan­ tum paradigm is that measuring a quantum system disturbs it. Therefore, it does not work to measure ON ENTANGLEMENT Alice and Bob share a coin cut perfectly into two halves, one showing heads and the other tails. Alice keeps the tails half and places the heads half into an opaque envelope, which she gives to Bob without revealing its content. From Bob’s perspective, before opening the envelope, the coin inside could be either heads or tails, resembling a quantum superposition. When he eventually observes heads, he instantly knows Alice’s half must be tails, no matter the distance between them.</w:t>
      </w:r>
    </w:p>
    <w:p>
      <w:pPr>
        <w:pStyle w:val="DocBody"/>
      </w:pPr>
      <w:r>
        <w:rPr>
          <w:rFonts w:ascii="Times New Roman" w:hAnsi="Times New Roman" w:eastAsia="宋体"/>
          <w:sz w:val="24"/>
        </w:rPr>
        <w:t>This correlation illustrates the essence of quantum entanglement: Bob’s measurement does not cause Alice’s outcome but instead reveals an existing relationship that manifests instantly without any transfer of information faster than light.</w:t>
      </w:r>
    </w:p>
    <w:p>
      <w:pPr>
        <w:pStyle w:val="DocBody"/>
      </w:pPr>
      <w:r>
        <w:rPr>
          <w:rFonts w:ascii="Times New Roman" w:hAnsi="Times New Roman" w:eastAsia="宋体"/>
          <w:sz w:val="24"/>
        </w:rPr>
        <w:t>Although the coin analogy is helpful for understanding entanglement, it is not perfect. In the analogy, the coin halves have definite states regardless of whether they are observed — the outcome is simply hidden until revealed. In contrast, entangled quantum particles do not have definite states before measurement. Instead, their joint state exists as a superposition, meaning that the properties of both particles are fundamentally linked and undefined until one is measured. When a measurement is made on one particle, the outcome of a corre­ sponding measurement on its partner is instantly determined — no matter how far apart they are.</w:t>
      </w:r>
    </w:p>
    <w:p>
      <w:pPr>
        <w:pStyle w:val="DocBody"/>
      </w:pPr>
      <w:r>
        <w:rPr>
          <w:rFonts w:ascii="Times New Roman" w:hAnsi="Times New Roman" w:eastAsia="宋体"/>
          <w:sz w:val="24"/>
        </w:rPr>
        <w:t>This behavior cannot be fully understood using everyday, classical intuitions. It is a uniquely quantum phenome­ non, confirmed by decades of rigorous experiments. Importantly, this “spooky” correlation is not just a scientific curiosity or a matter of philosophy — it is the foundation for groundbreaking quantum technologies in comput­ ing, communication, and sensing.</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pPr>
      <w:r>
        <w:rPr>
          <w:rFonts w:ascii="Times New Roman" w:hAnsi="Times New Roman" w:eastAsia="宋体"/>
          <w:sz w:val="24"/>
        </w:rPr>
        <w:t>[Quantum] behavior cannot be fully understood using everyday, classical intuitions.</w:t>
      </w:r>
    </w:p>
    <w:p>
      <w:pPr>
        <w:pStyle w:val="DocBody"/>
      </w:pPr>
      <w:r>
        <w:rPr>
          <w:rFonts w:ascii="Times New Roman" w:hAnsi="Times New Roman" w:eastAsia="宋体"/>
          <w:sz w:val="24"/>
        </w:rPr>
        <w:t>Quantum communication may also have niche ° applications, such as for cryptographic key dis­ tribution and distributed quantum computing;</w:t>
      </w:r>
    </w:p>
    <w:p>
      <w:pPr>
        <w:pStyle w:val="DocBody"/>
      </w:pPr>
      <w:r>
        <w:rPr>
          <w:rFonts w:ascii="Times New Roman" w:hAnsi="Times New Roman" w:eastAsia="宋体"/>
          <w:sz w:val="24"/>
        </w:rPr>
        <w:t>these are discussed later in this chapter. However, it is unlikely to be a broadly applicable technol­ ogy for communications infrastructure because it requires specialized hardware to implement.</w:t>
      </w:r>
    </w:p>
    <w:p>
      <w:pPr>
        <w:pStyle w:val="DocBody"/>
      </w:pPr>
      <w:r>
        <w:rPr>
          <w:rFonts w:ascii="Times New Roman" w:hAnsi="Times New Roman" w:eastAsia="宋体"/>
          <w:sz w:val="24"/>
        </w:rPr>
        <w:t>Quantum sensors will not render classical sen­ ° sors obsolete in the short to medium term.</w:t>
      </w:r>
    </w:p>
    <w:p>
      <w:pPr>
        <w:pStyle w:val="DocBody"/>
      </w:pPr>
      <w:r>
        <w:rPr>
          <w:rFonts w:ascii="Times New Roman" w:hAnsi="Times New Roman" w:eastAsia="宋体"/>
          <w:sz w:val="24"/>
        </w:rPr>
        <w:t>Rather, they will be used primarily in application areas where they have particular advantages, such as greater sensitivity or measurement sta­ bility. To the extent that quantum sensors push the limits of what quantum mechanics allows in terms of power usage, sensitivity, size, and so on, most sensors are likely to eventually incorporate quantum technology in some form (though not necessarily as quantum networked sensors).</w:t>
      </w:r>
    </w:p>
    <w:p>
      <w:pPr>
        <w:pStyle w:val="DocBody"/>
      </w:pPr>
      <w:r>
        <w:rPr>
          <w:rFonts w:ascii="Times New Roman" w:hAnsi="Times New Roman" w:eastAsia="宋体"/>
          <w:sz w:val="24"/>
        </w:rPr>
        <w:t>Quantum Computing Essential Points Quantum computers promise major speedups ° for factoring large numbers and simulating quan­ tum particles and processes—essential for break­ ing certain kinds of encryption and for chemistry and materials science. Quantum computing will remain a specialized, niche technology rather than one with broad real-world impact unless and until practical and effective algorithms for fnance and other felds are developed.</w:t>
      </w:r>
    </w:p>
    <w:p>
      <w:pPr>
        <w:pStyle w:val="DocBody"/>
      </w:pPr>
      <w:r>
        <w:rPr>
          <w:rFonts w:ascii="Times New Roman" w:hAnsi="Times New Roman" w:eastAsia="宋体"/>
          <w:sz w:val="24"/>
        </w:rPr>
        <w:t>All known applications of quantum computers ° will require error correction to outperform tradi­ tional, classical computers. Quantum computing hardware has reached the “break-even” point (i.e., where error correction is feasible) enabling practical scaling.</w:t>
      </w:r>
    </w:p>
    <w:p>
      <w:pPr>
        <w:pStyle w:val="DocBody"/>
      </w:pPr>
      <w:r>
        <w:rPr>
          <w:rFonts w:ascii="Times New Roman" w:hAnsi="Times New Roman" w:eastAsia="宋体"/>
          <w:sz w:val="24"/>
        </w:rPr>
        <w:t>The main scaling challenge is not simply in ° increasing the number of quantum bits, or qubits, in a module. Rather it is in controlling individual qubits. Scaling of quantum computers compa­ rable to what has been achieved for classical computers depends on the availability of robust error-correction approaches—expected within the next few years—and on leveraging estab­ lished techniques from semiconductor and pho­ tonics engineering.</w:t>
      </w:r>
    </w:p>
    <w:p>
      <w:pPr>
        <w:pStyle w:val="DocBody"/>
      </w:pPr>
      <w:r>
        <w:rPr>
          <w:rFonts w:ascii="Times New Roman" w:hAnsi="Times New Roman" w:eastAsia="宋体"/>
          <w:sz w:val="24"/>
        </w:rPr>
        <w:t>About Quantum Computing Quantum technology offers a fundamentally new computational paradigm. Classical computers use individual bits as the smallest unit of information, with each being 0 or 1. In contrast, qubits—the smallest unit of information for a quantum computer—can be in multiple states simultaneously; that is, qubits can exist in superposition. This reality is one aspect of what allows quantum computers (like the one shown in fgure 7.1) to process a vast number of possibilities at once, a phenomenon called quantum parallelism.</w:t>
      </w:r>
    </w:p>
    <w:p>
      <w:pPr>
        <w:pStyle w:val="DocBody"/>
      </w:pPr>
      <w:r>
        <w:rPr>
          <w:rFonts w:ascii="Times New Roman" w:hAnsi="Times New Roman" w:eastAsia="宋体"/>
          <w:sz w:val="24"/>
        </w:rPr>
        <w:t>This capability makes quantum machines a potentially game-changing advance in the feld of computing.</w:t>
      </w:r>
    </w:p>
    <w:p>
      <w:pPr>
        <w:pStyle w:val="DocBody"/>
      </w:pPr>
      <w:r>
        <w:rPr>
          <w:rFonts w:ascii="Times New Roman" w:hAnsi="Times New Roman" w:eastAsia="宋体"/>
          <w:sz w:val="24"/>
        </w:rPr>
        <w:t>In gate-based quantum computing—in contrast to quantum simulation, discussed later in this chapter— qubits are manipulated through discrete operations performed by quantum gates. These gates alter the state of the qubits they act upon. Serving as the quantum analog of logic gates in classical comput­ ers, they form the fundamental building blocks of quantum circuits that execute calculations by chain­ ing together individual gate operations.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7.1  The wiring infrastructure of a quantum computer Source: IBM, CC BY-ND 2.0 By carefully sequencing these operations, gate-based quantum computers can, in principle, perform a very specifc set of calculations, including for quantum chemistry and certain kinds of codebreaking, much faster than their classical counterparts. This possibil­ ity and the potential for a broader array of applica­ tions down the line have driven up public and private investment in quantum computing in recent years.</w:t>
      </w:r>
    </w:p>
    <w:p>
      <w:pPr>
        <w:pStyle w:val="DocBody"/>
      </w:pPr>
      <w:r>
        <w:rPr>
          <w:rFonts w:ascii="Times New Roman" w:hAnsi="Times New Roman" w:eastAsia="宋体"/>
          <w:sz w:val="24"/>
        </w:rPr>
        <w:t>(Figure 7.2 shows statistics on venture capital invest­ ment.) This rapid growth refects investor interest in the feld, though signifcant challenges must be resolved before quantum computing’s value can be realized.</w:t>
      </w:r>
    </w:p>
    <w:p>
      <w:pPr>
        <w:pStyle w:val="DocBody"/>
      </w:pPr>
      <w:r>
        <w:rPr>
          <w:rFonts w:ascii="Times New Roman" w:hAnsi="Times New Roman" w:eastAsia="宋体"/>
          <w:sz w:val="24"/>
        </w:rPr>
        <w:t>Chief among these challenges is obtaining the answer to a problem once a quantum computation has been performed. Because the qubits are in a superposition state, a computation that is performed on them generates many possible results. However, nearly all of these will not be useful to solving the problem at hand. Realizing the advantage of a quantum computer requires developing algorithms that surface the useful result often enough that it’s possible to identify it without having to repeat the calculation too many times. This is fundamentally different from classical computing, which produces deterministic results of computations.</w:t>
      </w:r>
    </w:p>
    <w:p>
      <w:pPr>
        <w:pStyle w:val="DocBody"/>
      </w:pPr>
      <w:r>
        <w:rPr>
          <w:rFonts w:ascii="Times New Roman" w:hAnsi="Times New Roman" w:eastAsia="宋体"/>
          <w:sz w:val="24"/>
        </w:rPr>
        <w:t>A second important challenge is that quantum computing operations can be disrupted by errors caused by small amounts of “noise” in the environ­ ment, such as atomic decay, small vibrations, or tiny changes in temperature. This noise can disrupt the delicate quantum state of qubits and lead to errors.</w:t>
      </w:r>
    </w:p>
    <w:p>
      <w:pPr>
        <w:pStyle w:val="DocBody"/>
      </w:pPr>
      <w:r>
        <w:rPr>
          <w:rFonts w:ascii="Times New Roman" w:hAnsi="Times New Roman" w:eastAsia="宋体"/>
          <w:sz w:val="24"/>
        </w:rPr>
        <w:t>In other words, interaction with the outside world generally destroys superposition states that enable quantum parallelism, so it’s crucial to minimize this noise as much as possible and to correct the errors that cannot be avoided.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pPr>
      <w:r>
        <w:rPr>
          <w:rFonts w:ascii="Times New Roman" w:hAnsi="Times New Roman" w:eastAsia="宋体"/>
          <w:sz w:val="24"/>
        </w:rPr>
        <w:t>FIGURE 7.2  Funding trends in quantum computing and quantum technologies Venture Funding of Quantum Computing 3.50 Total (USD billions)</w:t>
      </w:r>
    </w:p>
    <w:p>
      <w:pPr>
        <w:pStyle w:val="DocBody"/>
      </w:pPr>
      <w:r>
        <w:rPr>
          <w:rFonts w:ascii="Times New Roman" w:hAnsi="Times New Roman" w:eastAsia="宋体"/>
          <w:sz w:val="24"/>
        </w:rPr>
        <w:t>3.00 $2.88 2.50 $1.46 $2.12 2.00 1.50 $1.13 1.00 Venture Funding of Quantum Technologies 18.00 16.00 $6.72 $2.90 $15.92 $14.67 Total (USD billions)</w:t>
      </w:r>
    </w:p>
    <w:p>
      <w:pPr>
        <w:pStyle w:val="DocBody"/>
      </w:pPr>
      <w:r>
        <w:rPr>
          <w:rFonts w:ascii="Times New Roman" w:hAnsi="Times New Roman" w:eastAsia="宋体"/>
          <w:sz w:val="24"/>
        </w:rPr>
        <w:t>14.00 12.00 10.00 8.00 6.00 4.00 2.00 Note: 2025 numbers are partial-year data.</w:t>
      </w:r>
    </w:p>
    <w:p>
      <w:pPr>
        <w:pStyle w:val="DocBody"/>
      </w:pPr>
      <w:r>
        <w:rPr>
          <w:rFonts w:ascii="Times New Roman" w:hAnsi="Times New Roman" w:eastAsia="宋体"/>
          <w:sz w:val="24"/>
        </w:rPr>
        <w:t>Source: CB Insights Compensating for these errors—a process called error correction—accounts for upward of 90 per­ cent of what a quantum computer actually does; the remaining 10 percent, or less, is spent actually com­ puting. Error correction is the process of storing infor­ mation in a way that it is resilient to noise and other error mechanisms. This encoding uses many physi­ cal qubits in the quantum hardware to encode one logical qubit, which is a qubit that is robust against noise. A quantum computer performs its algorithms between these logical qubits while continuously cor­ recting the errors within them that emerge through the processing. With current approaches, hundreds to thousands of physical qubits are needed to encode every logical qubit used for computation.</w:t>
      </w:r>
    </w:p>
    <w:p>
      <w:pPr>
        <w:pStyle w:val="DocBody"/>
      </w:pPr>
      <w:r>
        <w:rPr>
          <w:rFonts w:ascii="Times New Roman" w:hAnsi="Times New Roman" w:eastAsia="宋体"/>
          <w:sz w:val="24"/>
        </w:rPr>
        <w:t>A third challenge is the fact that today, there are few problem-solving algorithms to run on quan­ tum computers that have any practical value. The quantum research community still lacks a complete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understanding of the algorithms that would ensure quantum computing provides any speedup at all over classical computers.</w:t>
      </w:r>
    </w:p>
    <w:p>
      <w:pPr>
        <w:pStyle w:val="DocBody"/>
      </w:pPr>
      <w:r>
        <w:rPr>
          <w:rFonts w:ascii="Times New Roman" w:hAnsi="Times New Roman" w:eastAsia="宋体"/>
          <w:sz w:val="24"/>
        </w:rPr>
        <w:t>Put differently, an important constraint on accom­ plishing useful tasks with quantum computers is the current lack of suitable algorithms for those pur­ poses; this is in addition to the lack of suffciently powerful quantum computers themselves. The lack of algorithms is partly due to a chicken-and-egg problem: It is extremely challenging to invent and test new algorithms without the underlying hardware to rapidly test and guide the process. Error-corrected hardware, when available, will enable empirical development and benchmarking of quantum algo­ rithms; currently, this can be done only by formal mathematical proofs of correctness and speed.</w:t>
      </w:r>
    </w:p>
    <w:p>
      <w:pPr>
        <w:pStyle w:val="DocBody"/>
      </w:pPr>
      <w:r>
        <w:rPr>
          <w:rFonts w:ascii="Times New Roman" w:hAnsi="Times New Roman" w:eastAsia="宋体"/>
          <w:sz w:val="24"/>
        </w:rPr>
        <w:t>Key Developments QUBIT TECHNOLOGY Numerous hardware approaches are under active exploration for construction of physical qubits. At the time of this writing, the most visible candidates include the following:</w:t>
      </w:r>
    </w:p>
    <w:p>
      <w:pPr>
        <w:pStyle w:val="DocBody"/>
      </w:pPr>
      <w:r>
        <w:rPr>
          <w:rFonts w:ascii="Times New Roman" w:hAnsi="Times New Roman" w:eastAsia="宋体"/>
          <w:sz w:val="24"/>
        </w:rPr>
        <w:t>Trapped ions Atoms that are missing an elec­ ° tron (i.e., ions) are not electrically neutral, so they can be trapped by radio-frequency electric felds.</w:t>
      </w:r>
    </w:p>
    <w:p>
      <w:pPr>
        <w:pStyle w:val="DocBody"/>
      </w:pPr>
      <w:r>
        <w:rPr>
          <w:rFonts w:ascii="Times New Roman" w:hAnsi="Times New Roman" w:eastAsia="宋体"/>
          <w:sz w:val="24"/>
        </w:rPr>
        <w:t>The ion encodes information in its internal states, and the information can be read out using laser beams. Computations are performed through conducting controlled collisions between ions.</w:t>
      </w:r>
    </w:p>
    <w:p>
      <w:pPr>
        <w:pStyle w:val="DocBody"/>
      </w:pPr>
      <w:r>
        <w:rPr>
          <w:rFonts w:ascii="Times New Roman" w:hAnsi="Times New Roman" w:eastAsia="宋体"/>
          <w:sz w:val="24"/>
        </w:rPr>
        <w:t>Superconducting circuits Composed of nano­ ° fabricated chips, these circuits must be kept cold at temperatures near absolute zero (–273.15°C).</w:t>
      </w:r>
    </w:p>
    <w:p>
      <w:pPr>
        <w:pStyle w:val="DocBody"/>
      </w:pPr>
      <w:r>
        <w:rPr>
          <w:rFonts w:ascii="Times New Roman" w:hAnsi="Times New Roman" w:eastAsia="宋体"/>
          <w:sz w:val="24"/>
        </w:rPr>
        <w:t>Like traditional electronics, computations are performed by running currents through the chips.</w:t>
      </w:r>
    </w:p>
    <w:p>
      <w:pPr>
        <w:pStyle w:val="DocBody"/>
      </w:pPr>
      <w:r>
        <w:rPr>
          <w:rFonts w:ascii="Times New Roman" w:hAnsi="Times New Roman" w:eastAsia="宋体"/>
          <w:sz w:val="24"/>
        </w:rPr>
        <w:t>However, the fabrication procedures are different from those of ordinary semiconductors.</w:t>
      </w:r>
    </w:p>
    <w:p>
      <w:pPr>
        <w:pStyle w:val="DocBody"/>
      </w:pPr>
      <w:r>
        <w:rPr>
          <w:rFonts w:ascii="Times New Roman" w:hAnsi="Times New Roman" w:eastAsia="宋体"/>
          <w:sz w:val="24"/>
        </w:rPr>
        <w:t>Neutral atoms These are atoms that are not ° missing any electrons and hence must be trapped with laser beams. Moving these laser beams around allows the atoms to collide and perform computations. The laser traps are weak, so the atoms must be held in an extreme vacuum that is comparable to interplanetary space.</w:t>
      </w:r>
    </w:p>
    <w:p>
      <w:pPr>
        <w:pStyle w:val="DocBody"/>
      </w:pPr>
      <w:r>
        <w:rPr>
          <w:rFonts w:ascii="Times New Roman" w:hAnsi="Times New Roman" w:eastAsia="宋体"/>
          <w:sz w:val="24"/>
        </w:rPr>
        <w:t>Silicon spin qubits These are single electrons ° trapped in structures resembling modern silicon transistors that often use standard semiconduc­ tor foundry processes. These qubits also oper­ ate at temperatures near absolute zero. They are somewhat less developed than the approaches described above due to their extreme sensitiv­ ity to small material defects. However, they are advancing rapidly and have the potential to take advantage of the large investments and rapid learning rates in the semiconductor industry.</w:t>
      </w:r>
    </w:p>
    <w:p>
      <w:pPr>
        <w:pStyle w:val="DocBody"/>
      </w:pPr>
      <w:r>
        <w:rPr>
          <w:rFonts w:ascii="Times New Roman" w:hAnsi="Times New Roman" w:eastAsia="宋体"/>
          <w:sz w:val="24"/>
        </w:rPr>
        <w:t>Photonic qubits These qubits encode infor­ ° mation in states of optical frequency light felds (usually telecom-band photons), perform opera­ tions running at room temperature, and interface naturally with fber networks. Proponents claim scalability through wafer-scale photonics, low- loss fber, and other factors. In practice, progress has been constrained by the inability to develop an appropriate test environment that could pro­ vide convincing evidence of practical advantage.</w:t>
      </w:r>
    </w:p>
    <w:p>
      <w:pPr>
        <w:pStyle w:val="DocBody"/>
      </w:pPr>
      <w:r>
        <w:rPr>
          <w:rFonts w:ascii="Times New Roman" w:hAnsi="Times New Roman" w:eastAsia="宋体"/>
          <w:sz w:val="24"/>
        </w:rPr>
        <w:t>In the early days of quantum computing, trapped ions and superconducting circuits were seen as the leading candidates. In the past decade, neutral atom quantum technology has become a true competitor to them. This development demonstrates that the “horse race” for the quantum transistor remains open, leaving opportunities for the emergence of alternative approaches that scale more easily and deliver improved underlying performance.</w:t>
      </w:r>
    </w:p>
    <w:p>
      <w:pPr>
        <w:pStyle w:val="DocBody"/>
      </w:pPr>
      <w:r>
        <w:rPr>
          <w:rFonts w:ascii="Times New Roman" w:hAnsi="Times New Roman" w:eastAsia="宋体"/>
          <w:sz w:val="24"/>
        </w:rPr>
        <w:t>Two dark horses in this category are photonic and topological qubits. Photonic qubits aim to leverage silicon photonics manufacturing to achieve fault tol­ erance, but using them in quantum gates is tech­ nically challenging. Topological qubits aim to store information in a naturally protected form that, under ideal conditions, should be less sensitive to changes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pPr>
      <w:r>
        <w:rPr>
          <w:rFonts w:ascii="Times New Roman" w:hAnsi="Times New Roman" w:eastAsia="宋体"/>
          <w:sz w:val="24"/>
        </w:rPr>
        <w:t>in the external environment—though recent research on this technology has been challenged.2 Both plat­ forms have attracted signifcant public and private investment and have promised compelling path­ ways to leapfrog current leaders in demonstrated quantum capabilities. However, neither platform has yet demonstrated computation at even the scale of a few qubits, and both face substantial technical roadblocks.</w:t>
      </w:r>
    </w:p>
    <w:p>
      <w:pPr>
        <w:pStyle w:val="DocBody"/>
      </w:pPr>
      <w:r>
        <w:rPr>
          <w:rFonts w:ascii="Times New Roman" w:hAnsi="Times New Roman" w:eastAsia="宋体"/>
          <w:sz w:val="24"/>
        </w:rPr>
        <w:t>One of the primary determinants of front-runner status of any physical qubit technology is its fdel­ ity. Fidelity refers to how accurately a quantum gate executes its intended operation compared to an ideal error-free gate—the greater the similarity between the two, the higher the fdelity of the gate under examination. This is important because the computation needed to perform error correction in a quantum computer is itself vulnerable to error.</w:t>
      </w:r>
    </w:p>
    <w:p>
      <w:pPr>
        <w:pStyle w:val="DocBody"/>
      </w:pPr>
      <w:r>
        <w:rPr>
          <w:rFonts w:ascii="Times New Roman" w:hAnsi="Times New Roman" w:eastAsia="宋体"/>
          <w:sz w:val="24"/>
        </w:rPr>
        <w:t>For a given qubit technology and error-correcting algorithm, a process called “co-design” for the code and platform establishes a break-even threshold for fdelity. This means that the errors corrected by the error-correction circuitry are barely equal in number to the errors introduced because of the operation of that circuitry. Higher gate fdelities increase the former number relative to the latter (more and more errors corrected compared to the number of errors intro­ duced). In practice, this break-even threshold across a number of technologies is around 99 percent.3 From a practical standpoint, there is a broad consen­ sus in the feld that gate fdelities above 99.9 percent (that is, signifcantly better than the break-even threshold) will enable the construction of practical quantum computers that do not require a prohib­ itive amount of error correction or a prohibitive number of physical qubits to implement that error correction.</w:t>
      </w:r>
    </w:p>
    <w:p>
      <w:pPr>
        <w:pStyle w:val="DocBody"/>
      </w:pPr>
      <w:r>
        <w:rPr>
          <w:rFonts w:ascii="Times New Roman" w:hAnsi="Times New Roman" w:eastAsia="宋体"/>
          <w:sz w:val="24"/>
        </w:rPr>
        <w:t>The most important development in qubit tech­ nology is that trapped ions, neutral atoms, and superconducting circuits have all now crossed the “break-even” threshold. However, quantum comput­ ing faces uncertainty over which of these—or perhaps one of the dark horse possibilities—will lead to the best scalable architecture. Unlike classical comput­ ing, in which transistors proved superior to vacuum tubes and became the technological foundation for a fabrication industry that set classical semiconductors on the path of rapid and sustained cost reductions over decades,4 the “quantum transistor” has yet to be identifed. Indeed, rather than a single winner, multiple platforms may well coexist, each with unique strengths and challenges. As a result, quantum com­ puting progress is likely to depend on hardware innovation, error correction, and application-specifc advances.</w:t>
      </w:r>
    </w:p>
    <w:p>
      <w:pPr>
        <w:pStyle w:val="DocBody"/>
      </w:pPr>
      <w:r>
        <w:rPr>
          <w:rFonts w:ascii="Times New Roman" w:hAnsi="Times New Roman" w:eastAsia="宋体"/>
          <w:sz w:val="24"/>
        </w:rPr>
        <w:t>QUANTUM MEMORY Memory in quantum computers serves approxi­ mately the same function as it does in classical com­ puters: It holds quantum information in qubits while preserving their quantum properties like superposi­ tion and entanglement until operations can be per­ formed on that information. An example of recent Unlike classical computing, in which transistors proved superior to vacuum tubes . . . the “quantum transistor” has yet to be identified. Indeed, rather than a single winner, multiple platforms may well coexist.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progress is the development of quantum memory that extends storage times of quantum states by a factor of up to thirty.5 Quantum memory also plays a critical role in quantum repeaters, which are dis­ cussed in the Quantum Communications section later in the chapter.</w:t>
      </w:r>
    </w:p>
    <w:p>
      <w:pPr>
        <w:pStyle w:val="DocBody"/>
      </w:pPr>
      <w:r>
        <w:rPr>
          <w:rFonts w:ascii="Times New Roman" w:hAnsi="Times New Roman" w:eastAsia="宋体"/>
          <w:sz w:val="24"/>
        </w:rPr>
        <w:t>SCALE­UP OF QUANTUM COMPUTERS At present, the state of the art is computers with thousands of atomic qubits and hundreds of super­ conducting and ionic qubits. In each of these plat­ forms, these physical qubits have been combined to redundantly encode dozens (currently up to forty- eight) logical qubits,6 albeit at error rates orders of magnitude too high for scalable computation. To achieve the error rates and computer sizes necessary for scalable computing, more logical qubits to per­ form computations and more encoding redundancy to reduce the error rates of the logical qubits are required. In other words, many, many more physical qubits are going to be needed.</w:t>
      </w:r>
    </w:p>
    <w:p>
      <w:pPr>
        <w:pStyle w:val="DocBody"/>
      </w:pPr>
      <w:r>
        <w:rPr>
          <w:rFonts w:ascii="Times New Roman" w:hAnsi="Times New Roman" w:eastAsia="宋体"/>
          <w:sz w:val="24"/>
        </w:rPr>
        <w:t>Current resource estimates indicate that thousands of logical qubits, and thus millions of physical qubits,7 will be required to build quantum computers that can break current public-key encryption schemes.</w:t>
      </w:r>
    </w:p>
    <w:p>
      <w:pPr>
        <w:pStyle w:val="DocBody"/>
      </w:pPr>
      <w:r>
        <w:rPr>
          <w:rFonts w:ascii="Times New Roman" w:hAnsi="Times New Roman" w:eastAsia="宋体"/>
          <w:sz w:val="24"/>
        </w:rPr>
        <w:t>Achieving systems at this scale requires innovation in qubit design and performance, and substantial progress in the ability to manipulate so many qubits simultaneously.</w:t>
      </w:r>
    </w:p>
    <w:p>
      <w:pPr>
        <w:pStyle w:val="DocBody"/>
      </w:pPr>
      <w:r>
        <w:rPr>
          <w:rFonts w:ascii="Times New Roman" w:hAnsi="Times New Roman" w:eastAsia="宋体"/>
          <w:sz w:val="24"/>
        </w:rPr>
        <w:t>Thus, from here, the game is to scale, increasing the qubit count without sacrifcing qubit performance.</w:t>
      </w:r>
    </w:p>
    <w:p>
      <w:pPr>
        <w:pStyle w:val="DocBody"/>
      </w:pPr>
      <w:r>
        <w:rPr>
          <w:rFonts w:ascii="Times New Roman" w:hAnsi="Times New Roman" w:eastAsia="宋体"/>
          <w:sz w:val="24"/>
        </w:rPr>
        <w:t>As mentioned above, a gate fdelity of 99.9 per­ cent (corresponding to an error rate of 0.1 percent per gate operation) is expected to be suffcient for quantum computation at scale. Along similar lines, a million physical qubits, either distributed across net­ worked modules or in a single large quantum com­ puter, will be required to perform practically useful computation.8 Present-day industry road maps sug­ gest that individual quantum computing modules with tens of thousands to hundreds of thousands of physical qubits are feasible within the next decade or so.9 Controlling the operations in which these qubits are involved is another key task in scaling up. A quan­ tum computer must be able to control each qubit it uses. To do so, a control channel needs to be estab­ lished that sends signals to every qubit; if a quantum computer with a million qubits requires each indi­ vidual qubit to be manipulated on a microsecond timescale, a control bandwidth of around one terabit per second is needed.</w:t>
      </w:r>
    </w:p>
    <w:p>
      <w:pPr>
        <w:pStyle w:val="DocBody"/>
      </w:pPr>
      <w:r>
        <w:rPr>
          <w:rFonts w:ascii="Times New Roman" w:hAnsi="Times New Roman" w:eastAsia="宋体"/>
          <w:sz w:val="24"/>
        </w:rPr>
        <w:t>Such rates are usually achieved, but they exceed the internal memory bandwidth of a standard micropro­ cessor chip. Both the processing power to generate this control and the physical control hardware require technology development. This will likely be in the form of applications-specifc integrated circuits for all quantum computing platforms, faster cameras, and other supporting technologies. Today, control technology for large numbers of qubits lags behind the ability to fabricate and trap them. Developing tools for control is likely to be a broad effort, requir­ ing deep understanding of hardware architectures, signifcant expertise in various hardware develop­ ment paradigms, and novel solutions combining them.</w:t>
      </w:r>
    </w:p>
    <w:p>
      <w:pPr>
        <w:pStyle w:val="DocBody"/>
      </w:pPr>
      <w:r>
        <w:rPr>
          <w:rFonts w:ascii="Times New Roman" w:hAnsi="Times New Roman" w:eastAsia="宋体"/>
          <w:sz w:val="24"/>
        </w:rPr>
        <w:t>QUANTUM SIMULATION Despite a huge amount of contemporary discussion and excitement about the revolutionary importance of quantum computing, there are currently few real- world applications of the technology. Those that do exist are examples of quantum simulation.</w:t>
      </w:r>
    </w:p>
    <w:p>
      <w:pPr>
        <w:pStyle w:val="DocBody"/>
      </w:pPr>
      <w:r>
        <w:rPr>
          <w:rFonts w:ascii="Times New Roman" w:hAnsi="Times New Roman" w:eastAsia="宋体"/>
          <w:sz w:val="24"/>
        </w:rPr>
        <w:t>Quantum simulation works by creating a physical system—in this case, physical qubits—whose behav­ ior is mathematically analogous to the problem being solved. The key insight is that the equations governing the physical system must have the same mathematical structure as those governing the prob­ lem; the specifc physical details are irrelevant. Since the system’s evolution is determined by its govern­ ing equations (and its starting conditions), the phys­ ical realization of the original problem becomes a simulator of it. Observations of the system’s behavior can then be interpreted as the problem’s solution.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pPr>
      <w:r>
        <w:rPr>
          <w:rFonts w:ascii="Times New Roman" w:hAnsi="Times New Roman" w:eastAsia="宋体"/>
          <w:sz w:val="24"/>
        </w:rPr>
        <w:t>By applying carefully controlled stimuli, such as electromagnetic felds or laser pulses, to qubits and observing their subsequent behavior, it is possible to drive the system to evolve naturally. Quantum simu­ lations are also sensitive to fuctuations in the exter­ nal environment. However, they typically do not employ active error-correction protocols. Instead, their design emphasizes minimizing external distur­ bances as much as possible.</w:t>
      </w:r>
    </w:p>
    <w:p>
      <w:pPr>
        <w:pStyle w:val="DocBody"/>
      </w:pPr>
      <w:r>
        <w:rPr>
          <w:rFonts w:ascii="Times New Roman" w:hAnsi="Times New Roman" w:eastAsia="宋体"/>
          <w:sz w:val="24"/>
        </w:rPr>
        <w:t>Quantum simulation is most suitable for specifc, narrowly defned problems. Perhaps the most prom­ inent application is the modeling of the quantum properties of complex materials. This effectively mimics those materials using qubits, thereby allow­ ing researchers to explore material behaviors other­ wise exceedingly diffcult to study classically.10 For example, French research teams have similarly shown how quantum simulation using neutral atoms for qubits can be used to model solvent interac­ tions in proteins, which is critical for advancing drug discovery.11 Additional work has demonstrated the usefulness of quantum simulations in clarifying the conditions required for high-temperature supercon­ ductivity and in refning classical numerical models of material behavior.12 Over the Horizon APPLICATIONS AND SOFTWARE Although gate-based quantum computing could in principle be a general-purpose computing technol­ ogy, its specialized hardware and software require­ ments currently make it impractical as one. The expense and effort of meeting such requirements are worth it only when the problems being solved are suf­ fciently important or have enough economic value.</w:t>
      </w:r>
    </w:p>
    <w:p>
      <w:pPr>
        <w:pStyle w:val="DocBody"/>
      </w:pPr>
      <w:r>
        <w:rPr>
          <w:rFonts w:ascii="Times New Roman" w:hAnsi="Times New Roman" w:eastAsia="宋体"/>
          <w:sz w:val="24"/>
        </w:rPr>
        <w:t>Below we describe two of the most promising known applications for gate-based quantum computing:</w:t>
      </w:r>
    </w:p>
    <w:p>
      <w:pPr>
        <w:pStyle w:val="DocBody"/>
      </w:pPr>
      <w:r>
        <w:rPr>
          <w:rFonts w:ascii="Times New Roman" w:hAnsi="Times New Roman" w:eastAsia="宋体"/>
          <w:sz w:val="24"/>
        </w:rPr>
        <w:t>Breaking certain algorithms for asymmetric ° cryptography Discussed in more detail in chap­ ter 3, on cryptography and computer security, the most commonly used algorithms in asymmetric cryptography are based on the diffculty of factor­ ing large numbers and related problems. Classical computers factor numbers by testing one set of possible factors at a time, a process whose time to completion grows very rapidly as the numbers get very large. Shor’s algorithm, developed in 1994 by Peter Shor (see fgure 7.3), exploits quantum par­ allelism to effciently perform such tests over all possible inputs simultaneously. This reduces the time needed to break encryption from thousands of years to potentially hours or minutes with a suf­ fciently powerful quantum machine.</w:t>
      </w:r>
    </w:p>
    <w:p>
      <w:pPr>
        <w:pStyle w:val="DocBody"/>
      </w:pPr>
      <w:r>
        <w:rPr>
          <w:rFonts w:ascii="Times New Roman" w:hAnsi="Times New Roman" w:eastAsia="宋体"/>
          <w:sz w:val="24"/>
        </w:rPr>
        <w:t>Shor’s algorithm is expected to provide exponential speedup over what is possible with classical com­ puting, making it a top candidate application for quantum computing. The best current estimates suggest that the most commonly used asymmet­ ric cryptographic algorithm—RSA-2048—could be breakable in days to weeks on a quantum computer coming online in fve to ffteen years.13 (Note, however, that Shor’s algorithm is not an algorithm that works against all possible asymmet­ ric cryptography algorithms. It only works against FIGURE 7.3  Peter Shor, creator of Shor’s algorithm Source: Christopher Harting, MIT News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asymmetric algorithms based on the diffculty of factoring large numbers and related problems.)</w:t>
      </w:r>
    </w:p>
    <w:p>
      <w:pPr>
        <w:pStyle w:val="DocBody"/>
      </w:pPr>
      <w:r>
        <w:rPr>
          <w:rFonts w:ascii="Times New Roman" w:hAnsi="Times New Roman" w:eastAsia="宋体"/>
          <w:sz w:val="24"/>
        </w:rPr>
        <w:t>Simulating the quantum world From chemis­ ° try to materials science, simulations using quan­ tum computers are expected to be exponentially faster than ones using classical computers. They are expected to have signifcant positive impacts on problems like nitrogen fxation, drug devel­ opment, and superconductivity14 and enable breakthroughs in chemical, drug, and catalyst design. The analog simulators currently solving these problems are likely to be replaced by more precise simulations on gate-based quantum com­ puters.15 Ultimately, quantum computers may generate complex quantum data that classical computers can then use to effciently manage more routine quantum chemistry simulations.16 These application areas have signifcant economic or national security value, and gate-based quantum computing potentially offers substantial speedups for the above problems over classical computing.</w:t>
      </w:r>
    </w:p>
    <w:p>
      <w:pPr>
        <w:pStyle w:val="DocBody"/>
      </w:pPr>
      <w:r>
        <w:rPr>
          <w:rFonts w:ascii="Times New Roman" w:hAnsi="Times New Roman" w:eastAsia="宋体"/>
          <w:sz w:val="24"/>
        </w:rPr>
        <w:t>How substantial? Most desirable is an exponential speedup. When this is possible, a quantum com­ puter can fnish a task in a practical amount of time that would take a classical computer so long that it’s essentially impossible—sometimes longer than the age of the universe. An example would be a classical computer taking a billion years to solve a complex chemistry problem that a quantum computer with exponential speedup could do in a few minutes.</w:t>
      </w:r>
    </w:p>
    <w:p>
      <w:pPr>
        <w:pStyle w:val="DocBody"/>
      </w:pPr>
      <w:r>
        <w:rPr>
          <w:rFonts w:ascii="Times New Roman" w:hAnsi="Times New Roman" w:eastAsia="宋体"/>
          <w:sz w:val="24"/>
        </w:rPr>
        <w:t>When they are possible, exponential speedups are transformational.</w:t>
      </w:r>
    </w:p>
    <w:p>
      <w:pPr>
        <w:pStyle w:val="DocBody"/>
      </w:pPr>
      <w:r>
        <w:rPr>
          <w:rFonts w:ascii="Times New Roman" w:hAnsi="Times New Roman" w:eastAsia="宋体"/>
          <w:sz w:val="24"/>
        </w:rPr>
        <w:t>By contrast, a polynomial speedup can still be sub­ stantial.17 However, polynomial speedup gains in practice are limited by the much slower clock speeds of quantum computers (that is, the number of oper­ ations per second that a quantum computer can perform compared to a classical computer). Equally important, continuing improvements in classical computing hardware over the next decade are likely to deliver performance gains of a similar magnitude and offer a more probable near-term path to achiev­ ing them.</w:t>
      </w:r>
    </w:p>
    <w:p>
      <w:pPr>
        <w:pStyle w:val="DocBody"/>
      </w:pPr>
      <w:r>
        <w:rPr>
          <w:rFonts w:ascii="Times New Roman" w:hAnsi="Times New Roman" w:eastAsia="宋体"/>
          <w:sz w:val="24"/>
        </w:rPr>
        <w:t>For many computational problems that need to be solved, the consensus among experts seems to be that if speedups using quantum computing exist at all, they will most likely be polynomial in nature.18 In addition, such speedups may require careful optimi­ zation of quantum computers and signifcant hard­ ware development to realize practical gain. Shor’s algorithm for factoring (and thus for certain types of codebreaking) and quantum simulation for chemis­ try and materials science are among the few notable examples of exponential speedups currently known to exist over the best classical algorithm.</w:t>
      </w:r>
    </w:p>
    <w:p>
      <w:pPr>
        <w:pStyle w:val="DocBody"/>
      </w:pPr>
      <w:r>
        <w:rPr>
          <w:rFonts w:ascii="Times New Roman" w:hAnsi="Times New Roman" w:eastAsia="宋体"/>
          <w:sz w:val="24"/>
        </w:rPr>
        <w:t>In parallel with these algorithmic advances, work is ongoing at a number of companies to develop uni­ fed (and often cloud-based) frameworks that are qubit-hardware-agnostic and programmable by non-specialists, thereby making quantum computing more widely accessible. Broad adoption of such tools is predicated on quantum hardware advances that provide fault-tolerant quantum computers and algo­ rithmic advances that clarify commercial use cases.</w:t>
      </w:r>
    </w:p>
    <w:p>
      <w:pPr>
        <w:pStyle w:val="DocBody"/>
      </w:pPr>
      <w:r>
        <w:rPr>
          <w:rFonts w:ascii="Times New Roman" w:hAnsi="Times New Roman" w:eastAsia="宋体"/>
          <w:sz w:val="24"/>
        </w:rPr>
        <w:t>It is diffcult to predict which problems will be most directly impacted by quantum computing. However, what seems clear from the evolution of both classi­ cal computers and neural networks is that new com­ puting paradigms always lead to new opportunities.</w:t>
      </w:r>
    </w:p>
    <w:p>
      <w:pPr>
        <w:pStyle w:val="DocBody"/>
      </w:pPr>
      <w:r>
        <w:rPr>
          <w:rFonts w:ascii="Times New Roman" w:hAnsi="Times New Roman" w:eastAsia="宋体"/>
          <w:sz w:val="24"/>
        </w:rPr>
        <w:t>Further research in quantum algorithms is thus essential and is likely to accelerate as quantum com­ puting hardware for testing the algorithms becomes more sophisticated and accessible.</w:t>
      </w:r>
    </w:p>
    <w:p>
      <w:pPr>
        <w:pStyle w:val="DocBody"/>
      </w:pPr>
      <w:r>
        <w:rPr>
          <w:rFonts w:ascii="Times New Roman" w:hAnsi="Times New Roman" w:eastAsia="宋体"/>
          <w:sz w:val="24"/>
        </w:rPr>
        <w:t>ON QUANTUM SUPREMACY AND ADVANTAGE While fault-tolerant quantum computers capable of useful computation for codebreaking, quantum chemistry, and other uses remain some years out, an ongoing effort exists to demonstrate quantum supremacy. This refers to the quantum computation of any quantity suffciently complex that a classical computer cannot replicate the same result.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pPr>
      <w:r>
        <w:rPr>
          <w:rFonts w:ascii="Times New Roman" w:hAnsi="Times New Roman" w:eastAsia="宋体"/>
          <w:sz w:val="24"/>
        </w:rPr>
        <w:t>The endeavor to demonstrate quantum suprem­ acy has resulted in an extremely productive race between quantum computing teams and classical computing teams, with the former running ever­ more-complicated “random quantum circuits” and the latter demonstrating that they can in fact predict the output of these circuits on classical computers.</w:t>
      </w:r>
    </w:p>
    <w:p>
      <w:pPr>
        <w:pStyle w:val="DocBody"/>
      </w:pPr>
      <w:r>
        <w:rPr>
          <w:rFonts w:ascii="Times New Roman" w:hAnsi="Times New Roman" w:eastAsia="宋体"/>
          <w:sz w:val="24"/>
        </w:rPr>
        <w:t>The latest generation of superconducting quantum processors are large enough that they can now per­ form certain calculations that are diffcult or impossi­ ble to replicate on classical computers.19 However, this is a benchmark—the calculated quantity is not inher­ ently useful, even if it is beyond the reach of a classical computer to calculate. Nonetheless, this work points to classes of problems where quantum supremacy is indeed possible and drives progress in understanding the quantum/classical computability boundary.</w:t>
      </w:r>
    </w:p>
    <w:p>
      <w:pPr>
        <w:pStyle w:val="DocBody"/>
      </w:pPr>
      <w:r>
        <w:rPr>
          <w:rFonts w:ascii="Times New Roman" w:hAnsi="Times New Roman" w:eastAsia="宋体"/>
          <w:sz w:val="24"/>
        </w:rPr>
        <w:t>By contrast, the term quantum advantage is gen­ erally used to denote the superiority of a quantum computer in solving a practical, useful problem faster or more accurately than a classical computer.</w:t>
      </w:r>
    </w:p>
    <w:p>
      <w:pPr>
        <w:pStyle w:val="DocBody"/>
      </w:pPr>
      <w:r>
        <w:rPr>
          <w:rFonts w:ascii="Times New Roman" w:hAnsi="Times New Roman" w:eastAsia="宋体"/>
          <w:sz w:val="24"/>
        </w:rPr>
        <w:t>In addition, it signals a relevance to real-world tasks and potential commercial applicability. To date, true quantum advantage in computing has not been achieved on any useful real-world problem.</w:t>
      </w:r>
    </w:p>
    <w:p>
      <w:pPr>
        <w:pStyle w:val="DocBody"/>
      </w:pPr>
      <w:r>
        <w:rPr>
          <w:rFonts w:ascii="Times New Roman" w:hAnsi="Times New Roman" w:eastAsia="宋体"/>
          <w:sz w:val="24"/>
        </w:rPr>
        <w:t>Quantum Communication Essential Points Post-quantum encryption algorithms are already ° being deployed and used to protect against attacks based on factoring and related problems.</w:t>
      </w:r>
    </w:p>
    <w:p>
      <w:pPr>
        <w:pStyle w:val="DocBody"/>
      </w:pPr>
      <w:r>
        <w:rPr>
          <w:rFonts w:ascii="Times New Roman" w:hAnsi="Times New Roman" w:eastAsia="宋体"/>
          <w:sz w:val="24"/>
        </w:rPr>
        <w:t>Quantum communication for key distribution will be broadly useful only if it turns out that these algorithms are fawed in practice.</w:t>
      </w:r>
    </w:p>
    <w:p>
      <w:pPr>
        <w:pStyle w:val="DocBody"/>
      </w:pPr>
      <w:r>
        <w:rPr>
          <w:rFonts w:ascii="Times New Roman" w:hAnsi="Times New Roman" w:eastAsia="宋体"/>
          <w:sz w:val="24"/>
        </w:rPr>
        <w:t>Quantum networking for connecting individual ° quantum computing modules will likely be nec­ essary at least in the shorter term to solve useful or meaningful problems.</w:t>
      </w:r>
    </w:p>
    <w:p>
      <w:pPr>
        <w:pStyle w:val="DocBody"/>
      </w:pPr>
      <w:r>
        <w:rPr>
          <w:rFonts w:ascii="Times New Roman" w:hAnsi="Times New Roman" w:eastAsia="宋体"/>
          <w:sz w:val="24"/>
        </w:rPr>
        <w:t>About Quantum Communication Quantum communication uses the principles of quan­ tum mechanics, such as superposition and entangle­ ment, to encode, transmit, and secure information between separate systems. It has two primary appli­ cations: One is related to privacy and security in data transmission and identifcation. The other is transmis­ sion of intrinsically quantum data, essential for tasks in scalable quantum computing and networks of sen­ sors linked through quantum entanglement.</w:t>
      </w:r>
    </w:p>
    <w:p>
      <w:pPr>
        <w:pStyle w:val="DocBody"/>
      </w:pPr>
      <w:r>
        <w:rPr>
          <w:rFonts w:ascii="Times New Roman" w:hAnsi="Times New Roman" w:eastAsia="宋体"/>
          <w:sz w:val="24"/>
        </w:rPr>
        <w:t>Quantum-Enabled Data Security The security afforded by quantum communication is based on its application to what is known as the key distribution problem, an essential element of secure digital communication.</w:t>
      </w:r>
    </w:p>
    <w:p>
      <w:pPr>
        <w:pStyle w:val="DocBody"/>
      </w:pPr>
      <w:r>
        <w:rPr>
          <w:rFonts w:ascii="Times New Roman" w:hAnsi="Times New Roman" w:eastAsia="宋体"/>
          <w:sz w:val="24"/>
        </w:rPr>
        <w:t>Today’s public-key cryptography, discussed in chap­ ter 3, on cryptography and computer security, is sus­ ceptible to attacks from future quantum computers.</w:t>
      </w:r>
    </w:p>
    <w:p>
      <w:pPr>
        <w:pStyle w:val="DocBody"/>
      </w:pPr>
      <w:r>
        <w:rPr>
          <w:rFonts w:ascii="Times New Roman" w:hAnsi="Times New Roman" w:eastAsia="宋体"/>
          <w:sz w:val="24"/>
        </w:rPr>
        <w:t>This is because, as discussed earlier, it relies upon the diffculty of factoring large numbers (or other related problems) for its security. Cryptographers are developing quantum-resistant algorithms—more precisely, algorithms that will resist Shor’s algorithm running on quantum computers. However, if they are unsuccessful, alternative key distribution meth­ ods, such as quantum key distribution (QKD), will be necessary.</w:t>
      </w:r>
    </w:p>
    <w:p>
      <w:pPr>
        <w:pStyle w:val="DocBody"/>
      </w:pPr>
      <w:r>
        <w:rPr>
          <w:rFonts w:ascii="Times New Roman" w:hAnsi="Times New Roman" w:eastAsia="宋体"/>
          <w:sz w:val="24"/>
        </w:rPr>
        <w:t>QKD does not rely on the infeasibility of obtain­ ing private keys from public keys. The security it affords is based on the fact that quantum informa­ tion cannot be copied.20 That is, it is impossible to create an exact, independent copy of an arbitrary and unknown quantum state—a statement known as the no-cloning theorem. Copying quantum informa­ tion always perturbs the original in detectable ways.</w:t>
      </w:r>
    </w:p>
    <w:p>
      <w:pPr>
        <w:pStyle w:val="DocBody"/>
      </w:pPr>
      <w:r>
        <w:rPr>
          <w:rFonts w:ascii="Times New Roman" w:hAnsi="Times New Roman" w:eastAsia="宋体"/>
          <w:sz w:val="24"/>
        </w:rPr>
        <w:t>By contrast, classical information can be perfectly copied without perturbation to the original.</w:t>
      </w:r>
    </w:p>
    <w:p>
      <w:pPr>
        <w:pStyle w:val="DocBody"/>
      </w:pPr>
      <w:r>
        <w:rPr>
          <w:rFonts w:ascii="Times New Roman" w:hAnsi="Times New Roman" w:eastAsia="宋体"/>
          <w:sz w:val="24"/>
        </w:rPr>
        <w:t>If quantum information cannot be copied, it means that it is impossible to eavesdrop on communications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conducted with quantum data. Eavesdropping entails a third party—say, someone called Eve— listening in to a communication from Alice to Bob.</w:t>
      </w:r>
    </w:p>
    <w:p>
      <w:pPr>
        <w:pStyle w:val="DocBody"/>
      </w:pPr>
      <w:r>
        <w:rPr>
          <w:rFonts w:ascii="Times New Roman" w:hAnsi="Times New Roman" w:eastAsia="宋体"/>
          <w:sz w:val="24"/>
        </w:rPr>
        <w:t>If that communication is conducted with classical data, Eve can intercept it in transit without Alice’s or Bob’s knowledge. Interception implies making a copy of the information that is in transit: The original version is what Alice sends to Bob and is in Bob’s possession, and the copy is what Eve has after the interception.</w:t>
      </w:r>
    </w:p>
    <w:p>
      <w:pPr>
        <w:pStyle w:val="DocBody"/>
      </w:pPr>
      <w:r>
        <w:rPr>
          <w:rFonts w:ascii="Times New Roman" w:hAnsi="Times New Roman" w:eastAsia="宋体"/>
          <w:sz w:val="24"/>
        </w:rPr>
        <w:t>But if the communication is conducted with quan­ tum data, the impossibility of copying quantum information means that if Eve attempts to inter­ cept the message, her interaction will perturb the quantum state of it. As a result, Bob will be able to detect Eve’s presence either by a failure to receive the information or by observing measurable errors or anomalies in the received data caused by the per­ turbation. If Bob receives the quantum information without any such disturbance, it indicates that no third party has accessed the message. In this case, Alice and Bob can use the received quantum infor­ mation to securely establish a shared cryptographic key, which can then be used to protect subsequent communications between them. This is the process known as QKD.</w:t>
      </w:r>
    </w:p>
    <w:p>
      <w:pPr>
        <w:pStyle w:val="DocBody"/>
      </w:pPr>
      <w:r>
        <w:rPr>
          <w:rFonts w:ascii="Times New Roman" w:hAnsi="Times New Roman" w:eastAsia="宋体"/>
          <w:sz w:val="24"/>
        </w:rPr>
        <w:t>Quantum communication is often regarded as a guarantor of perfect data security. For example, the European Telecommunications Standards Institute asserts that “QKD is secure now and always will be.</w:t>
      </w:r>
    </w:p>
    <w:p>
      <w:pPr>
        <w:pStyle w:val="DocBody"/>
      </w:pPr>
      <w:r>
        <w:rPr>
          <w:rFonts w:ascii="Times New Roman" w:hAnsi="Times New Roman" w:eastAsia="宋体"/>
          <w:sz w:val="24"/>
        </w:rPr>
        <w:t>By enabling provable security based on fundamen­ tal laws of quantum physics, QKD remains resilient even to future advances in cryptanalysis or in quan­ tum computing.”21 This claim is true as far as it goes, but it omits several important points:</w:t>
      </w:r>
    </w:p>
    <w:p>
      <w:pPr>
        <w:pStyle w:val="DocBody"/>
      </w:pPr>
      <w:r>
        <w:rPr>
          <w:rFonts w:ascii="Times New Roman" w:hAnsi="Times New Roman" w:eastAsia="宋体"/>
          <w:sz w:val="24"/>
        </w:rPr>
        <w:t>QKD securely distributes only shared keys that ° can be used with existing symmetric encryption algorithms. The physical endpoints of the com­ munication system must still be secured. QKD does not by itself solve related challenges such as authentication, side-channel attacks, and man­ in-the-middle attacks.22 Existing symmetric encryption algorithms using ° long keys already provide effectively unbreak­ able protection for data in transit, and Shor’s algorithm provides no leverage in breaking sym­ metric algorithms. Other quantum algorithms provide modest (polynomial) assistance that is still entirely insuffcient to break the encryption algorithms in any reasonable time frame.</w:t>
      </w:r>
    </w:p>
    <w:p>
      <w:pPr>
        <w:pStyle w:val="DocBody"/>
      </w:pPr>
      <w:r>
        <w:rPr>
          <w:rFonts w:ascii="Times New Roman" w:hAnsi="Times New Roman" w:eastAsia="宋体"/>
          <w:sz w:val="24"/>
        </w:rPr>
        <w:t>As noted earlier, quantum communication in the ° form of QKD provides a hedge against a failure to develop public-key encryption algorithms resistant to being broken by quantum computers.</w:t>
      </w:r>
    </w:p>
    <w:p>
      <w:pPr>
        <w:pStyle w:val="DocBody"/>
      </w:pPr>
      <w:r>
        <w:rPr>
          <w:rFonts w:ascii="Times New Roman" w:hAnsi="Times New Roman" w:eastAsia="宋体"/>
          <w:sz w:val="24"/>
        </w:rPr>
        <w:t>But by and large, the cryptographic community has considerable confdence that the attempt to develop such algorithms will be successful.</w:t>
      </w:r>
    </w:p>
    <w:p>
      <w:pPr>
        <w:pStyle w:val="DocBody"/>
      </w:pPr>
      <w:r>
        <w:rPr>
          <w:rFonts w:ascii="Times New Roman" w:hAnsi="Times New Roman" w:eastAsia="宋体"/>
          <w:sz w:val="24"/>
        </w:rPr>
        <w:t>QKD’s security is effective only when two parties ° share an already-established trust relationship (e.g., through an initial face-to-face meeting in which they share a secret key so they can later verify their identities to each other). Using QKD, strangers without such a relationship will be able to communicate securely only by relying on trust­ worthy third parties to establish that initial trust relationship.</w:t>
      </w:r>
    </w:p>
    <w:p>
      <w:pPr>
        <w:pStyle w:val="DocBody"/>
      </w:pPr>
      <w:r>
        <w:rPr>
          <w:rFonts w:ascii="Times New Roman" w:hAnsi="Times New Roman" w:eastAsia="宋体"/>
          <w:sz w:val="24"/>
        </w:rPr>
        <w:t>Quantum Networking The security benefts for quantum-enabled data security described above will require the ability to transmit and share quantum information at a range of distances: QKD between continents would require establishing links over very long distances.</w:t>
      </w:r>
    </w:p>
    <w:p>
      <w:pPr>
        <w:pStyle w:val="DocBody"/>
      </w:pPr>
      <w:r>
        <w:rPr>
          <w:rFonts w:ascii="Times New Roman" w:hAnsi="Times New Roman" w:eastAsia="宋体"/>
          <w:sz w:val="24"/>
        </w:rPr>
        <w:t>Building multi-node quantum supercomputers, on the other hand, may require networking over only tens of meters. Such distributed quantum com­ puting can help to overcome individual quantum devices’ hardware limitations. Quantum networking can also enhance quantum sensors through coordi­ nated operation. (More details on this can be found in the Quantum Sensing section later in this chapter.)</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pPr>
      <w:r>
        <w:rPr>
          <w:rFonts w:ascii="Times New Roman" w:hAnsi="Times New Roman" w:eastAsia="宋体"/>
          <w:sz w:val="24"/>
        </w:rPr>
        <w:t>Quantum networking entails many technical chal­ lenges, all focused on how to transfer quantum information between quantum computers or other quantum devices without loss. Because quantum information cannot be copied, it must be moved from point to point rather than replicated and then sent; this makes any losses during transmis­ sion extremely detrimental to quantum computers’</w:t>
      </w:r>
    </w:p>
    <w:p>
      <w:pPr>
        <w:pStyle w:val="DocBody"/>
      </w:pPr>
      <w:r>
        <w:rPr>
          <w:rFonts w:ascii="Times New Roman" w:hAnsi="Times New Roman" w:eastAsia="宋体"/>
          <w:sz w:val="24"/>
        </w:rPr>
        <w:t>operation.</w:t>
      </w:r>
    </w:p>
    <w:p>
      <w:pPr>
        <w:pStyle w:val="DocBody"/>
      </w:pPr>
      <w:r>
        <w:rPr>
          <w:rFonts w:ascii="Times New Roman" w:hAnsi="Times New Roman" w:eastAsia="宋体"/>
          <w:sz w:val="24"/>
        </w:rPr>
        <w:t>One of these approaches depends on the comput­ ers involved being of the same design, thus eliminat­ ing the need to convert information from one form to another. This avoids the losses inherent in any such conversion. For example, to move information between quantum computers based on supercon­ ducting circuits, a networking design could require the qubits to remain in an ultra-low-temperature cryogenic environment. Such an environment would ensure that they maintain their quantum form and would minimize the risk of losses caused by noise, even very small vibrations or changes in tempera­ ture. This could be accomplished by housing the communicating computers within a single large cryogenic system or in a network of cryogenic envi­ ronments connected by superconducting coaxial cables.</w:t>
      </w:r>
    </w:p>
    <w:p>
      <w:pPr>
        <w:pStyle w:val="DocBody"/>
      </w:pPr>
      <w:r>
        <w:rPr>
          <w:rFonts w:ascii="Times New Roman" w:hAnsi="Times New Roman" w:eastAsia="宋体"/>
          <w:sz w:val="24"/>
        </w:rPr>
        <w:t>A second approach is transduction, which is the pro­ cess of converting quantum information from one physical quantum system to another without losing its quantum properties.23 Quantum transduction to optical photons (typically in fbers) is essential for net­ working quantum processors over long distances.24 It is also essential whenever quantum information must be transmitted through room-temperature, non-vacuum environments.</w:t>
      </w:r>
    </w:p>
    <w:p>
      <w:pPr>
        <w:pStyle w:val="DocBody"/>
      </w:pPr>
      <w:r>
        <w:rPr>
          <w:rFonts w:ascii="Times New Roman" w:hAnsi="Times New Roman" w:eastAsia="宋体"/>
          <w:sz w:val="24"/>
        </w:rPr>
        <w:t>Typical examples of transduction include convert­ ing quantum information from states of an atom or superconducting qubit to states of a photon for transmission over an optical fber network. In these cases, the quantum transducer converts quantum signals encoded as atomic spins or microwave pho­ tons into optical photons and vice versa while pre­ serving their quantum state.</w:t>
      </w:r>
    </w:p>
    <w:p>
      <w:pPr>
        <w:pStyle w:val="DocBody"/>
      </w:pPr>
      <w:r>
        <w:rPr>
          <w:rFonts w:ascii="Times New Roman" w:hAnsi="Times New Roman" w:eastAsia="宋体"/>
          <w:sz w:val="24"/>
        </w:rPr>
        <w:t>For long-distance quantum communication (many kilometers and above), quantum repeaters may be needed. A quantum signal traveling long distances degrades because information-carrying photons are eventually lost during transmission due to absorp­ tion by the glass comprising the optical fber.</w:t>
      </w:r>
    </w:p>
    <w:p>
      <w:pPr>
        <w:pStyle w:val="DocBody"/>
      </w:pPr>
      <w:r>
        <w:rPr>
          <w:rFonts w:ascii="Times New Roman" w:hAnsi="Times New Roman" w:eastAsia="宋体"/>
          <w:sz w:val="24"/>
        </w:rPr>
        <w:t>To deal with this loss, quantum repeaters—essen­ tially small quantum computers dedicated to a single function—must frst build up entanglement between adjacent nodes of the network. They then use that entanglement along with classical com­ munication to generate longer and longer range entanglement. Preserving the qubits and their entanglement in quantum memory at each node (i.e., at each repeater) as the chain grows, this process continues until the entanglement spans the entire network. At that point, the network can be employed—again in conjunction with classical communication—to teleport quantum information without errors or loss across its full extent.</w:t>
      </w:r>
    </w:p>
    <w:p>
      <w:pPr>
        <w:pStyle w:val="DocBody"/>
      </w:pPr>
      <w:r>
        <w:rPr>
          <w:rFonts w:ascii="Times New Roman" w:hAnsi="Times New Roman" w:eastAsia="宋体"/>
          <w:sz w:val="24"/>
        </w:rPr>
        <w:t>Quantum networking entails many technical challenges, all focused on how to transfer quantum information between quantum computers or other quantum devices without loss.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Such repeaters, which are the subject of intense research activity, would make it possible to move quantum information from one place to another without making a copy of the original quantum state (which would otherwise violate the no-cloning theo­ rem) in the presence of loss.</w:t>
      </w:r>
    </w:p>
    <w:p>
      <w:pPr>
        <w:pStyle w:val="DocBody"/>
      </w:pPr>
      <w:r>
        <w:rPr>
          <w:rFonts w:ascii="Times New Roman" w:hAnsi="Times New Roman" w:eastAsia="宋体"/>
          <w:sz w:val="24"/>
        </w:rPr>
        <w:t>Key Developments Some important technology developments in quan­ tum communication in recent years include the following:</w:t>
      </w:r>
    </w:p>
    <w:p>
      <w:pPr>
        <w:pStyle w:val="DocBody"/>
      </w:pPr>
      <w:r>
        <w:rPr>
          <w:rFonts w:ascii="Times New Roman" w:hAnsi="Times New Roman" w:eastAsia="宋体"/>
          <w:sz w:val="24"/>
        </w:rPr>
        <w:t>Interconnects Researchers in China have built ° low-loss superconducting interconnects that enable high-fdelity quantum information transfer between modular quantum processor units.25 A quantum interconnect is a device or system that links different quantum components—such as quantum processors, sensors, or memories—so they can exchange and process quantum infor­ mation coherently.</w:t>
      </w:r>
    </w:p>
    <w:p>
      <w:pPr>
        <w:pStyle w:val="DocBody"/>
      </w:pPr>
      <w:r>
        <w:rPr>
          <w:rFonts w:ascii="Times New Roman" w:hAnsi="Times New Roman" w:eastAsia="宋体"/>
          <w:sz w:val="24"/>
        </w:rPr>
        <w:t>Repeaters A prototype quantum repeater that ° successfully distributes entanglement between two trapped-ion nodes separated by 50 kilome­ ters (km) of optical fber has been demonstrated.26 This system integrates telecom-wavelength photon conversion to minimize transmission loss with quan­ tum memories for storing entangled states and entanglement-swapping protocols, marking a crit­ ical advance toward scalable quantum networks.</w:t>
      </w:r>
    </w:p>
    <w:p>
      <w:pPr>
        <w:pStyle w:val="DocBody"/>
      </w:pPr>
      <w:r>
        <w:rPr>
          <w:rFonts w:ascii="Times New Roman" w:hAnsi="Times New Roman" w:eastAsia="宋体"/>
          <w:sz w:val="24"/>
        </w:rPr>
        <w:t>Approaches to transduction Some of the ° leading approaches to transduction include the following:</w:t>
      </w:r>
    </w:p>
    <w:p>
      <w:pPr>
        <w:pStyle w:val="DocBody"/>
      </w:pPr>
      <w:r>
        <w:rPr>
          <w:rFonts w:ascii="Times New Roman" w:hAnsi="Times New Roman" w:eastAsia="宋体"/>
          <w:sz w:val="24"/>
        </w:rPr>
        <w:t>– Atomic decay–based transduction This uses atoms or ions that absorb and emit light, helping transfer quantum information from one form (like microwave signals) to another (like optical light) without losing it.27 – Integrated microwave­to­optical transduc­ tion Tiny optical circuits on chips convert quantum signals between microwave and optical light.28 These devices can use either optomechanical or electro-optical interac­ tions as the base physical process (see below).</w:t>
      </w:r>
    </w:p>
    <w:p>
      <w:pPr>
        <w:pStyle w:val="DocBody"/>
      </w:pPr>
      <w:r>
        <w:rPr>
          <w:rFonts w:ascii="Times New Roman" w:hAnsi="Times New Roman" w:eastAsia="宋体"/>
          <w:sz w:val="24"/>
        </w:rPr>
        <w:t>Integrated transducers can achieve high-rate transduction with reduced heat production.29 – Optomechanical transduction Mechanical vibrations act as an intermediary between light and microwaves. These approaches have successfully demonstrated effcient bidirec­ tional conversion30 and microwave-optical entanglement.31 – Electro­optical transduction The electric felds of the microwave photons modify the optical properties of a material to affect the microwave-to-optical conversion.32 Despite signifcant progress, even the ap­ proaches that have succeeded in demonstrating microwave-optical entanglement currently do so at a quantum information transmission rate and fdelity signifcantly below what is needed to perform networked quantum computation.</w:t>
      </w:r>
    </w:p>
    <w:p>
      <w:pPr>
        <w:pStyle w:val="DocBody"/>
      </w:pPr>
      <w:r>
        <w:rPr>
          <w:rFonts w:ascii="Times New Roman" w:hAnsi="Times New Roman" w:eastAsia="宋体"/>
          <w:sz w:val="24"/>
        </w:rPr>
        <w:t>Importantly, current microwave-optical conver­ sion rates are roughly six orders of magnitude smaller than the rate at which qubits in the same cryogenic environment can natively communi­ cate with each other.</w:t>
      </w:r>
    </w:p>
    <w:p>
      <w:pPr>
        <w:pStyle w:val="DocBody"/>
      </w:pPr>
      <w:r>
        <w:rPr>
          <w:rFonts w:ascii="Times New Roman" w:hAnsi="Times New Roman" w:eastAsia="宋体"/>
          <w:sz w:val="24"/>
        </w:rPr>
        <w:t>Transducer effciency New architectures have ° been developed that signifcantly increase the effciency and speed of atom-to-photon quantum transducers.33 Based on arrays of optical cavities, which are structures formed by pairs of highly refective mirrors that can confne photons, the new architecture enables simultaneous transduc­ tion from many atoms. This advance is a step in the direction of higher-rate transmission in quan­ tum networks.</w:t>
      </w:r>
    </w:p>
    <w:p>
      <w:pPr>
        <w:pStyle w:val="DocBody"/>
      </w:pPr>
      <w:r>
        <w:rPr>
          <w:rFonts w:ascii="Times New Roman" w:hAnsi="Times New Roman" w:eastAsia="宋体"/>
          <w:sz w:val="24"/>
        </w:rPr>
        <w:t>Operational tests Quantum-enabled data ° security affordances have been tested in opera­ tional scenarios by fnancial institutions such as HSBC,34 JPMorgan Chase,35 and Shinhan Bank in South Korea.36 Other demonstrations have shown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pPr>
      <w:r>
        <w:rPr>
          <w:rFonts w:ascii="Times New Roman" w:hAnsi="Times New Roman" w:eastAsia="宋体"/>
          <w:sz w:val="24"/>
        </w:rPr>
        <w:t>that QKD can operate over hundreds of kilome­ ters37 and even in space via the use of satellites and ground stations.38 Over the Horizon Quantum communication is expensive and techno­ logically diffcult to put into place on a large scale.</w:t>
      </w:r>
    </w:p>
    <w:p>
      <w:pPr>
        <w:pStyle w:val="DocBody"/>
      </w:pPr>
      <w:r>
        <w:rPr>
          <w:rFonts w:ascii="Times New Roman" w:hAnsi="Times New Roman" w:eastAsia="宋体"/>
          <w:sz w:val="24"/>
        </w:rPr>
        <w:t>For it to be effective at such scale, it must solve prob­ lems less expensively than other approaches. As dis­ cussed in chapter 3, on cryptography and computer security, a variety of efforts are underway to deploy post-quantum encryption algorithms to resist quan­ tum computing approaches to crack them. The security afforded by quantum communication will be valuable and important only if these efforts fail.</w:t>
      </w:r>
    </w:p>
    <w:p>
      <w:pPr>
        <w:pStyle w:val="DocBody"/>
      </w:pPr>
      <w:r>
        <w:rPr>
          <w:rFonts w:ascii="Times New Roman" w:hAnsi="Times New Roman" w:eastAsia="宋体"/>
          <w:sz w:val="24"/>
        </w:rPr>
        <w:t>Even as the technology for quantum communication matures, classical networking will continue to handle most data traffc.39 The vast majority of data in the world is classical, and classical networks are far more effcient and far faster for high-bandwidth communi­ cations. Quantum networks are inherently prone to loss and noise, limiting distance and speed, and their reliance on complex hardware like quantum repeaters restricts scalability. In short, quantum networks will at best complement, but not supersede, their classical counterparts in secure communication applications.</w:t>
      </w:r>
    </w:p>
    <w:p>
      <w:pPr>
        <w:pStyle w:val="DocBody"/>
      </w:pPr>
      <w:r>
        <w:rPr>
          <w:rFonts w:ascii="Times New Roman" w:hAnsi="Times New Roman" w:eastAsia="宋体"/>
          <w:sz w:val="24"/>
        </w:rPr>
        <w:t>Nonetheless, it is expected that future networking between quantum data centers will enable joint, distributed quantum computations that surpass the capabilities of isolated quantum processors. This scaling approach is critical because of the physical and technical challenges in building large mono­ lithic quantum computers. In this context, a “quan­ tum internet” is likely to emerge.40 This will likely involve localized quantum data centers performing the heavy lifting and more modest quantum devices securely querying them and communicating with one another. Networking between these quantum data centers will enable even larger calculations.</w:t>
      </w:r>
    </w:p>
    <w:p>
      <w:pPr>
        <w:pStyle w:val="DocBody"/>
      </w:pPr>
      <w:r>
        <w:rPr>
          <w:rFonts w:ascii="Times New Roman" w:hAnsi="Times New Roman" w:eastAsia="宋体"/>
          <w:sz w:val="24"/>
        </w:rPr>
        <w:t>Finally, large-scale quantum networks may enable novel applications beyond secure communication and sensing. Speculatively, these include the following:</w:t>
      </w:r>
    </w:p>
    <w:p>
      <w:pPr>
        <w:pStyle w:val="DocBody"/>
      </w:pPr>
      <w:r>
        <w:rPr>
          <w:rFonts w:ascii="Times New Roman" w:hAnsi="Times New Roman" w:eastAsia="宋体"/>
          <w:sz w:val="24"/>
        </w:rPr>
        <w:t>Quantum­assisted location verifcation and ° encryption A protocol called quantum geo­ encryption could allow data to be decrypted only at a specifc geographic location or time, enhanc­ ing security against unauthorized or improper access.41 Entanglement­enhanced clock comparisons ° Networks of optical clocks can surpass classical precision limits in frequency and time measure­ ment, enabling applications in fundamental phys­ ics tests, navigation, and geodesy.42 Spoofng­proof timing synchronization Using ° quantum entanglement properties for time syn­ chronization could make timing systems much more resistant to spoofng or jamming attacks.</w:t>
      </w:r>
    </w:p>
    <w:p>
      <w:pPr>
        <w:pStyle w:val="DocBody"/>
      </w:pPr>
      <w:r>
        <w:rPr>
          <w:rFonts w:ascii="Times New Roman" w:hAnsi="Times New Roman" w:eastAsia="宋体"/>
          <w:sz w:val="24"/>
        </w:rPr>
        <w:t>This would improve the reliability of global nav­ igation satellite systems, such as GPS, Russia’s GLONASS, and the European Union’s Galileo.43 Quantum Sensing Essential Points Quantum sensing is the most mature of quan­ ° tum technologies and is uniquely well suited for applications that involve small signals or that are delicate. These include astronomy (which requires capture of dim images), bioimaging (which requires that the light source not damage delicate specimens), and ultra-low-power plat­ forms. Quantum sensing demonstrably excels in areas where classical probes are impractical, inva­ sive, or inadequate, including gravitational-wave detection, precision timekeeping, and nanoscale feld sensing.</w:t>
      </w:r>
    </w:p>
    <w:p>
      <w:pPr>
        <w:pStyle w:val="DocBody"/>
      </w:pPr>
      <w:r>
        <w:rPr>
          <w:rFonts w:ascii="Times New Roman" w:hAnsi="Times New Roman" w:eastAsia="宋体"/>
          <w:sz w:val="24"/>
        </w:rPr>
        <w:t>Quantum sensors increase their sensitivity by ° frst suppressing classical sources of noise (e.g.,</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technical or engineering noise). They then use quantum techniques for controlling quantum noise resulting from quantum effects such as the uncertainty principle. Quantum sensors do not eliminate all noise issues.</w:t>
      </w:r>
    </w:p>
    <w:p>
      <w:pPr>
        <w:pStyle w:val="DocBody"/>
      </w:pPr>
      <w:r>
        <w:rPr>
          <w:rFonts w:ascii="Times New Roman" w:hAnsi="Times New Roman" w:eastAsia="宋体"/>
          <w:sz w:val="24"/>
        </w:rPr>
        <w:t>True quantum advantage is not demonstrated by ° individual devices that show exceptional sensitiv­ ity only under idealized, highly controlled condi­ tions. Rather it is demonstrated by a full system that outperforms a well-optimized classical base­ line under equal resource constraints (size, weight, power, integration time). The system’s sensitivity must reach and be maintained at the quantum noise limit in a robust, practically engineered package that doesn’t require complex calibration and is rugged enough to use under changing environmental conditions.</w:t>
      </w:r>
    </w:p>
    <w:p>
      <w:pPr>
        <w:pStyle w:val="DocBody"/>
      </w:pPr>
      <w:r>
        <w:rPr>
          <w:rFonts w:ascii="Times New Roman" w:hAnsi="Times New Roman" w:eastAsia="宋体"/>
          <w:sz w:val="24"/>
        </w:rPr>
        <w:t>The advancement of practical quantum sensing ° is dominated by engineering challenges. These include the effective integration of system compo­ nents, minimization of signal loss, and the devel­ opment of compact, reliable photonic devices.</w:t>
      </w:r>
    </w:p>
    <w:p>
      <w:pPr>
        <w:pStyle w:val="DocBody"/>
      </w:pPr>
      <w:r>
        <w:rPr>
          <w:rFonts w:ascii="Times New Roman" w:hAnsi="Times New Roman" w:eastAsia="宋体"/>
          <w:sz w:val="24"/>
        </w:rPr>
        <w:t>Additionally, if sensors are networked, the chal­ lenges also include the establishment of precise timing and phase coordination, the reduction of losses in interconnections, and reliable synchro­ nization across the network. Classical networking of quantum-enhanced nodes is likely to mature before fully entangled networks are feldable.</w:t>
      </w:r>
    </w:p>
    <w:p>
      <w:pPr>
        <w:pStyle w:val="DocBody"/>
      </w:pPr>
      <w:r>
        <w:rPr>
          <w:rFonts w:ascii="Times New Roman" w:hAnsi="Times New Roman" w:eastAsia="宋体"/>
          <w:sz w:val="24"/>
        </w:rPr>
        <w:t>Networked and coordinated quantum sensing ° offer a number of benefts in principle, such as better ways to minimize the impact of noise and more accurate estimation of certain quantum wave properties important for sensing. However, realizing them in practice is a signifcant chal­ lenge separate from single-node engineering.</w:t>
      </w:r>
    </w:p>
    <w:p>
      <w:pPr>
        <w:pStyle w:val="DocBody"/>
      </w:pPr>
      <w:r>
        <w:rPr>
          <w:rFonts w:ascii="Times New Roman" w:hAnsi="Times New Roman" w:eastAsia="宋体"/>
          <w:sz w:val="24"/>
        </w:rPr>
        <w:t>About Quantum Sensing Sensing gathers information about the world, from telling time to detecting faint signals, such as light or gravitational felds. Many sensor improvements over the years have been driven by advances in materi­ als, electronics, and data processing. However, as sensors are made more sensitive, they eventually hit the limits of classical measurement precision.</w:t>
      </w:r>
    </w:p>
    <w:p>
      <w:pPr>
        <w:pStyle w:val="DocBody"/>
      </w:pPr>
      <w:r>
        <w:rPr>
          <w:rFonts w:ascii="Times New Roman" w:hAnsi="Times New Roman" w:eastAsia="宋体"/>
          <w:sz w:val="24"/>
        </w:rPr>
        <w:t>These limits can sometimes be overcome by devot­ ing more energy or time to the sensing process.</w:t>
      </w:r>
    </w:p>
    <w:p>
      <w:pPr>
        <w:pStyle w:val="DocBody"/>
      </w:pPr>
      <w:r>
        <w:rPr>
          <w:rFonts w:ascii="Times New Roman" w:hAnsi="Times New Roman" w:eastAsia="宋体"/>
          <w:sz w:val="24"/>
        </w:rPr>
        <w:t>Quantum sensing exploits quantum mechanics to achieve greater sensitivity per photon, per atom, per second, or per joule of energy. It does this through techniques such as entanglement, squeezed states of light, and quantum feedback.</w:t>
      </w:r>
    </w:p>
    <w:p>
      <w:pPr>
        <w:pStyle w:val="DocBody"/>
      </w:pPr>
      <w:r>
        <w:rPr>
          <w:rFonts w:ascii="Times New Roman" w:hAnsi="Times New Roman" w:eastAsia="宋体"/>
          <w:sz w:val="24"/>
        </w:rPr>
        <w:t>Entanglement refers to linking particles so their ° states become correlated, enhancing measure­ ment precision.</w:t>
      </w:r>
    </w:p>
    <w:p>
      <w:pPr>
        <w:pStyle w:val="DocBody"/>
      </w:pPr>
      <w:r>
        <w:rPr>
          <w:rFonts w:ascii="Times New Roman" w:hAnsi="Times New Roman" w:eastAsia="宋体"/>
          <w:sz w:val="24"/>
        </w:rPr>
        <w:t>Squeezed light refers to light prepared in a way ° that reduces the noise due to random photon arrival times, thereby improving sensitivity beyond what is possible with classical instruments.</w:t>
      </w:r>
    </w:p>
    <w:p>
      <w:pPr>
        <w:pStyle w:val="DocBody"/>
      </w:pPr>
      <w:r>
        <w:rPr>
          <w:rFonts w:ascii="Times New Roman" w:hAnsi="Times New Roman" w:eastAsia="宋体"/>
          <w:sz w:val="24"/>
        </w:rPr>
        <w:t>Quantum feedback involves controlling quan­ ° tum systems in real time to correct errors and boost measurement accuracy.</w:t>
      </w:r>
    </w:p>
    <w:p>
      <w:pPr>
        <w:pStyle w:val="DocBody"/>
      </w:pPr>
      <w:r>
        <w:rPr>
          <w:rFonts w:ascii="Times New Roman" w:hAnsi="Times New Roman" w:eastAsia="宋体"/>
          <w:sz w:val="24"/>
        </w:rPr>
        <w:t>Quantum sensors measure diverse phenomena including time, magnetic and electric felds, mass, and forces such as gravity. To achieve their advanced sensitivity, these devices must protect the fragile quantum properties of their probes from the exter­ nal environment through to the fnal measurement.</w:t>
      </w:r>
    </w:p>
    <w:p>
      <w:pPr>
        <w:pStyle w:val="DocBody"/>
      </w:pPr>
      <w:r>
        <w:rPr>
          <w:rFonts w:ascii="Times New Roman" w:hAnsi="Times New Roman" w:eastAsia="宋体"/>
          <w:sz w:val="24"/>
        </w:rPr>
        <w:t>For sensors based on matter—such as neutral ° atoms, ions, or nitrogen-vacancy (NV) centers in diamonds—this typically means shielding them to extend their coherence time (i.e., the time over which their probes retain their quantum state information).</w:t>
      </w:r>
    </w:p>
    <w:p>
      <w:pPr>
        <w:pStyle w:val="DocBody"/>
      </w:pPr>
      <w:r>
        <w:rPr>
          <w:rFonts w:ascii="Times New Roman" w:hAnsi="Times New Roman" w:eastAsia="宋体"/>
          <w:sz w:val="24"/>
        </w:rPr>
        <w:t>For photonic sensors, the dominant challenge is ° different: Optical loss must be minimized as light travels and interacts with the sample because lost photons irrevocably degrade the quantum advan­ tage of the sensor. Furthermore, the fnal mea­ surement itself must be nearly perfect; this often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pPr>
      <w:r>
        <w:rPr>
          <w:rFonts w:ascii="Times New Roman" w:hAnsi="Times New Roman" w:eastAsia="宋体"/>
          <w:sz w:val="24"/>
        </w:rPr>
        <w:t>requires specialized hardware like high-quantum­ effciency photodetectors to ensure the delicate quantum information is read out without being destroyed.</w:t>
      </w:r>
    </w:p>
    <w:p>
      <w:pPr>
        <w:pStyle w:val="DocBody"/>
      </w:pPr>
      <w:r>
        <w:rPr>
          <w:rFonts w:ascii="Times New Roman" w:hAnsi="Times New Roman" w:eastAsia="宋体"/>
          <w:sz w:val="24"/>
        </w:rPr>
        <w:t>Quantum sensing repurposes a fundamental chal­ lenge from quantum computing: While a quantum computer must be shielded from environmental noise, a sensor uses its quantum components as sensitive probes that intentionally interact with spe­ cifc parts or properties of the environment to obtain information about it.</w:t>
      </w:r>
    </w:p>
    <w:p>
      <w:pPr>
        <w:pStyle w:val="DocBody"/>
      </w:pPr>
      <w:r>
        <w:rPr>
          <w:rFonts w:ascii="Times New Roman" w:hAnsi="Times New Roman" w:eastAsia="宋体"/>
          <w:sz w:val="24"/>
        </w:rPr>
        <w:t>This distinction shows how the same quantum sys­ tems can be used differently by leveraging their unique properties for either computation or sensing.</w:t>
      </w:r>
    </w:p>
    <w:p>
      <w:pPr>
        <w:pStyle w:val="DocBody"/>
      </w:pPr>
      <w:r>
        <w:rPr>
          <w:rFonts w:ascii="Times New Roman" w:hAnsi="Times New Roman" w:eastAsia="宋体"/>
          <w:sz w:val="24"/>
        </w:rPr>
        <w:t>Similar observations apply for supporting technolo­ gies shared with quantum computing, such as lasers, photonics, and cryogenics. Overall, the feld bene­ fts from the fact that progress in one quantum area drives advances in others.</w:t>
      </w:r>
    </w:p>
    <w:p>
      <w:pPr>
        <w:pStyle w:val="DocBody"/>
      </w:pPr>
      <w:r>
        <w:rPr>
          <w:rFonts w:ascii="Times New Roman" w:hAnsi="Times New Roman" w:eastAsia="宋体"/>
          <w:sz w:val="24"/>
        </w:rPr>
        <w:t>Key Developments The applications in which quantum sensors are used today include scientifc instrumentation, nav­ igation, energy prospecting, biological imaging, and defense, among others. To support these and other applications, a number of underlying quantum sensing technologies have been developed. These include technologies for sensing magnetic and grav­ itational felds, quantum networking for sensors, and technologies related to operational integration. We address each in turn.</w:t>
      </w:r>
    </w:p>
    <w:p>
      <w:pPr>
        <w:pStyle w:val="DocBody"/>
      </w:pPr>
      <w:r>
        <w:rPr>
          <w:rFonts w:ascii="Times New Roman" w:hAnsi="Times New Roman" w:eastAsia="宋体"/>
          <w:sz w:val="24"/>
        </w:rPr>
        <w:t>APPLICATION DOMAINS Scientifc instrumentation An example is the Laser Interferometer Gravitational-Wave Observatory (LIGO), a large-scale physics experiment designed to detect gravitational waves produced by cosmic events such as black holes and neutron star col­ lisions. LIGO uses laser interferometry enhanced by squeezed light to measure changes that are far smaller than the width of a proton in the 4 km length of its arms,44 which would not be possible with classical instruments. This quantum upgrade has nearly dou­ bled the volume of the universe LIGO can observe.</w:t>
      </w:r>
    </w:p>
    <w:p>
      <w:pPr>
        <w:pStyle w:val="DocBody"/>
      </w:pPr>
      <w:r>
        <w:rPr>
          <w:rFonts w:ascii="Times New Roman" w:hAnsi="Times New Roman" w:eastAsia="宋体"/>
          <w:sz w:val="24"/>
        </w:rPr>
        <w:t>This means it can detect far more events, pushing the boundaries of our cosmic understanding.</w:t>
      </w:r>
    </w:p>
    <w:p>
      <w:pPr>
        <w:pStyle w:val="DocBody"/>
      </w:pPr>
      <w:r>
        <w:rPr>
          <w:rFonts w:ascii="Times New Roman" w:hAnsi="Times New Roman" w:eastAsia="宋体"/>
          <w:sz w:val="24"/>
        </w:rPr>
        <w:t>Navigation Quantum sensors can facilitate GPS- independent navigation in two ways. First, they can provide superior inertial navigation through more accurate measurements of acceleration, rotation, and reduced sensor drift.45 (Sensor drift is the grad­ ual and undesirable change in a sensor’s output over time, even when the input being measured remains constant. This results in a discrepancy between the sensor’s readings and the true physical value of what is being measured.)</w:t>
      </w:r>
    </w:p>
    <w:p>
      <w:pPr>
        <w:pStyle w:val="DocBody"/>
      </w:pPr>
      <w:r>
        <w:rPr>
          <w:rFonts w:ascii="Times New Roman" w:hAnsi="Times New Roman" w:eastAsia="宋体"/>
          <w:sz w:val="24"/>
        </w:rPr>
        <w:t>Second, quantum sensors can also support naviga­ tion through map matching. This involves sensors measuring subtle variations in the local electric or magnetic feld as a function of position and aligning those measurements with a previously constructed map of the area to pinpoint their location.46 The accuracy of this method depends on the availabil­ ity of detailed feld maps. In one demonstration, a quantum magnetic-anomaly navigation system was tested on aircraft and ground vehicles, achieving positioning accuracies on par with, or exceeding, GPS in some scenarios. This includes one case where the position accuracy was better than twenty-two meters, outperforming traditional inertial navigation systems by up to forty-six-fold.47 Energy and natural mineral prospecting In energy exploration,48 quantum gravimeters can detect mi­ nute variations in Earth’s gravitational feld that pro­ vide information on the density and spatial structure of aquifers and hydrocarbon or minerals reserves.</w:t>
      </w:r>
    </w:p>
    <w:p>
      <w:pPr>
        <w:pStyle w:val="DocBody"/>
      </w:pPr>
      <w:r>
        <w:rPr>
          <w:rFonts w:ascii="Times New Roman" w:hAnsi="Times New Roman" w:eastAsia="宋体"/>
          <w:sz w:val="24"/>
        </w:rPr>
        <w:t>Quantum magnetometers can detect buried infra­ structure, unexploded ordnance, and mineral depos­ its in real time, supporting safer and more effcient resource extraction.</w:t>
      </w:r>
    </w:p>
    <w:p>
      <w:pPr>
        <w:pStyle w:val="DocBody"/>
      </w:pPr>
      <w:r>
        <w:rPr>
          <w:rFonts w:ascii="Times New Roman" w:hAnsi="Times New Roman" w:eastAsia="宋体"/>
          <w:sz w:val="24"/>
        </w:rPr>
        <w:t>Defense and national security Quantum sens­ ing promises to support a wide range of battlefeld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 Quantum gravitometers may be able to assist in the more precise and certain locations of tunnels and underground bunkers.</w:t>
      </w:r>
    </w:p>
    <w:p>
      <w:pPr>
        <w:pStyle w:val="DocBody"/>
      </w:pPr>
      <w:r>
        <w:rPr>
          <w:rFonts w:ascii="Times New Roman" w:hAnsi="Times New Roman" w:eastAsia="宋体"/>
          <w:sz w:val="24"/>
        </w:rPr>
        <w:t>Biological imaging and sensing    Quantum sensors enable high-resolution optical imaging at ultra-low- light levels, minimizing light damage to sensitive samples. This allows researchers to observe living cells and tissues in their native states and supports noninvasive, high-precision, low-light imaging for biomedical research.49 Quantum techniques can also extend these benefits to electron microscopy, enabling minimally destructive, nanoscale imaging of fragile specimens.</w:t>
      </w:r>
    </w:p>
    <w:p>
      <w:pPr>
        <w:pStyle w:val="DocBody"/>
      </w:pPr>
      <w:r>
        <w:rPr>
          <w:rFonts w:ascii="Times New Roman" w:hAnsi="Times New Roman" w:eastAsia="宋体"/>
          <w:sz w:val="24"/>
        </w:rPr>
        <w:t>applications, though none of those cited below have yet been matured fully into operational systems suitable for routine use. Navigation in GPS-denied environments is a critical need for mobile platforms and precision weapons, for which quantum acceler­ ometers and gyroscopes are helpful (see figure 7.4).</w:t>
      </w:r>
    </w:p>
    <w:p>
      <w:pPr>
        <w:pStyle w:val="DocBody"/>
      </w:pPr>
      <w:r>
        <w:rPr>
          <w:rFonts w:ascii="Times New Roman" w:hAnsi="Times New Roman" w:eastAsia="宋体"/>
          <w:sz w:val="24"/>
        </w:rPr>
        <w:t>Quantum sensors for electromagnetic radiation detection and accurate timekeeping improve radar and electronic warfare systems by enhanc­ ing detection or improving resistance to jamming.</w:t>
      </w:r>
    </w:p>
    <w:p>
      <w:pPr>
        <w:pStyle w:val="DocBody"/>
      </w:pPr>
      <w:r>
        <w:rPr>
          <w:rFonts w:ascii="Times New Roman" w:hAnsi="Times New Roman" w:eastAsia="宋体"/>
          <w:sz w:val="24"/>
        </w:rPr>
        <w:t>Quantum-enhanced imaging methods can improve intelligence, surveillance, and reconnaissance capa­ bilities, especially in low-visibility or degraded visual environments such as camouflage or dense foliage.</w:t>
      </w:r>
    </w:p>
    <w:p>
      <w:pPr>
        <w:pStyle w:val="DocBody"/>
      </w:pPr>
      <w:r>
        <w:rPr>
          <w:rFonts w:ascii="Times New Roman" w:hAnsi="Times New Roman" w:eastAsia="宋体"/>
          <w:sz w:val="24"/>
        </w:rPr>
        <w:t>FIGURE 7.4  A quantum accelerometer from Imperial College London uses ultracold atoms to make highly accurate measurements Source: Royal Navy</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pPr>
      <w:r>
        <w:rPr>
          <w:rFonts w:ascii="Times New Roman" w:hAnsi="Times New Roman" w:eastAsia="宋体"/>
          <w:sz w:val="24"/>
        </w:rPr>
        <w:t>Quantum sensors can detect extremely small signals previously inaccessible to classical methods. For exam­ ple, sensors based on NV centers in diamonds have measured microscopic magnetic and electric felds in single molecules and neurons and have also mapped heat production within cells.50 Unlike traditional elec­ trodes, quantum sensors probe living systems nonin­ vasively, offering high spatial resolution and sensitivity.</w:t>
      </w:r>
    </w:p>
    <w:p>
      <w:pPr>
        <w:pStyle w:val="DocBody"/>
      </w:pPr>
      <w:r>
        <w:rPr>
          <w:rFonts w:ascii="Times New Roman" w:hAnsi="Times New Roman" w:eastAsia="宋体"/>
          <w:sz w:val="24"/>
        </w:rPr>
        <w:t>This enables precise study of brain function, neural communication, and neurological diseases.</w:t>
      </w:r>
    </w:p>
    <w:p>
      <w:pPr>
        <w:pStyle w:val="DocBody"/>
      </w:pPr>
      <w:r>
        <w:rPr>
          <w:rFonts w:ascii="Times New Roman" w:hAnsi="Times New Roman" w:eastAsia="宋体"/>
          <w:sz w:val="24"/>
        </w:rPr>
        <w:t>A novel development is the use of an enhanced yellow fuorescent protein as a qubit.51 This protein- based quantum sensor can be placed inside living systems to measure magnetic and electric felds, chemical changes, and protein interactions at the nanoscale. Because fuorescent proteins are naturally biocompatible, this approach allows quantum sens­ ing within complex cellular environments. In essence, the biological qubit is like a temperature probe for the quantum age. However, instead of being sen­ sitive to heat, it is sensitive to a suite of biologically relevant signals inside living systems.</w:t>
      </w:r>
    </w:p>
    <w:p>
      <w:pPr>
        <w:pStyle w:val="DocBody"/>
      </w:pPr>
      <w:r>
        <w:rPr>
          <w:rFonts w:ascii="Times New Roman" w:hAnsi="Times New Roman" w:eastAsia="宋体"/>
          <w:sz w:val="24"/>
        </w:rPr>
        <w:t>SENSOR DEVELOPMENTS The following are a sampling of some important developments in quantum sensors:</w:t>
      </w:r>
    </w:p>
    <w:p>
      <w:pPr>
        <w:pStyle w:val="DocBody"/>
      </w:pPr>
      <w:r>
        <w:rPr>
          <w:rFonts w:ascii="Times New Roman" w:hAnsi="Times New Roman" w:eastAsia="宋体"/>
          <w:sz w:val="24"/>
        </w:rPr>
        <w:t>Cold­atom interferometers These use clouds of atoms cooled to near absolute zero to measure acceleration, rotation, and gravity with extraordi­ nary precision. For example, cold-atom inertial sen­ sors based on light-pulse atom interferometry have achieved sensitivity and accuracy levels that compete with—and sometimes surpass—traditional inertial sensors. Laboratory experiments have demonstrated high-precision measurements of acceleration and rotation, with technique improvements such as inter­ leaved atom interferometry enabling measurements of rotation rate with high resolution and accuracy.52 Chinese researchers successfully demonstrated that a cold-atom gyroscope has lower drift compared to traditional fber-optic gyroscopes.53 NV center diamond sensors These are particu­ larly useful for sensing magnetic felds.54 They take advantage of a nitrogen atom next to a vacant site in a diamond’s crystal structure in ways that enable detection of magnetic felds at sensitivities and res­ olutions far better than classical magnetic sensors.</w:t>
      </w:r>
    </w:p>
    <w:p>
      <w:pPr>
        <w:pStyle w:val="DocBody"/>
      </w:pPr>
      <w:r>
        <w:rPr>
          <w:rFonts w:ascii="Times New Roman" w:hAnsi="Times New Roman" w:eastAsia="宋体"/>
          <w:sz w:val="24"/>
        </w:rPr>
        <w:t>These sensors are thus well suited for the detection of weak, localized, or rapidly varying magnetic felds in domains such as biomedical imaging, scientifc instrumentation more broadly, materials science, navigation, and defense.</w:t>
      </w:r>
    </w:p>
    <w:p>
      <w:pPr>
        <w:pStyle w:val="DocBody"/>
      </w:pPr>
      <w:r>
        <w:rPr>
          <w:rFonts w:ascii="Times New Roman" w:hAnsi="Times New Roman" w:eastAsia="宋体"/>
          <w:sz w:val="24"/>
        </w:rPr>
        <w:t>Quantum radar Classical radar detects objects by sending microwave signals to a target and mea­ suring what is refected back. Quantum radar does the same using pairs of  entangled photons, more often at optical frequencies rather than at micro­ wave ones.55 On theoretical grounds, this approach potentially offers modestly higher sensitivity in very noisy environments by leveraging quantum cor­ relations rather than raw signal power. However, the increased complexity of the transmitters and receivers, and the modest enhancements promised, means that, in practice, a true quantum advantage in radar will remain elusive until signifcant photonic hardware challenges are overcome.</w:t>
      </w:r>
    </w:p>
    <w:p>
      <w:pPr>
        <w:pStyle w:val="DocBody"/>
      </w:pPr>
      <w:r>
        <w:rPr>
          <w:rFonts w:ascii="Times New Roman" w:hAnsi="Times New Roman" w:eastAsia="宋体"/>
          <w:sz w:val="24"/>
        </w:rPr>
        <w:t>Networking for coordinated sensing Though networking for coordinated sensing has not been deployed in the feld, even on an experimental basis, there is every reason to believe that quan­ tum communication can enhance quantum sensors through coordinating their operation. This would improve sensitivity and precision beyond classi­ cal sensor arrays or individual quantum sensors.</w:t>
      </w:r>
    </w:p>
    <w:p>
      <w:pPr>
        <w:pStyle w:val="DocBody"/>
      </w:pPr>
      <w:r>
        <w:rPr>
          <w:rFonts w:ascii="Times New Roman" w:hAnsi="Times New Roman" w:eastAsia="宋体"/>
          <w:sz w:val="24"/>
        </w:rPr>
        <w:t>Applications span felds such as navigation, timing, environmental monitoring, geophysics, and medical imaging. As one example of recent theoretical work, researchers have shown how networking quantum sensors together can enable the highly selective detection of electromagnetic waves.56 These net­ works can be tuned to ignore unwanted waves from specifc directions while remaining sensitive to the desired signal.</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In the coming decade, quantum sensing is expected to significantly impact fields such as biology, medicine, navigation, and geoscience.</w:t>
      </w:r>
    </w:p>
    <w:p>
      <w:pPr>
        <w:pStyle w:val="DocBody"/>
      </w:pPr>
      <w:r>
        <w:rPr>
          <w:rFonts w:ascii="Times New Roman" w:hAnsi="Times New Roman" w:eastAsia="宋体"/>
          <w:sz w:val="24"/>
        </w:rPr>
        <w:t>Operational integration Once the foundational science of a particular sensor is validated in the lab­ oratory, its transition to feld deployment introduces substantial engineering challenges. This is because performance that is robust under controlled lab con­ ditions often declines under real-world stressors.</w:t>
      </w:r>
    </w:p>
    <w:p>
      <w:pPr>
        <w:pStyle w:val="DocBody"/>
      </w:pPr>
      <w:r>
        <w:rPr>
          <w:rFonts w:ascii="Times New Roman" w:hAnsi="Times New Roman" w:eastAsia="宋体"/>
          <w:sz w:val="24"/>
        </w:rPr>
        <w:t>Recognizing these issues, the Defense Advanced Research Projects Agency (DARPA) has initiated pro­ grams that tackle this operational challenge from dif­ ferent angles. Its Robust Quantum Sensors program, for example, focuses on system-level ruggedization.</w:t>
      </w:r>
    </w:p>
    <w:p>
      <w:pPr>
        <w:pStyle w:val="DocBody"/>
      </w:pPr>
      <w:r>
        <w:rPr>
          <w:rFonts w:ascii="Times New Roman" w:hAnsi="Times New Roman" w:eastAsia="宋体"/>
          <w:sz w:val="24"/>
        </w:rPr>
        <w:t>It aims to make entire complex sensor systems (like cold-atom interferometers) resilient enough to main­ tain high performance while mounted on moving military platforms.</w:t>
      </w:r>
    </w:p>
    <w:p>
      <w:pPr>
        <w:pStyle w:val="DocBody"/>
      </w:pPr>
      <w:r>
        <w:rPr>
          <w:rFonts w:ascii="Times New Roman" w:hAnsi="Times New Roman" w:eastAsia="宋体"/>
          <w:sz w:val="24"/>
        </w:rPr>
        <w:t>A complementary, component-level approach is taken by DARPA’s Intensity-Squeezed Photonic Integration for Revolutionary Detectors program.57 This effort focuses on miniaturization and integra­ tion. It seeks to take the sophisticated squeezed- light technology used in massive experiments like LIGO and shrink it to a compact photonic chip.58 When it happens in any given use case, the shift from large, stationary experimental setups to com­ pact, rugged feld sensors is a signifcant milestone, enabling systems that are valuable to military end users.</w:t>
      </w:r>
    </w:p>
    <w:p>
      <w:pPr>
        <w:pStyle w:val="DocBody"/>
      </w:pPr>
      <w:r>
        <w:rPr>
          <w:rFonts w:ascii="Times New Roman" w:hAnsi="Times New Roman" w:eastAsia="宋体"/>
          <w:sz w:val="24"/>
        </w:rPr>
        <w:t>Although not funded by DARPA, one example of such work is the demonstration of the integration and miniaturization of accelerometers based on cold-atom interferometry. This is done by combining traditionally separate components into a compact unit suitable for feld deployment on operational platforms. This innovation reduces the size and com­ plexity from large optical-table systems to a rugged package roughly the size of a shoebox.59 Over the Horizon Especially exciting now is the development of new applications of quantum sensing technolo­ gies. These include portable brain scanners that use atomic magnetometers; quantum-enhanced microscopes that can look inside living cells without damaging them; and gravimeters that can detect underground cavities without digging.</w:t>
      </w:r>
    </w:p>
    <w:p>
      <w:pPr>
        <w:pStyle w:val="DocBody"/>
      </w:pPr>
      <w:r>
        <w:rPr>
          <w:rFonts w:ascii="Times New Roman" w:hAnsi="Times New Roman" w:eastAsia="宋体"/>
          <w:sz w:val="24"/>
        </w:rPr>
        <w:t>In the coming decade, quantum sensing is expected to signifcantly impact felds such as biology, medi­ cine, navigation, and geoscience. In the life sciences, emerging protein-based sensors may eventually enable measurements of signals inside living cells, opening new opportunities in neuroscience and bioanalytics. For example, quantum sensors may enable in-vivo imaging through enhanced micro­ spectroscopy.60 Theoretical work also suggests that entangled photon imaging could further improve the imaging of tissues and biological organisms, although this remains largely conceptual.61 In navigation and geoscience, quantum gravimeters, gyroscopes, and portable clocks could strengthen navigation where GPS is unavailable while improving climate monitoring and resource mapping. Progress in integrated quantum photonics is also anticipated to deliver substantial gains in power effciency, bring­ ing new sensing capabilities to power-constrained platforms.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pPr>
      <w:r>
        <w:rPr>
          <w:rFonts w:ascii="Times New Roman" w:hAnsi="Times New Roman" w:eastAsia="宋体"/>
          <w:sz w:val="24"/>
        </w:rPr>
        <w:t>At the same time, a new frontier lies in algorithmic sensing: Rather than treating sensors as passive data collectors, quantum algorithms could directly use quantum sensors to gather and process data. Early theoretical work points to the possibility of extracting extremely weak signals from noise or scanning large, uncertain parameter spaces far more effciently than classical approaches. If realized, such algorithmic strategies would link quantum sensors and quantum computers in real-time feedback loops, expanding capabilities in areas from spectrum monitoring to distributed sensor networks.</w:t>
      </w:r>
    </w:p>
    <w:p>
      <w:pPr>
        <w:pStyle w:val="DocBody"/>
      </w:pPr>
      <w:r>
        <w:rPr>
          <w:rFonts w:ascii="Times New Roman" w:hAnsi="Times New Roman" w:eastAsia="宋体"/>
          <w:sz w:val="24"/>
        </w:rPr>
        <w:t>Next-generation quantum sensors promise to extend the march toward lower drift, lower power consumption, and higher precision. Therefore, it seems reasonable to expect that these techniques, combined with large-scale classical data-fusion tech­ niques, will continue to progress in such detection tasks. In short, we anticipate continued incremental gains in sensor capabilities as the result of continued progress in quantum sensing, rather than a large, discrete jump in overall performance.</w:t>
      </w:r>
    </w:p>
    <w:p>
      <w:pPr>
        <w:pStyle w:val="DocBody"/>
      </w:pPr>
      <w:r>
        <w:rPr>
          <w:rFonts w:ascii="Times New Roman" w:hAnsi="Times New Roman" w:eastAsia="宋体"/>
          <w:sz w:val="24"/>
        </w:rPr>
        <w:t>Policy Issues The American Advantage America currently leads the world in many of the most advanced quantum computing technologies, including superconducting circuits, neutral atoms, and trapped ions. This leadership is the result of the following:</w:t>
      </w:r>
    </w:p>
    <w:p>
      <w:pPr>
        <w:pStyle w:val="DocBody"/>
      </w:pPr>
      <w:r>
        <w:rPr>
          <w:rFonts w:ascii="Times New Roman" w:hAnsi="Times New Roman" w:eastAsia="宋体"/>
          <w:sz w:val="24"/>
        </w:rPr>
        <w:t>A stable pipeline of experimentally demonstrated ° approaches, techniques, and materials emerging from basic research labs on university campuses A healthy ecosystem of start-ups and large com­ ° panies exploring commercialization opportunities A forward-looking, entrepreneurial mindset that ° has been willing to support the pursuit of new opportunities before their payoff is clear The United States doesn’t necessarily lead in devel­ oping enabling technologies, such as electronics, optics, and cryogenics. Nor is it the fastest at com­ mercializing or scaling up quantum devices; fur­ thermore, its skilled and unskilled labor is relatively expensive. Nevertheless, the national quantum eco­ system that’s been built since World War II to nurture and develop novel creative ideas and support their commercialization has given America a signifcant competitive advantage.</w:t>
      </w:r>
    </w:p>
    <w:p>
      <w:pPr>
        <w:pStyle w:val="DocBody"/>
      </w:pPr>
      <w:r>
        <w:rPr>
          <w:rFonts w:ascii="Times New Roman" w:hAnsi="Times New Roman" w:eastAsia="宋体"/>
          <w:sz w:val="24"/>
        </w:rPr>
        <w:t>Other countries are now investing signifcant amounts of public capital into quantum technologies—in par­ ticular, China, which has made the domain one of the main technology priorities in its fve-year plans.62 To sustain America’s advantage in quantum technol­ ogies, several areas of policy are important.</w:t>
      </w:r>
    </w:p>
    <w:p>
      <w:pPr>
        <w:pStyle w:val="DocBody"/>
      </w:pPr>
      <w:r>
        <w:rPr>
          <w:rFonts w:ascii="Times New Roman" w:hAnsi="Times New Roman" w:eastAsia="宋体"/>
          <w:sz w:val="24"/>
        </w:rPr>
        <w:t>The national quantum ecosystem that’s been built since World War II . . . has given America a significant competitive advantage.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Support for Basic Science Research In the past fve years, both start-ups and tech giants have increasingly taken on the task of building large- scale, commercial quantum computing. Industrial efforts that focus on a wide variety of qubit technol­ ogies and their associated architectures now exist.</w:t>
      </w:r>
    </w:p>
    <w:p>
      <w:pPr>
        <w:pStyle w:val="DocBody"/>
      </w:pPr>
      <w:r>
        <w:rPr>
          <w:rFonts w:ascii="Times New Roman" w:hAnsi="Times New Roman" w:eastAsia="宋体"/>
          <w:sz w:val="24"/>
        </w:rPr>
        <w:t>These efforts typically focus on building toward the million-physical-qubit systems necessary for useful error-corrected computation. Thus, they emphasize the scaling of existing technologies, with relatively small tweaks to hardware and algorithms.</w:t>
      </w:r>
    </w:p>
    <w:p>
      <w:pPr>
        <w:pStyle w:val="DocBody"/>
      </w:pPr>
      <w:r>
        <w:rPr>
          <w:rFonts w:ascii="Times New Roman" w:hAnsi="Times New Roman" w:eastAsia="宋体"/>
          <w:sz w:val="24"/>
        </w:rPr>
        <w:t>By contrast, academic efforts tend to focus on dis­ covery of entirely new qubit platforms, improv­ ing qubit properties in existing platforms, creating new routes to scaling, and developing new quan­ tum algorithms. Unlike many felds where academic efforts are disconnected from industrial realities, this high-risk basic academic science remains crucial to the continued progress of private-sector efforts.</w:t>
      </w:r>
    </w:p>
    <w:p>
      <w:pPr>
        <w:pStyle w:val="DocBody"/>
      </w:pPr>
      <w:r>
        <w:rPr>
          <w:rFonts w:ascii="Times New Roman" w:hAnsi="Times New Roman" w:eastAsia="宋体"/>
          <w:sz w:val="24"/>
        </w:rPr>
        <w:t>Ideas from academia are regularly adopted by both large companies and start-ups.</w:t>
      </w:r>
    </w:p>
    <w:p>
      <w:pPr>
        <w:pStyle w:val="DocBody"/>
      </w:pPr>
      <w:r>
        <w:rPr>
          <w:rFonts w:ascii="Times New Roman" w:hAnsi="Times New Roman" w:eastAsia="宋体"/>
          <w:sz w:val="24"/>
        </w:rPr>
        <w:t>The Quantum Workforce On university campuses—where the basic science powering quantum innovations occurs—it is critically important to ensure access to doctoral students from abroad and particularly from China. There is an insuf­ fcient supply of adequately skilled US-trained under­ graduates. Therefore, cutting the fow of international students actively hinders American competitiveness in quantum technology. In almost every university research laboratory, graduate students, as part of their training, provide much of the day-to-day labor necessary for advancing the state-of-the-art science.63 Furthermore, after these international students have graduated, they disproportionately move into the quantum workforce in America; ensuring that this trend remains possible is essential to the current and future dynamism of America’s quantum creativity engine.</w:t>
      </w:r>
    </w:p>
    <w:p>
      <w:pPr>
        <w:pStyle w:val="DocBody"/>
      </w:pPr>
      <w:r>
        <w:rPr>
          <w:rFonts w:ascii="Times New Roman" w:hAnsi="Times New Roman" w:eastAsia="宋体"/>
          <w:sz w:val="24"/>
        </w:rPr>
        <w:t>Supply Chain Quantum hardware requires an increasingly diverse array of support technologies. On the materials side, this includes electro-optic and acousto-optic crys­ tals, high purity aluminum, and rare earth metals.</w:t>
      </w:r>
    </w:p>
    <w:p>
      <w:pPr>
        <w:pStyle w:val="DocBody"/>
      </w:pPr>
      <w:r>
        <w:rPr>
          <w:rFonts w:ascii="Times New Roman" w:hAnsi="Times New Roman" w:eastAsia="宋体"/>
          <w:sz w:val="24"/>
        </w:rPr>
        <w:t>Among assembled technologies, it includes lasers, optical modulators, single photon detectors, and cryogenic refrigerators. Many of these technologies are produced abroad, typically at a cost many times lower than that of US manufacturers. In some cases, no US alternatives are available. Because quantum technology remains largely in a research and devel­ opment phase, tariffs on these support technologies cannot be passed on to consumers, stifing the abil­ ity of quantum scientists and engineers to lead the way in developing them.</w:t>
      </w:r>
    </w:p>
    <w:p>
      <w:pPr>
        <w:pStyle w:val="DocBody"/>
      </w:pPr>
      <w:r>
        <w:rPr>
          <w:rFonts w:ascii="Times New Roman" w:hAnsi="Times New Roman" w:eastAsia="宋体"/>
          <w:sz w:val="24"/>
        </w:rPr>
        <w:t>Competition with China There is currently an active competition between the United States and China in quantum technologies.</w:t>
      </w:r>
    </w:p>
    <w:p>
      <w:pPr>
        <w:pStyle w:val="DocBody"/>
      </w:pPr>
      <w:r>
        <w:rPr>
          <w:rFonts w:ascii="Times New Roman" w:hAnsi="Times New Roman" w:eastAsia="宋体"/>
          <w:sz w:val="24"/>
        </w:rPr>
        <w:t>China is leading in overall investment, at around $15 billion,64 while the United States lags behind at around $8 billion ($4 billion of private investment plus $4 billion of public funding).65 As of August 2025, the largest controlled system of neutral atoms was produced in China,66 as was the largest system of trapped ions.67 Similarly, Chinese demonstrations of ground-to-satellite quantum networking via the Micius satellite and a 700-fber ground-based communications network exceed (at least in terms of scale) anything yet attempted in the United States.68 In all of these cases, the tech­ niques have been pushed to their limits, leverag­ ing impressive integration of technologies beyond the traditional quantum ecosystem. Regardless of whether these technologies ultimately prove commercially useful, efforts to develop them have unquestionably contributed to further growth of the Chinese talent base in quantum science and technology.</w:t>
      </w:r>
    </w:p>
    <w:p>
      <w:pPr>
        <w:pStyle w:val="DocBody"/>
      </w:pPr>
      <w:r>
        <w:rPr>
          <w:rFonts w:ascii="Times New Roman" w:hAnsi="Times New Roman" w:eastAsia="宋体"/>
          <w:sz w:val="24"/>
        </w:rPr>
        <w:t>By contrast, the frst demonstrations of quantum logic in neutral atom arrays, superconducting circuits, and ion traps all originated from the United States.</w:t>
      </w:r>
    </w:p>
    <w:p>
      <w:pPr>
        <w:pStyle w:val="DocBody"/>
      </w:pPr>
      <w:r>
        <w:rPr>
          <w:rFonts w:ascii="Times New Roman" w:hAnsi="Times New Roman" w:eastAsia="宋体"/>
          <w:sz w:val="24"/>
        </w:rPr>
        <w:t>Most new approaches and technologies continue to emerge from the US academic ecosystem. DARPA programs in quantum computing, networking, and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pPr>
      <w:r>
        <w:rPr>
          <w:rFonts w:ascii="Times New Roman" w:hAnsi="Times New Roman" w:eastAsia="宋体"/>
          <w:sz w:val="24"/>
        </w:rPr>
        <w:t>sensing sharpen and focus these efforts, and a broad ecosystem of basic science funded through the National Science Foundation, US Department of Energy, and US Department of Defense support this innovation engine. Examples of US government funding for basic research in quantum science and technology include the National Quantum Initiative, which was signed into law in early 2019,69 and the Quantum Benchmarking Initiative, launched in 2024 by DARPA.70 Assuming that there is sustained support for basic research in quantum technologies, it seems likely that US innovation will continue to drive progress and that China will follow in ideas but lead in scaling.</w:t>
      </w:r>
    </w:p>
    <w:p>
      <w:pPr>
        <w:pStyle w:val="DocBody"/>
      </w:pPr>
      <w:r>
        <w:rPr>
          <w:rFonts w:ascii="Times New Roman" w:hAnsi="Times New Roman" w:eastAsia="宋体"/>
          <w:sz w:val="24"/>
        </w:rPr>
        <w:t>The gap, however, is closing, as China recruits more talent and grows its basic science portfolio.</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“Nobel Prize in Physics 2025,” NobelPrize.org, Nobel Prize Out­ reach 2025, October 20, 2025, https://www.nobelprize.org/prizes /physics/2025/summary/.</w:t>
      </w:r>
    </w:p>
    <w:p>
      <w:pPr>
        <w:pStyle w:val="DocBody"/>
        <w:ind w:left="765"/>
      </w:pPr>
      <w:r>
        <w:rPr>
          <w:rFonts w:ascii="Times New Roman" w:hAnsi="Times New Roman" w:eastAsia="宋体"/>
          <w:sz w:val="24"/>
        </w:rPr>
        <w:t>Zack Savitsky, “Debate Erupts Around Microsoft’s Blockbuster Quantum Computing Claims,” Science 387(6741): 1338–39, March 28, 2025, https://www.science.org/content/article/debate -erupts-around-microsoft-s-blockbuster-quantum-computing -claims.</w:t>
      </w:r>
    </w:p>
    <w:p>
      <w:pPr>
        <w:pStyle w:val="DocBody"/>
        <w:ind w:left="765"/>
      </w:pPr>
      <w:r>
        <w:rPr>
          <w:rFonts w:ascii="Times New Roman" w:hAnsi="Times New Roman" w:eastAsia="宋体"/>
          <w:sz w:val="24"/>
        </w:rPr>
        <w:t>David S. Wang, Austin G. Fowler, and Lloyd C. L. Hollen­ berg, “Surface Code Quantum Computing with Error Rates over 1%,” Physical Review A 83, no. 2 (2011): 020302, https://doi .org/10.1103/PhysRevA.83.020302.</w:t>
      </w:r>
    </w:p>
    <w:p>
      <w:pPr>
        <w:pStyle w:val="DocBody"/>
        <w:ind w:left="765"/>
      </w:pPr>
      <w:r>
        <w:rPr>
          <w:rFonts w:ascii="Times New Roman" w:hAnsi="Times New Roman" w:eastAsia="宋体"/>
          <w:sz w:val="24"/>
        </w:rPr>
        <w:t>An analogy to classical computing would be that it is possible to build digital computers out of transistors and of vacuum tubes.</w:t>
      </w:r>
    </w:p>
    <w:p>
      <w:pPr>
        <w:pStyle w:val="DocBody"/>
      </w:pPr>
      <w:r>
        <w:rPr>
          <w:rFonts w:ascii="Times New Roman" w:hAnsi="Times New Roman" w:eastAsia="宋体"/>
          <w:sz w:val="24"/>
        </w:rPr>
        <w:t>For a variety of reasons (e.g., cost, energy consumption), transistor technology proved decisively superior as the fundamental hard­ ware building block of classical computers.</w:t>
      </w:r>
    </w:p>
    <w:p>
      <w:pPr>
        <w:pStyle w:val="DocBody"/>
        <w:ind w:left="765"/>
      </w:pPr>
      <w:r>
        <w:rPr>
          <w:rFonts w:ascii="Times New Roman" w:hAnsi="Times New Roman" w:eastAsia="宋体"/>
          <w:sz w:val="24"/>
        </w:rPr>
        <w:t>Alkim Bozkurt, Han Zhao, Chaitali Joshi, Henry G. LeDuc, Peter K. Day, and Mohammad Mirhosseini, “A Quantum Electromechan­ ical Interface for Long-Lived Phonons,” Nature Physics 19, no. 9 (2023): 1326–32, https://doi.org/10.1038/s41567-023-02080-w.</w:t>
      </w:r>
    </w:p>
    <w:p>
      <w:pPr>
        <w:pStyle w:val="DocBody"/>
        <w:ind w:left="765"/>
      </w:pPr>
      <w:r>
        <w:rPr>
          <w:rFonts w:ascii="Times New Roman" w:hAnsi="Times New Roman" w:eastAsia="宋体"/>
          <w:sz w:val="24"/>
        </w:rPr>
        <w:t>Dolev Bluvstein, Simon J. Evered, Alexandra A. Geim, et al., “Logical Quantum Processor Based on Reconfgurable Atom Arrays,” Nature 626 (2024): 58–65, https://doi.org/10.1038 /s41586-023-06927-3.</w:t>
      </w:r>
    </w:p>
    <w:p>
      <w:pPr>
        <w:pStyle w:val="DocBody"/>
        <w:ind w:left="765"/>
      </w:pPr>
      <w:r>
        <w:rPr>
          <w:rFonts w:ascii="Times New Roman" w:hAnsi="Times New Roman" w:eastAsia="宋体"/>
          <w:sz w:val="24"/>
        </w:rPr>
        <w:t>Craig Gidney, “How to Factor 2048 Bit RSA Integers with Less than a Million Noisy Qubits,” arXiv:2505.15917, version 1, preprint, arXiv, May 21, 2025, https://doi.org/10.48550/arXiv.2505.15917.</w:t>
      </w:r>
    </w:p>
    <w:p>
      <w:pPr>
        <w:pStyle w:val="DocBody"/>
        <w:ind w:left="765"/>
      </w:pPr>
      <w:r>
        <w:rPr>
          <w:rFonts w:ascii="Times New Roman" w:hAnsi="Times New Roman" w:eastAsia="宋体"/>
          <w:sz w:val="24"/>
        </w:rPr>
        <w:t>Michael E. Beverland, Prakash Murali, Matthias Troyer, et al., “Assessing Requirements to Scale to Practical Quantum Advan­ tage,” arXiv:2211.07629, preprint, arXiv, November 14, 2022, https://doi.org/10.48550/arXiv.2211.07629.</w:t>
      </w:r>
    </w:p>
    <w:p>
      <w:pPr>
        <w:pStyle w:val="DocBody"/>
        <w:ind w:left="765"/>
      </w:pPr>
      <w:r>
        <w:rPr>
          <w:rFonts w:ascii="Times New Roman" w:hAnsi="Times New Roman" w:eastAsia="宋体"/>
          <w:sz w:val="24"/>
        </w:rPr>
        <w:t>Matt Swayne, “Quantum Computing Roadmaps and Predic­ tions of Leading Players,” The Quantum Insider, May 16, 2025, https://thequantuminsider.com/2025/05/16/quantum-computing -roadmaps-a-look-at-the-maps-and-predictions-of-major-quantum -players/.</w:t>
      </w:r>
    </w:p>
    <w:p>
      <w:pPr>
        <w:pStyle w:val="DocBody"/>
        <w:ind w:left="765"/>
      </w:pPr>
      <w:r>
        <w:rPr>
          <w:rFonts w:ascii="Times New Roman" w:hAnsi="Times New Roman" w:eastAsia="宋体"/>
          <w:sz w:val="24"/>
        </w:rPr>
        <w:t>Hari P. Paudel, Madhava Syamlal, Scott E. Crawford, et al., “Quantum Computing and Simulations for Energy Applications:</w:t>
      </w:r>
    </w:p>
    <w:p>
      <w:pPr>
        <w:pStyle w:val="DocBody"/>
      </w:pPr>
      <w:r>
        <w:rPr>
          <w:rFonts w:ascii="Times New Roman" w:hAnsi="Times New Roman" w:eastAsia="宋体"/>
          <w:sz w:val="24"/>
        </w:rPr>
        <w:t>Review and Perspective,” ACS Engineering Au 2, no. 3 (2022):</w:t>
      </w:r>
    </w:p>
    <w:p>
      <w:pPr>
        <w:pStyle w:val="DocBody"/>
      </w:pPr>
      <w:r>
        <w:rPr>
          <w:rFonts w:ascii="Times New Roman" w:hAnsi="Times New Roman" w:eastAsia="宋体"/>
          <w:sz w:val="24"/>
        </w:rPr>
        <w:t>151–96, https://doi.org/10.1021/acsengineeringau.1c00033.</w:t>
      </w:r>
    </w:p>
    <w:p>
      <w:pPr>
        <w:pStyle w:val="DocBody"/>
        <w:ind w:left="765"/>
      </w:pPr>
      <w:r>
        <w:rPr>
          <w:rFonts w:ascii="Times New Roman" w:hAnsi="Times New Roman" w:eastAsia="宋体"/>
          <w:sz w:val="24"/>
        </w:rPr>
        <w:t>Mauro D’Arcangelo et al., “Leveraging Analog Quantum Computing with Neutral Atoms for Solvent Confguration Predic­ tion in Drug Discovery,” Physical Review Research 6, no. 4 (2024), https://doi.org/10.1103/PhysRevResearch.6.043020.</w:t>
      </w:r>
    </w:p>
    <w:p>
      <w:pPr>
        <w:pStyle w:val="DocBody"/>
        <w:ind w:left="765"/>
      </w:pPr>
      <w:r>
        <w:rPr>
          <w:rFonts w:ascii="Times New Roman" w:hAnsi="Times New Roman" w:eastAsia="宋体"/>
          <w:sz w:val="24"/>
        </w:rPr>
        <w:t>Ehud Altman et al., “Quantum Simulators: Architectures and Opportunities,” PRX Quantum 2, no. 1 (2021): 017003; A. J. Daley, I. Bloch, C. Kokail, et al., “Practical Quantum Advantage in Quan­ tum Simulation,” Nature 607 (2022): 667–76.</w:t>
      </w:r>
    </w:p>
    <w:p>
      <w:pPr>
        <w:pStyle w:val="DocBody"/>
        <w:ind w:left="765"/>
      </w:pPr>
      <w:r>
        <w:rPr>
          <w:rFonts w:ascii="Times New Roman" w:hAnsi="Times New Roman" w:eastAsia="宋体"/>
          <w:sz w:val="24"/>
        </w:rPr>
        <w:t>Craig Gidney, “How to Factor 2048 Bit RSA Integers with Less than a Million Noisy Qubits.” arXiv:2505.15917, version 1, preprint, arXiv, May 21, 2025, https://doi.org/10.48550/arXiv.2505.15917.</w:t>
      </w:r>
    </w:p>
    <w:p>
      <w:pPr>
        <w:pStyle w:val="DocBody"/>
      </w:pPr>
      <w:r>
        <w:rPr>
          <w:rFonts w:ascii="Times New Roman" w:hAnsi="Times New Roman" w:eastAsia="宋体"/>
          <w:sz w:val="24"/>
        </w:rPr>
        <w:t>The fve-to-ffteen-year time frame comes from “DARPA Eyes Companies Targeting Industrially Useful Quantum Comput­ ers,” DARPA, April 3, 2025, https://www.darpa.mil/news/2025 /companies-targeting-quantum-computers.</w:t>
      </w:r>
    </w:p>
    <w:p>
      <w:pPr>
        <w:pStyle w:val="DocBody"/>
        <w:ind w:left="765"/>
      </w:pPr>
      <w:r>
        <w:rPr>
          <w:rFonts w:ascii="Times New Roman" w:hAnsi="Times New Roman" w:eastAsia="宋体"/>
          <w:sz w:val="24"/>
        </w:rPr>
        <w:t>Oskar Leimkuhler and K. Birgitta Whaley, “Exponential Quantum Speedups in Quantum Chemistry with Linear Depth,”</w:t>
      </w:r>
    </w:p>
    <w:p>
      <w:pPr>
        <w:pStyle w:val="DocBody"/>
      </w:pPr>
      <w:r>
        <w:rPr>
          <w:rFonts w:ascii="Times New Roman" w:hAnsi="Times New Roman" w:eastAsia="宋体"/>
          <w:sz w:val="24"/>
        </w:rPr>
        <w:t>arXiv:2503.21041, preprint, arXiv, May 16, 2025, https://doi.org /10.48550/arXiv.2503.21041.</w:t>
      </w:r>
    </w:p>
    <w:p>
      <w:pPr>
        <w:pStyle w:val="DocBody"/>
        <w:ind w:left="765"/>
      </w:pPr>
      <w:r>
        <w:rPr>
          <w:rFonts w:ascii="Times New Roman" w:hAnsi="Times New Roman" w:eastAsia="宋体"/>
          <w:sz w:val="24"/>
        </w:rPr>
        <w:t>Benedikt Fauseweh, “Quantum Many-Body Simulations on Digital Quantum Computers: State-of-the-Art and Future Chal­ lenges,” Nature Communications 15, no. 1 (2024): 2123, https:// doi.org/10.1038/s41467-024-46402-9.</w:t>
      </w:r>
    </w:p>
    <w:p>
      <w:pPr>
        <w:pStyle w:val="DocBody"/>
        <w:ind w:left="765"/>
      </w:pPr>
      <w:r>
        <w:rPr>
          <w:rFonts w:ascii="Times New Roman" w:hAnsi="Times New Roman" w:eastAsia="宋体"/>
          <w:sz w:val="24"/>
        </w:rPr>
        <w:t>Hsin-Yuan Huang et al., “Power of Data in Quantum Machine Learning,” Nature Communications 12, no. 1 (2021): 2631.</w:t>
      </w:r>
    </w:p>
    <w:p>
      <w:pPr>
        <w:pStyle w:val="DocBody"/>
        <w:ind w:left="765"/>
      </w:pPr>
      <w:r>
        <w:rPr>
          <w:rFonts w:ascii="Times New Roman" w:hAnsi="Times New Roman" w:eastAsia="宋体"/>
          <w:sz w:val="24"/>
        </w:rPr>
        <w:t>In general, a polynomial speedup is useful for turning a prob­ lem that is already doable in a plausible amount of time into one that is doable in a meaningfully shorter amount of time. Instead of a billion years turning into a few minutes, polynomial speedups turn days or weeks of computation into minutes and can be fairly regarded as highly useful but not transformational.</w:t>
      </w:r>
    </w:p>
    <w:p>
      <w:pPr>
        <w:pStyle w:val="DocBody"/>
        <w:ind w:left="765"/>
      </w:pPr>
      <w:r>
        <w:rPr>
          <w:rFonts w:ascii="Times New Roman" w:hAnsi="Times New Roman" w:eastAsia="宋体"/>
          <w:sz w:val="24"/>
        </w:rPr>
        <w:t>See, for example, Seunghoon Lee, Joonho Lee, Huanchen Zhai, et al., “Evaluating the Evidence for Exponential Quantum Advantage in Ground-State Quantum Chemistry,” Nature Com­ munications 14, no. 1 (2023): 1952, https://doi.org/10.1038 /s41467-023-37587-6.</w:t>
      </w:r>
    </w:p>
    <w:p>
      <w:pPr>
        <w:pStyle w:val="DocBody"/>
        <w:ind w:left="765"/>
      </w:pPr>
      <w:r>
        <w:rPr>
          <w:rFonts w:ascii="Times New Roman" w:hAnsi="Times New Roman" w:eastAsia="宋体"/>
          <w:sz w:val="24"/>
        </w:rPr>
        <w:t>Yulin Wu et al., “Strong Quantum Computational Advan­ tage Using a Superconducting Quantum Processor,” Physi­ cal Review Letters 127, no. 18 (2021), https://doi.org/10.1103 /PhysRevLett.127.180501.</w:t>
      </w:r>
    </w:p>
    <w:p>
      <w:pPr>
        <w:pStyle w:val="DocBody"/>
        <w:ind w:left="765"/>
      </w:pPr>
      <w:r>
        <w:rPr>
          <w:rFonts w:ascii="Times New Roman" w:hAnsi="Times New Roman" w:eastAsia="宋体"/>
          <w:sz w:val="24"/>
        </w:rPr>
        <w:t>William K. Wootters and Wojciech H. Zurek, “A Single Quan­ tum Cannot Be Cloned,” Nature 299 (1982): 802–3.</w:t>
      </w:r>
    </w:p>
    <w:p>
      <w:pPr>
        <w:pStyle w:val="DocBody"/>
        <w:ind w:left="765"/>
      </w:pPr>
      <w:r>
        <w:rPr>
          <w:rFonts w:ascii="Times New Roman" w:hAnsi="Times New Roman" w:eastAsia="宋体"/>
          <w:sz w:val="24"/>
        </w:rPr>
        <w:t>“Quantum Safe Cryptography and Security,” ETSI White Paper #8, European Telecommunications Standards Institute, June 2015, https://www.etsi.org/images/fles/ETSIWhitePapers /QuantumSafeWhitepaper.pdf.</w:t>
      </w:r>
    </w:p>
    <w:p>
      <w:pPr>
        <w:pStyle w:val="DocBody"/>
        <w:ind w:left="765"/>
      </w:pPr>
      <w:r>
        <w:rPr>
          <w:rFonts w:ascii="Times New Roman" w:hAnsi="Times New Roman" w:eastAsia="宋体"/>
          <w:sz w:val="24"/>
        </w:rPr>
        <w:t>Sunil K. Singh, Sudhakar Kumar, Anureet Chhabra, et al., “Advancements in Secure Quantum Communication and Robust Key Distribution Techniques for Cybersecurity Applications,”</w:t>
      </w:r>
    </w:p>
    <w:p>
      <w:pPr>
        <w:pStyle w:val="DocBody"/>
      </w:pPr>
      <w:r>
        <w:rPr>
          <w:rFonts w:ascii="Times New Roman" w:hAnsi="Times New Roman" w:eastAsia="宋体"/>
          <w:sz w:val="24"/>
        </w:rPr>
        <w:t>Cyber Security and Applications 3 (December 2025): 100089, https://doi.org/10.1016/j.csa.2025.100089.</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ind w:left="765"/>
      </w:pPr>
      <w:r>
        <w:rPr>
          <w:rFonts w:ascii="Times New Roman" w:hAnsi="Times New Roman" w:eastAsia="宋体"/>
          <w:sz w:val="24"/>
        </w:rPr>
        <w:t>David Awschalom et al., “Development of Quantum Intercon­ nects (Quics) for Next-Generation Information Technologies,” Prx Quantum 2 (2021): 017002.</w:t>
      </w:r>
    </w:p>
    <w:p>
      <w:pPr>
        <w:pStyle w:val="DocBody"/>
        <w:ind w:left="765"/>
      </w:pPr>
      <w:r>
        <w:rPr>
          <w:rFonts w:ascii="Times New Roman" w:hAnsi="Times New Roman" w:eastAsia="宋体"/>
          <w:sz w:val="24"/>
        </w:rPr>
        <w:t>Marcello Caleff, Laura d’Avossa, Xu Han, and Angela Sara Cacciapuoti, “Quantum Transduction: Enabling Quantum Net­ working,” arXiv:2505.02057, preprint, arXiv, May 4, 2025, https:// doi.org/10.48550/arXiv.2505.02057.</w:t>
      </w:r>
    </w:p>
    <w:p>
      <w:pPr>
        <w:pStyle w:val="DocBody"/>
        <w:ind w:left="765"/>
      </w:pPr>
      <w:r>
        <w:rPr>
          <w:rFonts w:ascii="Times New Roman" w:hAnsi="Times New Roman" w:eastAsia="宋体"/>
          <w:sz w:val="24"/>
        </w:rPr>
        <w:t>Simon Storz, Josua Schär, Anatoly Kulikov, et al., “Loophole- Free Bell Inequality Violation with Superconducting Circuits,”</w:t>
      </w:r>
    </w:p>
    <w:p>
      <w:pPr>
        <w:pStyle w:val="DocBody"/>
      </w:pPr>
      <w:r>
        <w:rPr>
          <w:rFonts w:ascii="Times New Roman" w:hAnsi="Times New Roman" w:eastAsia="宋体"/>
          <w:sz w:val="24"/>
        </w:rPr>
        <w:t>Nature 617, no. 7960 (2023): 265–70, https://doi.org/10.1038 /s41586-023-05885-0.</w:t>
      </w:r>
    </w:p>
    <w:p>
      <w:pPr>
        <w:pStyle w:val="DocBody"/>
        <w:ind w:left="765"/>
      </w:pPr>
      <w:r>
        <w:rPr>
          <w:rFonts w:ascii="Times New Roman" w:hAnsi="Times New Roman" w:eastAsia="宋体"/>
          <w:sz w:val="24"/>
        </w:rPr>
        <w:t>V. Krutyanskiy, M. Canteri, M. Meraner, et al., “Telecom-Wave­ length Quantum Repeater Node Based on a Trapped-Ion Proces­ sor,” Physical Review Letters 130, no. 21 (2023): 213601, https:// doi.org/10.1103/PhysRevLett.130.213601.</w:t>
      </w:r>
    </w:p>
    <w:p>
      <w:pPr>
        <w:pStyle w:val="DocBody"/>
        <w:ind w:left="765"/>
      </w:pPr>
      <w:r>
        <w:rPr>
          <w:rFonts w:ascii="Times New Roman" w:hAnsi="Times New Roman" w:eastAsia="宋体"/>
          <w:sz w:val="24"/>
        </w:rPr>
        <w:t>Aishwarya Kumar, Aziza Suleymanzade, Mark Stone, et al., “Quantum-Enabled Millimetre Wave to Optical Transduction Using Neutral Atoms,” Nature 615, no. 7953 (2023): 614–19, https://doi.org/10.1038/s41586-023-05740-2.</w:t>
      </w:r>
    </w:p>
    <w:p>
      <w:pPr>
        <w:pStyle w:val="DocBody"/>
        <w:ind w:left="765"/>
      </w:pPr>
      <w:r>
        <w:rPr>
          <w:rFonts w:ascii="Times New Roman" w:hAnsi="Times New Roman" w:eastAsia="宋体"/>
          <w:sz w:val="24"/>
        </w:rPr>
        <w:t>Nikolai Lauk, Neil Sinclair, Shabir Barzanjeh, et al., “Perspec­ tives on Quantum Transduction,” Quantum Science and Technol­ ogy 5, no. 2 (2020): 020501, https://doi.org/10.1088/2058-9565 /ab788a.</w:t>
      </w:r>
    </w:p>
    <w:p>
      <w:pPr>
        <w:pStyle w:val="DocBody"/>
        <w:ind w:left="765"/>
      </w:pPr>
      <w:r>
        <w:rPr>
          <w:rFonts w:ascii="Times New Roman" w:hAnsi="Times New Roman" w:eastAsia="宋体"/>
          <w:sz w:val="24"/>
        </w:rPr>
        <w:t>Galan Moody, Volker J. Sorger, Daniel J Blumenthal, et al., “2022 Roadmap on Integrated Quantum Photonics,” Jour­ nal of Physics: Photonics 4, no. 1 (2022): 012501, https://doi .org/10.1088/2515-7647/ac1ef4.</w:t>
      </w:r>
    </w:p>
    <w:p>
      <w:pPr>
        <w:pStyle w:val="DocBody"/>
        <w:ind w:left="765"/>
      </w:pPr>
      <w:r>
        <w:rPr>
          <w:rFonts w:ascii="Times New Roman" w:hAnsi="Times New Roman" w:eastAsia="宋体"/>
          <w:sz w:val="24"/>
        </w:rPr>
        <w:t>R. W. Andrews, R. W. Peterson, T. P. Purdy, et al., “Bidirectional and Effcient Conversion Between Microwave and Optical Light,”</w:t>
      </w:r>
    </w:p>
    <w:p>
      <w:pPr>
        <w:pStyle w:val="DocBody"/>
      </w:pPr>
      <w:r>
        <w:rPr>
          <w:rFonts w:ascii="Times New Roman" w:hAnsi="Times New Roman" w:eastAsia="宋体"/>
          <w:sz w:val="24"/>
        </w:rPr>
        <w:t>Nature Physics 10, no. 4 (2014): 321–26, https://doi.org/10.1038 /nphys2911.</w:t>
      </w:r>
    </w:p>
    <w:p>
      <w:pPr>
        <w:pStyle w:val="DocBody"/>
        <w:ind w:left="765"/>
      </w:pPr>
      <w:r>
        <w:rPr>
          <w:rFonts w:ascii="Times New Roman" w:hAnsi="Times New Roman" w:eastAsia="宋体"/>
          <w:sz w:val="24"/>
        </w:rPr>
        <w:t>Srujan Meesala, David Lake, Steven Wood, et al., “Quantum Entanglement Between Optical and Microwave Photonic Qubits,”</w:t>
      </w:r>
    </w:p>
    <w:p>
      <w:pPr>
        <w:pStyle w:val="DocBody"/>
      </w:pPr>
      <w:r>
        <w:rPr>
          <w:rFonts w:ascii="Times New Roman" w:hAnsi="Times New Roman" w:eastAsia="宋体"/>
          <w:sz w:val="24"/>
        </w:rPr>
        <w:t>Physical Review X 14, no. 3 (2024), https://doi.org/10.1103 /PhysRevX.14.031055.</w:t>
      </w:r>
    </w:p>
    <w:p>
      <w:pPr>
        <w:pStyle w:val="DocBody"/>
        <w:ind w:left="765"/>
      </w:pPr>
      <w:r>
        <w:rPr>
          <w:rFonts w:ascii="Times New Roman" w:hAnsi="Times New Roman" w:eastAsia="宋体"/>
          <w:sz w:val="24"/>
        </w:rPr>
        <w:t>Charles Möhl, Annina Riedhauser, Max Glantschnig, et al., “Bidirectional Microwave-Optical Conversion with an Integrated Soft-Ferroelectric Barium Titanate Transducer,” preprint, Janu­ ary 26, 2025, https://doi.org/10.1103/1gvf-w6lx.</w:t>
      </w:r>
    </w:p>
    <w:p>
      <w:pPr>
        <w:pStyle w:val="DocBody"/>
        <w:ind w:left="765"/>
      </w:pPr>
      <w:r>
        <w:rPr>
          <w:rFonts w:ascii="Times New Roman" w:hAnsi="Times New Roman" w:eastAsia="宋体"/>
          <w:sz w:val="24"/>
        </w:rPr>
        <w:t>For theoretical work on the superiority of cavity arrays to lenses, see Josiah Sinclair, Joshua Ramette, Brandon Grinkemeyer, Dolev Bluvstein, Mikhail Lukin, and Vladan Vuletić, “Fault-Tolerant Optical Interconnects for Neutral-Atom Arrays,” arXiv:2408.08955, preprint, arXiv, August 16, 2024, https://doi.org/10.48550 /arXiv.2408.08955. For experimental work implementing cavity arrays, see Adam L. Shaw, Anna Soper, Danial Shadmany, et al., “A Cavity Array Microscope for Parallel Single-Atom Interfac­ ing,” arXiv:2506.10919, preprint, arXiv, June 12, 2025, https://doi .org/10.48550/arXiv.2506.10919.</w:t>
      </w:r>
    </w:p>
    <w:p>
      <w:pPr>
        <w:pStyle w:val="DocBody"/>
        <w:ind w:left="765"/>
      </w:pPr>
      <w:r>
        <w:rPr>
          <w:rFonts w:ascii="Times New Roman" w:hAnsi="Times New Roman" w:eastAsia="宋体"/>
          <w:sz w:val="24"/>
        </w:rPr>
        <w:t>“HSBC Pioneers Quantum Protection for AI-Powered FX Trading,” news release, HSBC, December 23, 2023, https:// www.hsbc.com/news-and-views/news/media-releases/2023 /hsbc-pioneers-quantum-protection-for-ai-powered-fx-trading.</w:t>
      </w:r>
    </w:p>
    <w:p>
      <w:pPr>
        <w:pStyle w:val="DocBody"/>
        <w:ind w:left="765"/>
      </w:pPr>
      <w:r>
        <w:rPr>
          <w:rFonts w:ascii="Times New Roman" w:hAnsi="Times New Roman" w:eastAsia="宋体"/>
          <w:sz w:val="24"/>
        </w:rPr>
        <w:t>“JPMorgan Chase to Implement a Quantum-Secured Net­ work,” Quantum Herald, n.d., accessed September 27, 2025, https://www.quantumsecuritydefence.com/news/jpmorgan -chase-to-implement-a-quantum-secured-network.</w:t>
      </w:r>
    </w:p>
    <w:p>
      <w:pPr>
        <w:pStyle w:val="DocBody"/>
        <w:ind w:left="765"/>
      </w:pPr>
      <w:r>
        <w:rPr>
          <w:rFonts w:ascii="Times New Roman" w:hAnsi="Times New Roman" w:eastAsia="宋体"/>
          <w:sz w:val="24"/>
        </w:rPr>
        <w:t>“Toshiba Digital Solutions and KT Demonstrate Hybrid Quan­ tum Secure Communications with South Korea’s Shinhan Bank,”</w:t>
      </w:r>
    </w:p>
    <w:p>
      <w:pPr>
        <w:pStyle w:val="DocBody"/>
      </w:pPr>
      <w:r>
        <w:rPr>
          <w:rFonts w:ascii="Times New Roman" w:hAnsi="Times New Roman" w:eastAsia="宋体"/>
          <w:sz w:val="24"/>
        </w:rPr>
        <w:t>Toshiba.com, April 19, 2024, https://www.global.toshiba/ww /news/digitalsolution/2024/04/news-20240419-01.html.</w:t>
      </w:r>
    </w:p>
    <w:p>
      <w:pPr>
        <w:pStyle w:val="DocBody"/>
        <w:ind w:left="765"/>
      </w:pPr>
      <w:r>
        <w:rPr>
          <w:rFonts w:ascii="Times New Roman" w:hAnsi="Times New Roman" w:eastAsia="宋体"/>
          <w:sz w:val="24"/>
        </w:rPr>
        <w:t>Shi-Chang Zhuang, Bo Li, Ming-Yang Zheng, et al., “Ultrabright­ Entanglement-Based Quantum Key Distribution over a 404-Km-Long Optical,” arXiv:2408.04361, version 1, preprint, arXiv, August 8, 2024, https://doi.org/10.48550/arXiv.2408.04361.</w:t>
      </w:r>
    </w:p>
    <w:p>
      <w:pPr>
        <w:pStyle w:val="DocBody"/>
        <w:ind w:left="765"/>
      </w:pPr>
      <w:r>
        <w:rPr>
          <w:rFonts w:ascii="Times New Roman" w:hAnsi="Times New Roman" w:eastAsia="宋体"/>
          <w:sz w:val="24"/>
        </w:rPr>
        <w:t>Juan Yin, Yu-Huai Li, Sheng-Kai Liao, et al., “Entanglement- Based Secure Quantum Cryptography over 1,120 Kilometres,”</w:t>
      </w:r>
    </w:p>
    <w:p>
      <w:pPr>
        <w:pStyle w:val="DocBody"/>
      </w:pPr>
      <w:r>
        <w:rPr>
          <w:rFonts w:ascii="Times New Roman" w:hAnsi="Times New Roman" w:eastAsia="宋体"/>
          <w:sz w:val="24"/>
        </w:rPr>
        <w:t>Nature 582, no. 7813 (2020): 501–5, https://doi.org/10.1038 /s41586-020-2401-y.</w:t>
      </w:r>
    </w:p>
    <w:p>
      <w:pPr>
        <w:pStyle w:val="DocBody"/>
        <w:ind w:left="765"/>
      </w:pPr>
      <w:r>
        <w:rPr>
          <w:rFonts w:ascii="Times New Roman" w:hAnsi="Times New Roman" w:eastAsia="宋体"/>
          <w:sz w:val="24"/>
        </w:rPr>
        <w:t>Joseph M. Lukens, Nicholas A. Peters, and Bing Qi, “Hybrid Classical-Quantum Communication Networks,” arXiv:2502.07298, preprint, arXiv, July 24, 2025, https://doi.org/10.48550/arXiv .2502.07298.</w:t>
      </w:r>
    </w:p>
    <w:p>
      <w:pPr>
        <w:pStyle w:val="DocBody"/>
        <w:ind w:left="765"/>
      </w:pPr>
      <w:r>
        <w:rPr>
          <w:rFonts w:ascii="Times New Roman" w:hAnsi="Times New Roman" w:eastAsia="宋体"/>
          <w:sz w:val="24"/>
        </w:rPr>
        <w:t>H. Jeff Kimble, “The Quantum Internet,” Nature 453.7198 (2008): 1023–30.</w:t>
      </w:r>
    </w:p>
    <w:p>
      <w:pPr>
        <w:pStyle w:val="DocBody"/>
        <w:ind w:left="765"/>
      </w:pPr>
      <w:r>
        <w:rPr>
          <w:rFonts w:ascii="Times New Roman" w:hAnsi="Times New Roman" w:eastAsia="宋体"/>
          <w:sz w:val="24"/>
        </w:rPr>
        <w:t>Robert Malaney, “Quantum Geo-Encryption,” 2016 IEEE Global Communications Conference (IEEE Press, 2016), 1–6, https://doi.org/10.1109/GLOCOM.2016.7842191.</w:t>
      </w:r>
    </w:p>
    <w:p>
      <w:pPr>
        <w:pStyle w:val="DocBody"/>
        <w:ind w:left="765"/>
      </w:pPr>
      <w:r>
        <w:rPr>
          <w:rFonts w:ascii="Times New Roman" w:hAnsi="Times New Roman" w:eastAsia="宋体"/>
          <w:sz w:val="24"/>
        </w:rPr>
        <w:t>“An Elementary Network of Entangled Optical Atomic Clocks?,” University of Oregon, June 2, 2023, https://omq.uoregon .edu/events/elementary-network-entangled-optical-atomic-clocks.</w:t>
      </w:r>
    </w:p>
    <w:p>
      <w:pPr>
        <w:pStyle w:val="DocBody"/>
        <w:ind w:left="765"/>
      </w:pPr>
      <w:r>
        <w:rPr>
          <w:rFonts w:ascii="Times New Roman" w:hAnsi="Times New Roman" w:eastAsia="宋体"/>
          <w:sz w:val="24"/>
        </w:rPr>
        <w:t>Abyad Enan, Mashrur Chowdhury, Sagar Dasgupta, and Mizanur Rahman, “Quantum-Classical Hybrid Framework for Zero- Day Time-Push GNSS Spoofng Detection,” arXiv:2508.18085, preprint, arXiv, August 25, 2025, https://doi.org/10.48550 /arXiv.2508.18085.</w:t>
      </w:r>
    </w:p>
    <w:p>
      <w:pPr>
        <w:pStyle w:val="DocBody"/>
        <w:ind w:left="765"/>
      </w:pPr>
      <w:r>
        <w:rPr>
          <w:rFonts w:ascii="Times New Roman" w:hAnsi="Times New Roman" w:eastAsia="宋体"/>
          <w:sz w:val="24"/>
        </w:rPr>
        <w:t>M. Tse et al., “Quantum-Enhanced Advanced LIGO Detec­ tors in the Era of Gravitational-Wave Astronomy,” Physical Review Letters 123, no. 23 (2019), https://doi.org/10.1103/PhysRevLett .123.231107.</w:t>
      </w:r>
    </w:p>
    <w:p>
      <w:pPr>
        <w:pStyle w:val="DocBody"/>
        <w:ind w:left="765"/>
      </w:pPr>
      <w:r>
        <w:rPr>
          <w:rFonts w:ascii="Times New Roman" w:hAnsi="Times New Roman" w:eastAsia="宋体"/>
          <w:sz w:val="24"/>
        </w:rPr>
        <w:t>Mary Burkey, How Quantum Sensing Will Solve GPS Denial in Warfare, Lawrence Livermore National Laboratory Center for Global Security Research Fellows Publication, June 2025, https:// cgsr.llnl.gov/sites/cgsr/fles/2025-06/Burkey_QS_fnal.pdf.</w:t>
      </w:r>
    </w:p>
    <w:p>
      <w:pPr>
        <w:pStyle w:val="DocBody"/>
        <w:ind w:left="765"/>
      </w:pPr>
      <w:r>
        <w:rPr>
          <w:rFonts w:ascii="Times New Roman" w:hAnsi="Times New Roman" w:eastAsia="宋体"/>
          <w:sz w:val="24"/>
        </w:rPr>
        <w:t>Samuel Lellouch and Michael Holynski, “Integration of a High-Fidelity Model of Quantum Sensors with a Map-Matching Filter for Quantum-Enhanced Navigation,” Quantum Sci­ ence and Technology 10, no. 4 (2025): 045007, https://doi.org /10.1088/2058-9565/adf2d9.</w:t>
      </w:r>
    </w:p>
    <w:p>
      <w:pPr>
        <w:pStyle w:val="DocBody"/>
        <w:ind w:left="765"/>
      </w:pPr>
      <w:r>
        <w:rPr>
          <w:rFonts w:ascii="Times New Roman" w:hAnsi="Times New Roman" w:eastAsia="宋体"/>
          <w:sz w:val="24"/>
        </w:rPr>
        <w:t>Murat Muradoglu, Mattias T. Johnsson, Nathanial M. Wilson, et al., “Quantum-Assured Magnetic Navigation Achieves Posi­ tioning Accuracy Better than a Strategic-Grade INS in Airborne and Ground-Based Field Trials,” arXiv:2504.08167, preprint, arXiv, April 10, 2025, https://doi.org/10.48550/arXiv.2504.08167.</w:t>
      </w:r>
    </w:p>
    <w:p>
      <w:pPr>
        <w:pStyle w:val="DocBody"/>
        <w:ind w:left="765"/>
      </w:pPr>
      <w:r>
        <w:rPr>
          <w:rFonts w:ascii="Times New Roman" w:hAnsi="Times New Roman" w:eastAsia="宋体"/>
          <w:sz w:val="24"/>
        </w:rPr>
        <w:t>Scott E. Crawford, Roman A. Shugayev, Hari P. Paudel, et al., “Quantum Sensing for Energy Applications: Review and Perspec­ tive,” Advanced Quantum Technologies 4, no. 8 (2021), https:// doi.org/10.1002/qute.202100049.</w:t>
      </w:r>
    </w:p>
    <w:p>
      <w:pPr>
        <w:pStyle w:val="DocBody"/>
        <w:ind w:left="765"/>
      </w:pPr>
      <w:r>
        <w:rPr>
          <w:rFonts w:ascii="Times New Roman" w:hAnsi="Times New Roman" w:eastAsia="宋体"/>
          <w:sz w:val="24"/>
        </w:rPr>
        <w:t>Hoda Lotfpour, Hassan Sobhani, Mohamad Taghi Dejpasand, and Morteza Sasani Ghamsari, “Application of Quantum Imaging in Biology,” Biomedical Optics Express 16, no. 8 (2025): 3349–77, https://doi.org/10.1364/BOE.566801.</w:t>
      </w:r>
    </w:p>
    <w:p>
      <w:pPr>
        <w:pStyle w:val="DocBody"/>
        <w:ind w:left="765"/>
      </w:pPr>
      <w:r>
        <w:rPr>
          <w:rFonts w:ascii="Times New Roman" w:hAnsi="Times New Roman" w:eastAsia="宋体"/>
          <w:sz w:val="24"/>
        </w:rPr>
        <w:t>Nikolaj Hansen et al., “Microscopic-Scale Magnetic Recording of Brain Neuronal Electrical Activity Using a Diamond Quantum Sensor,” Sci. Rep 13, no. 1 (2023); Nabeel Aslam et al., “Quantum Sensors for Biomedical Applications,” Nature Review Physics 5, no. 3 (2023).</w:t>
      </w:r>
    </w:p>
    <w:p>
      <w:pPr>
        <w:pStyle w:val="DocBody"/>
        <w:ind w:left="765"/>
      </w:pPr>
      <w:r>
        <w:rPr>
          <w:rFonts w:ascii="Times New Roman" w:hAnsi="Times New Roman" w:eastAsia="宋体"/>
          <w:sz w:val="24"/>
        </w:rPr>
        <w:t>Jacob S. Feder, Benjamin S. Soloway, Shreya Verma, et al., “A Fluorescent-Protein Spin Qubit,” Nature 645, no. 8079 (2025):</w:t>
      </w:r>
    </w:p>
    <w:p>
      <w:pPr>
        <w:pStyle w:val="DocBody"/>
      </w:pPr>
      <w:r>
        <w:rPr>
          <w:rFonts w:ascii="Times New Roman" w:hAnsi="Times New Roman" w:eastAsia="宋体"/>
          <w:sz w:val="24"/>
        </w:rPr>
        <w:t>73–9, https://doi.org/10.1038/s41586-025-09417-w.</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07  QUANTUM TECHNOLOGIES</w:t>
      </w:r>
    </w:p>
    <w:p>
      <w:pPr>
        <w:pStyle w:val="DocBody"/>
        <w:ind w:left="765"/>
      </w:pPr>
      <w:r>
        <w:rPr>
          <w:rFonts w:ascii="Times New Roman" w:hAnsi="Times New Roman" w:eastAsia="宋体"/>
          <w:sz w:val="24"/>
        </w:rPr>
        <w:t>Remi Geiger, Arnaud Landragin, Sébastien Merlet, and Franck Pereira Dos Santos, “High-Accuracy Inertial Measurements with Cold-Atom Sensors,” AVS Quantum Science 2, no. 2 (2020):</w:t>
      </w:r>
    </w:p>
    <w:p>
      <w:pPr>
        <w:pStyle w:val="DocBody"/>
      </w:pPr>
      <w:r>
        <w:rPr>
          <w:rFonts w:ascii="Times New Roman" w:hAnsi="Times New Roman" w:eastAsia="宋体"/>
          <w:sz w:val="24"/>
        </w:rPr>
        <w:t>024702, https://doi.org/10.1116/5.0009093.</w:t>
      </w:r>
    </w:p>
    <w:p>
      <w:pPr>
        <w:pStyle w:val="DocBody"/>
        <w:ind w:left="765"/>
      </w:pPr>
      <w:r>
        <w:rPr>
          <w:rFonts w:ascii="Times New Roman" w:hAnsi="Times New Roman" w:eastAsia="宋体"/>
          <w:sz w:val="24"/>
        </w:rPr>
        <w:t>Jinting Li, Xi Chen, Danfang Zhang, et al., “Realization of a Cold Atom Gyroscope in Space,” National Science Review 12, no.</w:t>
      </w:r>
    </w:p>
    <w:p>
      <w:pPr>
        <w:pStyle w:val="DocBody"/>
      </w:pPr>
      <w:r>
        <w:rPr>
          <w:rFonts w:ascii="Times New Roman" w:hAnsi="Times New Roman" w:eastAsia="宋体"/>
          <w:sz w:val="24"/>
        </w:rPr>
        <w:t>4 (2025): nwaf012, https://doi.org/10.1093/nsr/nwaf012.</w:t>
      </w:r>
    </w:p>
    <w:p>
      <w:pPr>
        <w:pStyle w:val="DocBody"/>
        <w:ind w:left="765"/>
      </w:pPr>
      <w:r>
        <w:rPr>
          <w:rFonts w:ascii="Times New Roman" w:hAnsi="Times New Roman" w:eastAsia="宋体"/>
          <w:sz w:val="24"/>
        </w:rPr>
        <w:t>Ning Wang and Jianming Cai, “Hybrid Quantum Sensing in Diamond,” Frontiers in Physics 12 (February 2024), https://doi .org/10.3389/fphy.2024.1320108.</w:t>
      </w:r>
    </w:p>
    <w:p>
      <w:pPr>
        <w:pStyle w:val="DocBody"/>
        <w:ind w:left="765"/>
      </w:pPr>
      <w:r>
        <w:rPr>
          <w:rFonts w:ascii="Times New Roman" w:hAnsi="Times New Roman" w:eastAsia="宋体"/>
          <w:sz w:val="24"/>
        </w:rPr>
        <w:t>Athena Karsa, Alasdair Fletcher, Gaetana Spedalieri, and Ste­ fano Pirandola, “Quantum Illumination and Quantum Radar: A Brief Overview,” Reports on Progress in Physics 87, no. 9 (2024):</w:t>
      </w:r>
    </w:p>
    <w:p>
      <w:pPr>
        <w:pStyle w:val="DocBody"/>
      </w:pPr>
      <w:r>
        <w:rPr>
          <w:rFonts w:ascii="Times New Roman" w:hAnsi="Times New Roman" w:eastAsia="宋体"/>
          <w:sz w:val="24"/>
        </w:rPr>
        <w:t>094001, https://doi.org/10.1088/1361-6633/ad6279.</w:t>
      </w:r>
    </w:p>
    <w:p>
      <w:pPr>
        <w:pStyle w:val="DocBody"/>
        <w:ind w:left="765"/>
      </w:pPr>
      <w:r>
        <w:rPr>
          <w:rFonts w:ascii="Times New Roman" w:hAnsi="Times New Roman" w:eastAsia="宋体"/>
          <w:sz w:val="24"/>
        </w:rPr>
        <w:t>Arne Hamann, Paul Aigner, Pavel Sekatski, and Wolfgang Dür, “Selective and Noise-Resilient Wave Estimation with Quantum Sensor Networks,” Quantum Science and Technology 10, no. 3 (2025): 035028, https://doi.org/10.1088/2058-9565/add61b.</w:t>
      </w:r>
    </w:p>
    <w:p>
      <w:pPr>
        <w:pStyle w:val="DocBody"/>
        <w:ind w:left="765"/>
      </w:pPr>
      <w:r>
        <w:rPr>
          <w:rFonts w:ascii="Times New Roman" w:hAnsi="Times New Roman" w:eastAsia="宋体"/>
          <w:sz w:val="24"/>
        </w:rPr>
        <w:t>US Defense Advanced Research Projects Agency, “Intensity- Squeezed Photonic Integration for Revolutionary Detectors (INSPIRED),” accessed October 20, 2025, https://www.darpa.mil /research/programs/intensity-squeezed-photonic.</w:t>
      </w:r>
    </w:p>
    <w:p>
      <w:pPr>
        <w:pStyle w:val="DocBody"/>
        <w:ind w:left="765"/>
      </w:pPr>
      <w:r>
        <w:rPr>
          <w:rFonts w:ascii="Times New Roman" w:hAnsi="Times New Roman" w:eastAsia="宋体"/>
          <w:sz w:val="24"/>
        </w:rPr>
        <w:t>Jon Harper, “DARPA Eyeing New Quantum Sensing Pro­ gram,” DefenseScoop, December 30, 2024, https://defensescoop .com/2024/12/30/darpa-eying-new-quantum-sensing-program -robust-quantum-sensors-roqs/.</w:t>
      </w:r>
    </w:p>
    <w:p>
      <w:pPr>
        <w:pStyle w:val="DocBody"/>
        <w:ind w:left="765"/>
      </w:pPr>
      <w:r>
        <w:rPr>
          <w:rFonts w:ascii="Times New Roman" w:hAnsi="Times New Roman" w:eastAsia="宋体"/>
          <w:sz w:val="24"/>
        </w:rPr>
        <w:t>Jongmin Lee, Roger Ding, Justin Christensen, et al., “A Compact Cold-Atom Interferometer with a High Data-Rate Grat­ ing Magneto-Optical Trap and a Photonic-Integrated-Circuit- Compatible Laser System,” Nature Communications 13, no. 1 (2022): 5131, https://doi.org/10.1038/s41467-022-31410-4.</w:t>
      </w:r>
    </w:p>
    <w:p>
      <w:pPr>
        <w:pStyle w:val="DocBody"/>
        <w:ind w:left="765"/>
      </w:pPr>
      <w:r>
        <w:rPr>
          <w:rFonts w:ascii="Times New Roman" w:hAnsi="Times New Roman" w:eastAsia="宋体"/>
          <w:sz w:val="24"/>
        </w:rPr>
        <w:t>Tian Li, Vsevolod Chevurkanov, Vladislav Yakovlev, “Harness­ ing Quantum Light for Microscopic Biomechanical Imaging of Cells and Tissues,” PNAS 121, no. 45 (2024).</w:t>
      </w:r>
    </w:p>
    <w:p>
      <w:pPr>
        <w:pStyle w:val="DocBody"/>
        <w:ind w:left="765"/>
      </w:pPr>
      <w:r>
        <w:rPr>
          <w:rFonts w:ascii="Times New Roman" w:hAnsi="Times New Roman" w:eastAsia="宋体"/>
          <w:sz w:val="24"/>
        </w:rPr>
        <w:t>Yide Zhang, Zhe He, Xin Tong, David Garrett, et. al., “Quan­ tum Imaging of Biological Organisms Through Spatial and Polar­ ization Entanglement,” Science Advances 10, no. 10 (2024).</w:t>
      </w:r>
    </w:p>
    <w:p>
      <w:pPr>
        <w:pStyle w:val="DocBody"/>
        <w:ind w:left="765"/>
      </w:pPr>
      <w:r>
        <w:rPr>
          <w:rFonts w:ascii="Times New Roman" w:hAnsi="Times New Roman" w:eastAsia="宋体"/>
          <w:sz w:val="24"/>
        </w:rPr>
        <w:t>State Council, People’s Republic of China, “China to Include Quantum Technology in Its 14th Five-Year Plan,” CGTN News Service, October 22, 2020, https://english.www.gov.cn/news /videos/202010/22/content_WS5f90e700c6d0f7257693e3fe.html.</w:t>
      </w:r>
    </w:p>
    <w:p>
      <w:pPr>
        <w:pStyle w:val="DocBody"/>
        <w:ind w:left="765"/>
      </w:pPr>
      <w:r>
        <w:rPr>
          <w:rFonts w:ascii="Times New Roman" w:hAnsi="Times New Roman" w:eastAsia="宋体"/>
          <w:sz w:val="24"/>
        </w:rPr>
        <w:t>National Science Board, “Science &amp; Engineering Indicators:</w:t>
      </w:r>
    </w:p>
    <w:p>
      <w:pPr>
        <w:pStyle w:val="DocBody"/>
      </w:pPr>
      <w:r>
        <w:rPr>
          <w:rFonts w:ascii="Times New Roman" w:hAnsi="Times New Roman" w:eastAsia="宋体"/>
          <w:sz w:val="24"/>
        </w:rPr>
        <w:t>Human Resources and Academic R&amp;D” (NSB2023-26), accessed October 20, 2025, https://ncses.nsf.gov/pubs/nsb202326/human -resources-and-academic-r-d.</w:t>
      </w:r>
    </w:p>
    <w:p>
      <w:pPr>
        <w:pStyle w:val="DocBody"/>
        <w:ind w:left="765"/>
      </w:pPr>
      <w:r>
        <w:rPr>
          <w:rFonts w:ascii="Times New Roman" w:hAnsi="Times New Roman" w:eastAsia="宋体"/>
          <w:sz w:val="24"/>
        </w:rPr>
        <w:t>Brad Smith, “Investing in American Leadership in Quantum Technology,” Microsoft on the Issues, April 28, 2025, https:// blogs.microsoft.com/on-the-issues/2025/04/28/investing-in -american-leadership-quantum/.</w:t>
      </w:r>
    </w:p>
    <w:p>
      <w:pPr>
        <w:pStyle w:val="DocBody"/>
        <w:ind w:left="765"/>
      </w:pPr>
      <w:r>
        <w:rPr>
          <w:rFonts w:ascii="Times New Roman" w:hAnsi="Times New Roman" w:eastAsia="宋体"/>
          <w:sz w:val="24"/>
        </w:rPr>
        <w:t>“Special Gaps Analysis-Quantum,” Special Competitive Stud­ ies Project, 2025, https://www.scsp.ai/reports/2025-gaps-analysis /gaps-analysis/quantum/.</w:t>
      </w:r>
    </w:p>
    <w:p>
      <w:pPr>
        <w:pStyle w:val="DocBody"/>
        <w:ind w:left="765"/>
      </w:pPr>
      <w:r>
        <w:rPr>
          <w:rFonts w:ascii="Times New Roman" w:hAnsi="Times New Roman" w:eastAsia="宋体"/>
          <w:sz w:val="24"/>
        </w:rPr>
        <w:t>Lin Rui et al., “AI-Enabled Parallel Assembly of Thousands of Defect-Free Neutral Atom Arrays,” Physical Review Letters 135, no. 6 (2025): 060602.</w:t>
      </w:r>
    </w:p>
    <w:p>
      <w:pPr>
        <w:pStyle w:val="DocBody"/>
        <w:ind w:left="765"/>
      </w:pPr>
      <w:r>
        <w:rPr>
          <w:rFonts w:ascii="Times New Roman" w:hAnsi="Times New Roman" w:eastAsia="宋体"/>
          <w:sz w:val="24"/>
        </w:rPr>
        <w:t>Guo S-A. et al., “A Site-Resolved Two-Dimensional Quantum Simulator with Hundreds of Trapped Ions,” Nature 630, no. 8017 (2024): 613–18.</w:t>
      </w:r>
    </w:p>
    <w:p>
      <w:pPr>
        <w:pStyle w:val="DocBody"/>
        <w:ind w:left="765"/>
      </w:pPr>
      <w:r>
        <w:rPr>
          <w:rFonts w:ascii="Times New Roman" w:hAnsi="Times New Roman" w:eastAsia="宋体"/>
          <w:sz w:val="24"/>
        </w:rPr>
        <w:t>Yu-Ao Chen, Qiang Zhang, Teng-Yun Chen, et al., “An Inte­ grated Space-to-Ground Quantum Communication Network over 4,600 Kilometres,” Nature 589, no. 7841 (2021): 214–19, https:// doi.org/10.1038/s41586-020-03093-8.</w:t>
      </w:r>
    </w:p>
    <w:p>
      <w:pPr>
        <w:pStyle w:val="DocBody"/>
        <w:ind w:left="765"/>
      </w:pPr>
      <w:r>
        <w:rPr>
          <w:rFonts w:ascii="Times New Roman" w:hAnsi="Times New Roman" w:eastAsia="宋体"/>
          <w:sz w:val="24"/>
        </w:rPr>
        <w:t>Martin Giles, “President Trump Has Signed a $1.2 Billion Law to Boost US Quantum Tech,” MIT Technology Review, December 22, 2018, https://www.technologyreview.com/2018/12/22/138149 /president-trump-has-signed-a-12-billon-law-to-boost-us -quantum-tech/.</w:t>
      </w:r>
    </w:p>
    <w:p>
      <w:pPr>
        <w:pStyle w:val="DocBody"/>
        <w:ind w:left="765"/>
      </w:pPr>
      <w:r>
        <w:rPr>
          <w:rFonts w:ascii="Times New Roman" w:hAnsi="Times New Roman" w:eastAsia="宋体"/>
          <w:sz w:val="24"/>
        </w:rPr>
        <w:t>US Defense Advanced Research Projects Agency, “Quantum Benchmarking Initiative (QBI),” accessed October 20, 2025, https:// www.darpa.mil/research/programs/quantum-benchmarking -initiative.</w:t>
      </w:r>
    </w:p>
    <w:p>
      <w:pPr>
        <w:pStyle w:val="DocBody"/>
      </w:pPr>
      <w:r>
        <w:rPr>
          <w:rFonts w:ascii="Times New Roman" w:hAnsi="Times New Roman" w:eastAsia="宋体"/>
          <w:sz w:val="24"/>
        </w:rPr>
        <w:t>STANFORD EXPERT CONTRIBUTORS Dr. Jon Simon SETR Faculty Council, Joan Reinhart Professor of Physics, and Professor of Applied Physics Dr. Amir Safavi Naeini Associate Professor of Applied Physics and, by cour­ tesy, of Electrical Engineering Dr. David Schuster Professor of Applied Physics Ms. Junna Gui SETR Fellow and Q-Farm Program Manager</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ROBOTICS KEY TAKEAWAYS Artifcial intelligence holds signifcant potential to ° advance complex robotic systems, but the speed of future advances will depend on the availability of high-quality training data and the systematic integration of data-rich foundation models, simu­ lated interactions between robots and their envi­ ronment, and understanding of the real physical world.</w:t>
      </w:r>
    </w:p>
    <w:p>
      <w:pPr>
        <w:pStyle w:val="DocBody"/>
      </w:pPr>
      <w:r>
        <w:rPr>
          <w:rFonts w:ascii="Times New Roman" w:hAnsi="Times New Roman" w:eastAsia="宋体"/>
          <w:sz w:val="24"/>
        </w:rPr>
        <w:t>Humanoid robots show promise for specialized ° industrial and healthcare roles, although wide­ spread adoption of them faces challenges linked to their cost, technical complexity, energy eff­ ciency, safety, and training data quality.</w:t>
      </w:r>
    </w:p>
    <w:p>
      <w:pPr>
        <w:pStyle w:val="DocBody"/>
      </w:pPr>
      <w:r>
        <w:rPr>
          <w:rFonts w:ascii="Times New Roman" w:hAnsi="Times New Roman" w:eastAsia="宋体"/>
          <w:sz w:val="24"/>
        </w:rPr>
        <w:t>Advances in autonomous, low-cost, and commu­ ° nication-resilient robotic systems are transform­ ing important aspects of modern warfare.</w:t>
      </w:r>
    </w:p>
    <w:p>
      <w:pPr>
        <w:pStyle w:val="DocBody"/>
      </w:pPr>
      <w:r>
        <w:rPr>
          <w:rFonts w:ascii="Times New Roman" w:hAnsi="Times New Roman" w:eastAsia="宋体"/>
          <w:sz w:val="24"/>
        </w:rPr>
        <w:t>Overview A robot is an engineered physical entity with ways of sensing itself or the world around it and of cre­ ating physical effects on that world.1 Robots must integrate many different component technologies to combine perception of the environment with action in it. Perception requires generating representations of the robot’s environment and its interaction with its surroundings. Action requires the robot to make physical changes to itself or the environment based on those perceptions.</w:t>
      </w:r>
    </w:p>
    <w:p>
      <w:pPr>
        <w:pStyle w:val="DocBody"/>
      </w:pPr>
      <w:r>
        <w:rPr>
          <w:rFonts w:ascii="Times New Roman" w:hAnsi="Times New Roman" w:eastAsia="宋体"/>
          <w:sz w:val="24"/>
        </w:rPr>
        <w:t>The key engineering challenges in robotics involve the design of components, integration of these compo­ nents within a robot’s body, and algorithms that enable system-level functionality to allow a robot to perform intended tasks in different settings and environments.</w:t>
      </w:r>
    </w:p>
    <w:p>
      <w:pPr>
        <w:pStyle w:val="DocBody"/>
      </w:pPr>
      <w:r>
        <w:rPr>
          <w:rFonts w:ascii="Times New Roman" w:hAnsi="Times New Roman" w:eastAsia="宋体"/>
          <w:sz w:val="24"/>
        </w:rPr>
        <w:t>Important component technologies include:</w:t>
      </w:r>
    </w:p>
    <w:p>
      <w:pPr>
        <w:pStyle w:val="DocBody"/>
      </w:pPr>
      <w:r>
        <w:rPr>
          <w:rFonts w:ascii="Times New Roman" w:hAnsi="Times New Roman" w:eastAsia="宋体"/>
          <w:sz w:val="24"/>
        </w:rPr>
        <w:t>Actuators that enable movement, such as motors ° and grasping appendages.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8.1  Not all robots use artificial intelligence Robotics Artiÿcial intelligence Tele-operated surgical robots Early robotic vacuum cleaners AI robotic vacuum cleaners Zoom AI summaries ChatGPT Autocorrect Siri Alexa Facial recognition Humanoid robots Artiÿcially intelligent robots Sensors that receive real-time input about the ° immediate physical environment of the robot and the robot’s own confguration.</w:t>
      </w:r>
    </w:p>
    <w:p>
      <w:pPr>
        <w:pStyle w:val="DocBody"/>
      </w:pPr>
      <w:r>
        <w:rPr>
          <w:rFonts w:ascii="Times New Roman" w:hAnsi="Times New Roman" w:eastAsia="宋体"/>
          <w:sz w:val="24"/>
        </w:rPr>
        <w:t>Control systems that decide what the robot ° should do based on sensor readings.</w:t>
      </w:r>
    </w:p>
    <w:p>
      <w:pPr>
        <w:pStyle w:val="DocBody"/>
      </w:pPr>
      <w:r>
        <w:rPr>
          <w:rFonts w:ascii="Times New Roman" w:hAnsi="Times New Roman" w:eastAsia="宋体"/>
          <w:sz w:val="24"/>
        </w:rPr>
        <w:t>Structural materials that robots are made of.</w:t>
      </w:r>
    </w:p>
    <w:p>
      <w:pPr>
        <w:pStyle w:val="DocBody"/>
      </w:pPr>
      <w:r>
        <w:rPr>
          <w:rFonts w:ascii="Times New Roman" w:hAnsi="Times New Roman" w:eastAsia="宋体"/>
          <w:sz w:val="24"/>
        </w:rPr>
        <w:t>° Those built from rigid materials typically interact with their operating environments in highly pre­ scribed and structured ways. “Soft” robots, which are fexible and conform to their surroundings, can offer better performance in more unstruc­ tured and chaotic environments.2 Power sources that can be tethered to a robot ° or are untethered. A robot tethered to a “base station” can be energized from a power source on that base indefnitely, while untethered robots need self-contained power sources or sources that harvest energy from the environment.</w:t>
      </w:r>
    </w:p>
    <w:p>
      <w:pPr>
        <w:pStyle w:val="DocBody"/>
      </w:pPr>
      <w:r>
        <w:rPr>
          <w:rFonts w:ascii="Times New Roman" w:hAnsi="Times New Roman" w:eastAsia="宋体"/>
          <w:sz w:val="24"/>
        </w:rPr>
        <w:t>Real-time computing that determines the specifc ° timeframes in which operations of robots take place ensures, for example, that a robotic arm in a workplace will stop very quickly if the robot detects a human in its immediate proximity.</w:t>
      </w:r>
    </w:p>
    <w:p>
      <w:pPr>
        <w:pStyle w:val="DocBody"/>
      </w:pPr>
      <w:r>
        <w:rPr>
          <w:rFonts w:ascii="Times New Roman" w:hAnsi="Times New Roman" w:eastAsia="宋体"/>
          <w:sz w:val="24"/>
        </w:rPr>
        <w:t>Finally, some robots use computer vision and other types of artifcial intelligence (AI) for understanding their environments and decision making, but robot­ ics and AI do not always go together (see examples in fgure 8.1). Robots with varying degrees of auton­ omy have been used in everything from delicate sur­ gical procedures to space exploration.</w:t>
      </w:r>
    </w:p>
    <w:p>
      <w:pPr>
        <w:pStyle w:val="DocBody"/>
      </w:pPr>
      <w:r>
        <w:rPr>
          <w:rFonts w:ascii="Times New Roman" w:hAnsi="Times New Roman" w:eastAsia="宋体"/>
          <w:sz w:val="24"/>
        </w:rPr>
        <w:t>Examples of robots include self-driving cars, drones, humanoids (i.e., a robot that mimics human form and motions), manipulators used in manufacturing and warehousing, and tele-operated surgical instru­ ments. They can range in size from millimeter-scale soft medical devices that navigate vessels in the brain to large land vehicles and excavators for mining and construction.</w:t>
      </w:r>
    </w:p>
    <w:p>
      <w:pPr>
        <w:pStyle w:val="DocBody"/>
      </w:pPr>
      <w:r>
        <w:rPr>
          <w:rFonts w:ascii="Times New Roman" w:hAnsi="Times New Roman" w:eastAsia="宋体"/>
          <w:sz w:val="24"/>
        </w:rPr>
        <w:t>The form factor of a robot—its overall size, shape, and physical layout—has far-reaching implications because it determines in large part what the robot can do, how well it can do it, and if and how people inter­ act with it. A robot’s form factor dictates how it moves,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08  ROBOTICS</w:t>
      </w:r>
    </w:p>
    <w:p>
      <w:pPr>
        <w:pStyle w:val="DocBody"/>
      </w:pPr>
      <w:r>
        <w:rPr>
          <w:rFonts w:ascii="Times New Roman" w:hAnsi="Times New Roman" w:eastAsia="宋体"/>
          <w:sz w:val="24"/>
        </w:rPr>
        <w:t>manipulates and senses things, and carries loads. It also infuences the environments in which a robot can operate, its stability, and its capacity to withstand adverse conditions. Additionally, a robot’s form factor affects its safety (including ease of use around people)</w:t>
      </w:r>
    </w:p>
    <w:p>
      <w:pPr>
        <w:pStyle w:val="DocBody"/>
      </w:pPr>
      <w:r>
        <w:rPr>
          <w:rFonts w:ascii="Times New Roman" w:hAnsi="Times New Roman" w:eastAsia="宋体"/>
          <w:sz w:val="24"/>
        </w:rPr>
        <w:t>and the cost of manufacturing it, its energy effciency, and how easy or hard it is to repair and upgrade.</w:t>
      </w:r>
    </w:p>
    <w:p>
      <w:pPr>
        <w:pStyle w:val="DocBody"/>
      </w:pPr>
      <w:r>
        <w:rPr>
          <w:rFonts w:ascii="Times New Roman" w:hAnsi="Times New Roman" w:eastAsia="宋体"/>
          <w:sz w:val="24"/>
        </w:rPr>
        <w:t>Finally, a robot’s size and appearance can also have signifcant regulatory and social implications, includ­ ing how widely it is accepted by the public.</w:t>
      </w:r>
    </w:p>
    <w:p>
      <w:pPr>
        <w:pStyle w:val="DocBody"/>
      </w:pPr>
      <w:r>
        <w:rPr>
          <w:rFonts w:ascii="Times New Roman" w:hAnsi="Times New Roman" w:eastAsia="宋体"/>
          <w:sz w:val="24"/>
        </w:rPr>
        <w:t>Key Developments The development of robots is infuenced by a com­ plex mix of factors: technological advances in areas such as mechanical design, sensors, materials, actu­ ators, AI, and control theory (i.e., the use of algo­ rithms and feedback to manipulate the behavior of dynamical systems); their potential to solve specifc tasks or problems; economic considerations includ­ ing cost and market demand; safety and ethical regulations; global security concerns; and social acceptance shaped by cultural and human factors.</w:t>
      </w:r>
    </w:p>
    <w:p>
      <w:pPr>
        <w:pStyle w:val="DocBody"/>
      </w:pPr>
      <w:r>
        <w:rPr>
          <w:rFonts w:ascii="Times New Roman" w:hAnsi="Times New Roman" w:eastAsia="宋体"/>
          <w:sz w:val="24"/>
        </w:rPr>
        <w:t>Some of the most important current developments in robotics are the role of data in AI for robotics, the development of humanoid robots, and the use of robotics in warfare.</w:t>
      </w:r>
    </w:p>
    <w:p>
      <w:pPr>
        <w:pStyle w:val="DocBody"/>
      </w:pPr>
      <w:r>
        <w:rPr>
          <w:rFonts w:ascii="Times New Roman" w:hAnsi="Times New Roman" w:eastAsia="宋体"/>
          <w:sz w:val="24"/>
        </w:rPr>
        <w:t>The Role of Data in Artifcial Intelligence for Robotics The recent acceleration of AI, most notably through the creation of popular tools like ChatGPT, demon­ strates how training AI models using large-scale data can drive remarkable technological advance­ ments and economic gain. Robotics, however, faces unique challenges. Unlike digital text processing, which uses vast amounts of readily available textual data on the internet, robots require very detailed, specialized information, including visual data and sensor-based measurements of touch, precise motion, and machines’ physical interactions with their surroundings.</w:t>
      </w:r>
    </w:p>
    <w:p>
      <w:pPr>
        <w:pStyle w:val="DocBody"/>
      </w:pPr>
      <w:r>
        <w:rPr>
          <w:rFonts w:ascii="Times New Roman" w:hAnsi="Times New Roman" w:eastAsia="宋体"/>
          <w:sz w:val="24"/>
        </w:rPr>
        <w:t>Gathering such data at scale is both expensive and time-consuming, creating a signifcant bottleneck in the development of reliable, large-scale robot auto­ mation. As illustrated in fgure 8.2, a large language model (LLM) today is typically trained on trillions FIGURE 8.2  Tokens for LLMs versus episodes for robot models LLMs Robotics Llama (Meta AI)</w:t>
      </w:r>
    </w:p>
    <w:p>
      <w:pPr>
        <w:pStyle w:val="DocBody"/>
      </w:pPr>
      <w:r>
        <w:rPr>
          <w:rFonts w:ascii="Times New Roman" w:hAnsi="Times New Roman" w:eastAsia="宋体"/>
          <w:sz w:val="24"/>
        </w:rPr>
        <w:t>GPT-4 (OpenAI)</w:t>
      </w:r>
    </w:p>
    <w:p>
      <w:pPr>
        <w:pStyle w:val="DocBody"/>
      </w:pPr>
      <w:r>
        <w:rPr>
          <w:rFonts w:ascii="Times New Roman" w:hAnsi="Times New Roman" w:eastAsia="宋体"/>
          <w:sz w:val="24"/>
        </w:rPr>
        <w:t>Open-X embodiment (DeepMind)</w:t>
      </w:r>
    </w:p>
    <w:p>
      <w:pPr>
        <w:pStyle w:val="DocBody"/>
      </w:pPr>
      <w:r>
        <w:rPr>
          <w:rFonts w:ascii="Times New Roman" w:hAnsi="Times New Roman" w:eastAsia="宋体"/>
          <w:sz w:val="24"/>
        </w:rPr>
        <w:t>DROID (cross-institutional)</w:t>
      </w:r>
    </w:p>
    <w:p>
      <w:pPr>
        <w:pStyle w:val="DocBody"/>
      </w:pPr>
      <w:r>
        <w:rPr>
          <w:rFonts w:ascii="Times New Roman" w:hAnsi="Times New Roman" w:eastAsia="宋体"/>
          <w:sz w:val="24"/>
        </w:rPr>
        <w:t>15 trillion tokens 14 trillion tokens 1M episodes (150K tasks)</w:t>
      </w:r>
    </w:p>
    <w:p>
      <w:pPr>
        <w:pStyle w:val="DocBody"/>
      </w:pPr>
      <w:r>
        <w:rPr>
          <w:rFonts w:ascii="Times New Roman" w:hAnsi="Times New Roman" w:eastAsia="宋体"/>
          <w:sz w:val="24"/>
        </w:rPr>
        <w:t>92K episodes (86 tasks)</w:t>
      </w:r>
    </w:p>
    <w:p>
      <w:pPr>
        <w:pStyle w:val="DocBody"/>
      </w:pPr>
      <w:r>
        <w:rPr>
          <w:rFonts w:ascii="Times New Roman" w:hAnsi="Times New Roman" w:eastAsia="宋体"/>
          <w:sz w:val="24"/>
        </w:rPr>
        <w:t>Sources: Meta AI: “Introducing Meta Llama 3: The Most Capable Openly Available LLM to Date,” Meta AI, April 18, 2024, https://ai.meta.com/blog/meta-llama-3/. Open AI: Julie Chang, host, Tech News Briefing, podcast, “The Internet May Be Too Small for the AI Boom, Researchers Say,” WSJ Podcasts, April 15, 2024, https://www.wsj.com/podcasts/tech-news-briefing /the-internet-may-be-too-small-for-the-ai-boom-researchers-say/63680C0D-69FE-437C-98F8-B678DD1F7536. Industrial:</w:t>
      </w:r>
    </w:p>
    <w:p>
      <w:pPr>
        <w:pStyle w:val="DocBody"/>
      </w:pPr>
      <w:r>
        <w:rPr>
          <w:rFonts w:ascii="Times New Roman" w:hAnsi="Times New Roman" w:eastAsia="宋体"/>
          <w:sz w:val="24"/>
        </w:rPr>
        <w:t>Quan Vuong and Pannag Sanketi, “Scaling Up Learning Across Many Different Robot Types,” Google DeepMind, Octo­ ber 3, 2023, https://deepmind.google/discover/blog/scaling-up-learning-across-many-different-robot-types/. Academic:</w:t>
      </w:r>
    </w:p>
    <w:p>
      <w:pPr>
        <w:pStyle w:val="DocBody"/>
      </w:pPr>
      <w:r>
        <w:rPr>
          <w:rFonts w:ascii="Times New Roman" w:hAnsi="Times New Roman" w:eastAsia="宋体"/>
          <w:sz w:val="24"/>
        </w:rPr>
        <w:t>Alexander Khazatsky, Karl Pertsch, Suraj Nair, et al., “DROID: A Large-Scale In-The-Wild Robot Manipulation Dataset,”</w:t>
      </w:r>
    </w:p>
    <w:p>
      <w:pPr>
        <w:pStyle w:val="DocBody"/>
      </w:pPr>
      <w:r>
        <w:rPr>
          <w:rFonts w:ascii="Times New Roman" w:hAnsi="Times New Roman" w:eastAsia="宋体"/>
          <w:sz w:val="24"/>
        </w:rPr>
        <w:t>arXiv:2403.12945, preprint, arXiv, April 22, 2025, https://doi.org/10.48550/arXiv.2403.12945.</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Viewed through a global lens, a race in robotic automation is already underway, driven primarily by the rapidly growing computational resources necessary to capture and analyze complex datasets.</w:t>
      </w:r>
    </w:p>
    <w:p>
      <w:pPr>
        <w:pStyle w:val="DocBody"/>
      </w:pPr>
      <w:r>
        <w:rPr>
          <w:rFonts w:ascii="Times New Roman" w:hAnsi="Times New Roman" w:eastAsia="宋体"/>
          <w:sz w:val="24"/>
        </w:rPr>
        <w:t>of tokens, whereas the largest datasets to date for robot models amount to at most a million or so epi­ sodes. (Tokens are the basic units that LLMs read and generate to process text; they can be a whole word, part of a word, or punctuation. Episodes are the basic units that robot foundation models pro­ cess—a full sequence of observations, actions, and outcomes during one task, capturing what the robot saw and did over time.)</w:t>
      </w:r>
    </w:p>
    <w:p>
      <w:pPr>
        <w:pStyle w:val="DocBody"/>
      </w:pPr>
      <w:r>
        <w:rPr>
          <w:rFonts w:ascii="Times New Roman" w:hAnsi="Times New Roman" w:eastAsia="宋体"/>
          <w:sz w:val="24"/>
        </w:rPr>
        <w:t>Simulation is often offered as a cheaper and safer alternative to collecting real-world data at scale for robot automation. Unfortunately, simulations frequently fail to replicate the complexity and unpredictability of physical environments and nat­ urally favor scenarios for which they have already been prepared. The result is that using a simula­ tion yields data with less effort but also with less fdelity to real-world situations. Simulations are still valuable tools, but their usefulness and reliability ultimately depend on calibrating them with exten­ sive real-world data that provides some measure of ground truth.</w:t>
      </w:r>
    </w:p>
    <w:p>
      <w:pPr>
        <w:pStyle w:val="DocBody"/>
      </w:pPr>
      <w:r>
        <w:rPr>
          <w:rFonts w:ascii="Times New Roman" w:hAnsi="Times New Roman" w:eastAsia="宋体"/>
          <w:sz w:val="24"/>
        </w:rPr>
        <w:t>To address these challenges, a hybrid strategy of blending advanced AI methods with proven engi­ neering approaches is often necessary. This approach ensures that robots are more robust and capable of handling uncertainty. Crucially, high-quality data in large quantities is vital for successful outcomes.</w:t>
      </w:r>
    </w:p>
    <w:p>
      <w:pPr>
        <w:pStyle w:val="DocBody"/>
      </w:pPr>
      <w:r>
        <w:rPr>
          <w:rFonts w:ascii="Times New Roman" w:hAnsi="Times New Roman" w:eastAsia="宋体"/>
          <w:sz w:val="24"/>
        </w:rPr>
        <w:t>In efforts to collect such data, disparities between different regions of the world—and differences in things such as rules surrounding use of personal data—need to be taken into account. A healthcare model trained on Chinese data might perform poorly in the European Union due to differences in healthcare systems and demographics, leading to unintended consequences.</w:t>
      </w:r>
    </w:p>
    <w:p>
      <w:pPr>
        <w:pStyle w:val="DocBody"/>
      </w:pPr>
      <w:r>
        <w:rPr>
          <w:rFonts w:ascii="Times New Roman" w:hAnsi="Times New Roman" w:eastAsia="宋体"/>
          <w:sz w:val="24"/>
        </w:rPr>
        <w:t>Viewed through a global lens, a race in robotic auto­ mation is already underway, driven primarily by the rapidly growing computational resources necessary to capture and analyze complex datasets. Even the most well-resourced academic institutions in the United States often have access to signifcantly less computational power compared to the resources available in private industry. Nevertheless, industry continues to rely heavily on foundational research conducted in academia, highlighting the impor­ tance of sustaining robust academic capabilities to maintain technological leadership.</w:t>
      </w:r>
    </w:p>
    <w:p>
      <w:pPr>
        <w:pStyle w:val="DocBody"/>
      </w:pPr>
      <w:r>
        <w:rPr>
          <w:rFonts w:ascii="Times New Roman" w:hAnsi="Times New Roman" w:eastAsia="宋体"/>
          <w:sz w:val="24"/>
        </w:rPr>
        <w:t>Humanoid Robots Robots may be useful for improving the US manu­ facturing base, reducing supply chain vulnerabilities, delivering eldercare, enhancing food production, tackling the housing shortage, improving energy sustainability, and performing almost any task involving physical presence. One type of device— the humanoid—is promoted as a solution to labor shortages in industries such as logistics, manufactur­ ing, and hospitality. For example, humanoid robots have the potential to support healthcare and social services by assisting with lifting, mobility, or medica­ tion delivery in ways that would augment the capa­ bilities of human caregivers rather than completely replace them.</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An important factor driving interest in humanoid robots is that the physical world is designed around the human form factor. If robots are going to be helpful to humans in daily life, their resemblance to humans will beneft their integration into day-to-day activities because they will be better adapted to any given physical human environment than a robot in any other form factor. However, their form factor might also raise unrealistic expectations about their capabilities. As Rodney Brooks, a leading fgure in the feld of robotics, has noted, “The visual appear­ ance of a robot makes a promise about what it can do and how smart it is. It needs to deliver or slightly over-deliver on that promise or it will not be accepted.”3 The anthropomorphic design of humanoid robots suggests compatibility with environments built for humans, fueling expectations that they can perform a wide variety of tasks. Recent progress in humanoid robot autonomy has been enabled by advances in data-driven machine learning (ML). The underlying data must be of high quality and is typically obtained from observing the teleoperation of humanoid robots. Improving the quality, volume, and methods for collecting robot teleoperation data will be neces­ sary to achieve human-level precision and dexterity, as well as to improve the autonomy of these robots in more generalizable contexts.</w:t>
      </w:r>
    </w:p>
    <w:p>
      <w:pPr>
        <w:pStyle w:val="DocBody"/>
      </w:pPr>
      <w:r>
        <w:rPr>
          <w:rFonts w:ascii="Times New Roman" w:hAnsi="Times New Roman" w:eastAsia="宋体"/>
          <w:sz w:val="24"/>
        </w:rPr>
        <w:t>Humanoid robots are not optimally suited for all tasks. Many problems that they can solve—such as material handling or repetitive assembly—can be addressed more effectively with other kinds of robots. In such cases, replicating the full versatility of human movement increases cost and complex­ ity without guaranteeing better performance. With high-value components such as robust actuators, dexterous hands, and force sensors, the high costs of humanoid robots, with average selling prices as high as $200,000 in 2024,4 have thus far made it diffcult to achieve widespread adoption in house­ holds. Energy ineffciency, limited battery life, and safety concerns also remain major barriers for every­ day use of humanoids in household settings.</w:t>
      </w:r>
    </w:p>
    <w:p>
      <w:pPr>
        <w:pStyle w:val="DocBody"/>
      </w:pPr>
      <w:r>
        <w:rPr>
          <w:rFonts w:ascii="Times New Roman" w:hAnsi="Times New Roman" w:eastAsia="宋体"/>
          <w:sz w:val="24"/>
        </w:rPr>
        <w:t>While humanoid robots may fnd specialized roles in industrial and healthcare contexts, wider use of them will depend on multiple factors. Progress in actuation, control, and AI will be critical for making humanoid robots a practical and sustainable solu­ tion for real-world applications. As autonomous capabilities improve, it will be particularly important that humanoid robots do not take away from human users’ sense of agency, such as their ability to effec­ tively override or alter robots’ actions during certain interactions with them.</w:t>
      </w:r>
    </w:p>
    <w:p>
      <w:pPr>
        <w:pStyle w:val="DocBody"/>
      </w:pPr>
      <w:r>
        <w:rPr>
          <w:rFonts w:ascii="Times New Roman" w:hAnsi="Times New Roman" w:eastAsia="宋体"/>
          <w:sz w:val="24"/>
        </w:rPr>
        <w:t>As shown in fgure 8.3, some of today’s humanoids are ready for deployment in relatively basic areas such as simple assembly tasks and inspection (the portion of the chart shaded in red), and are near­ ing levels of dexterity that will allow them to work in the vicinity of trained workers in industrial settings.</w:t>
      </w:r>
    </w:p>
    <w:p>
      <w:pPr>
        <w:pStyle w:val="DocBody"/>
      </w:pPr>
      <w:r>
        <w:rPr>
          <w:rFonts w:ascii="Times New Roman" w:hAnsi="Times New Roman" w:eastAsia="宋体"/>
          <w:sz w:val="24"/>
        </w:rPr>
        <w:t>Humanoid interactions with the general public will require greater dexterity, and in those cases, major technical challenges need to be surmounted to ensure the safety and reliability of humanoids.</w:t>
      </w:r>
    </w:p>
    <w:p>
      <w:pPr>
        <w:pStyle w:val="DocBody"/>
      </w:pPr>
      <w:r>
        <w:rPr>
          <w:rFonts w:ascii="Times New Roman" w:hAnsi="Times New Roman" w:eastAsia="宋体"/>
          <w:sz w:val="24"/>
        </w:rPr>
        <w:t>Humanoid robots are not optimally suited for all tasks.</w:t>
      </w:r>
    </w:p>
    <w:p>
      <w:pPr>
        <w:pStyle w:val="DocBody"/>
      </w:pPr>
      <w:r>
        <w:rPr>
          <w:rFonts w:ascii="Times New Roman" w:hAnsi="Times New Roman" w:eastAsia="宋体"/>
          <w:sz w:val="24"/>
        </w:rPr>
        <w:t>Many problems that they can solve . . . can be addressed more effectively with other kinds of robots.</w:t>
      </w:r>
    </w:p>
    <w:p>
      <w:pPr>
        <w:pStyle w:val="DocBody"/>
      </w:pPr>
      <w:r>
        <w:rPr>
          <w:rFonts w:ascii="Times New Roman" w:hAnsi="Times New Roman" w:eastAsia="宋体"/>
          <w:sz w:val="24"/>
        </w:rPr>
        <w:t>08  ROBOTICS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8.3  As safety and dexterity improve, humanoid robot deployment will expand to tasks requiring greater human interaction in less structured environments Dexterity requirement Safety requirement Semi-structured industrial settings, interactions with trained humans Structured industrial settings, interactions with only objects and other equipment Agriculture Construction Electronics Automotive Machining Fulÿllment and distribution Simple assembly Sorting and packaging Inspection Unstructured settings, interactions with the general public Hospitality and retail Eldercare Home service Source: Adapted from “Humanoid Robots: From the Warehouse to Your House,” Agility Robotics, blog, July 15, 2025, https://www.agilityrobotics.com/content/humanoid-robots-from-warehouse-to-your-house Robotics in Warfare Robotics is signifcantly reshaping modern warfare, driven by advances in autonomy, communications, and cost-effective robotic technologies. The real­ ities of war in Ukraine and the threat of a confict in the Taiwan Strait have spurred the Pentagon to reevaluate its combat capabilities. At the core of this reevaluation are autonomous robotic weapons sys­ tems. To adapt to this new paradigm, the Pentagon is looking to leverage more intelligent systems and cheap, scalable hardware from start-ups in Silicon Valley and elsewhere.</w:t>
      </w:r>
    </w:p>
    <w:p>
      <w:pPr>
        <w:pStyle w:val="DocBody"/>
      </w:pPr>
      <w:r>
        <w:rPr>
          <w:rFonts w:ascii="Times New Roman" w:hAnsi="Times New Roman" w:eastAsia="宋体"/>
          <w:sz w:val="24"/>
        </w:rPr>
        <w:t>Examples of types and uses of military robots (which are also known by names such as “uncrewed” or “unmanned” vehicles and drones) include:</w:t>
      </w:r>
    </w:p>
    <w:p>
      <w:pPr>
        <w:pStyle w:val="DocBody"/>
      </w:pPr>
      <w:r>
        <w:rPr>
          <w:rFonts w:ascii="Times New Roman" w:hAnsi="Times New Roman" w:eastAsia="宋体"/>
          <w:sz w:val="24"/>
        </w:rPr>
        <w:t>Logistics and last-mile resupply, which can be ° performed by low-cost unmanned ground vehi­ cles (UGVs) and autonomous convoys that move ammunition, water, and medical supplies under fre, reducing the exposure of human personnel (see fgure 8.4). Using robots for casualty evac­ uation and blood/medicine delivery reduces the risks to medics and pilots.5 Explosive ordnance disposal and route clear­ ° ance, which can be done by tele-operated and semiautonomous ground robots that can clear mines and improvised explosive devices (IEDs)</w:t>
      </w:r>
    </w:p>
    <w:p>
      <w:pPr>
        <w:pStyle w:val="DocBody"/>
      </w:pPr>
      <w:r>
        <w:rPr>
          <w:rFonts w:ascii="Times New Roman" w:hAnsi="Times New Roman" w:eastAsia="宋体"/>
          <w:sz w:val="24"/>
        </w:rPr>
        <w:t>and inspect hazardous environments, helping to limit personnel’s exposure to risk and preserving combat momentum. Robot-based sensing and reconnaissance in areas inaccessible to global positioning systems (GPS) and in subterranean areas (e.g., tunnels and trenches) enables target­ ing and force protection at lower cost.</w:t>
      </w:r>
    </w:p>
    <w:p>
      <w:pPr>
        <w:pStyle w:val="DocBody"/>
      </w:pPr>
      <w:r>
        <w:rPr>
          <w:rFonts w:ascii="Times New Roman" w:hAnsi="Times New Roman" w:eastAsia="宋体"/>
          <w:sz w:val="24"/>
        </w:rPr>
        <w:t>Surveillance drones and robots, which provide ° real-time situational awareness, persistent mon­ itoring (see fgure 8.5), and rapid data collection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08  Robotics war in Ukraine, where the high cost of conventional systems constrains their deployment, underscore the value of affordable and quick-to-acquire robotic platforms.7 While robots are increasingly being deployed in battlefield environments, the heavy presence of electronic jamming that impedes communication between operators and their remotely controlled platforms poses a challenge. Countering such jam­ ming can be accomplished through creating plat­ forms that are more autonomous (e.g., ones using AI-based capabilities that enable autonomous target recognition or navigation) or by deploying jam-­ resistant communications (e.g., fiber-optic cables attached to a drone or other platform that unspool as the platform flies through the air and maintain a physical connection to the operator).</w:t>
      </w:r>
    </w:p>
    <w:p>
      <w:pPr>
        <w:pStyle w:val="DocBody"/>
      </w:pPr>
      <w:r>
        <w:rPr>
          <w:rFonts w:ascii="Times New Roman" w:hAnsi="Times New Roman" w:eastAsia="宋体"/>
          <w:sz w:val="24"/>
        </w:rPr>
        <w:t>Questions also remain around the reliability, account­ ability, cost, and cybersecurity of highly autonomous systems, and their effectiveness in real-world oper­ ations is still being evaluated. Moreover, autonomy in lethal operations introduces unresolved legal and ethical questions, while reliance on interconnected swarms exposes military networks to new vulnerabil­ ities from cyberattacks and electronic warfare.</w:t>
      </w:r>
    </w:p>
    <w:p>
      <w:pPr>
        <w:pStyle w:val="DocBody"/>
      </w:pPr>
      <w:r>
        <w:rPr>
          <w:rFonts w:ascii="Times New Roman" w:hAnsi="Times New Roman" w:eastAsia="宋体"/>
          <w:sz w:val="24"/>
        </w:rPr>
        <w:t>in contested or dangerous environments while reducing risks to human personnel during recon­ naissance, patrol, and targeting operations. Such drones and robots can be deployed on land, at sea, underwater, and in the air.</w:t>
      </w:r>
    </w:p>
    <w:p>
      <w:pPr>
        <w:pStyle w:val="DocBody"/>
      </w:pPr>
      <w:r>
        <w:rPr>
          <w:rFonts w:ascii="Times New Roman" w:hAnsi="Times New Roman" w:eastAsia="宋体"/>
          <w:sz w:val="24"/>
        </w:rPr>
        <w:t>°   Armed drones and robots operated remotely, which enable precision attacks and persistent presence. These unmanned systems — which include UGVs carrying guns or grenade launchers, semiautonomous loitering munitions, seaborne drone boats, and kamikaze quadcopters — extend operational reach, provide rapid and flexible response, and can deliver targeted effects in hos­ tile, contested, or denied environments.</w:t>
      </w:r>
    </w:p>
    <w:p>
      <w:pPr>
        <w:pStyle w:val="DocBody"/>
      </w:pPr>
      <w:r>
        <w:rPr>
          <w:rFonts w:ascii="Times New Roman" w:hAnsi="Times New Roman" w:eastAsia="宋体"/>
          <w:sz w:val="24"/>
        </w:rPr>
        <w:t>An emerging defense concept integrates many of these robotic platforms with a networked infrastruc­ ture that complements the use of legacy crewed systems that are highly capable but also expen­ sive.6 This approach allows weapons platforms to deploy at scale with reduced human involvement, adapt to evolving combat conditions, and execute tasks such as rapid reconnaissance, precision strikes, and collaborative decision making. These capabili­ ties enhance overall operational adaptability and efficiency and reduce casualties. Lessons from the Source: Milrem Robotics, Wikimedia Commons, CC BY-SA 4.0 Source: US Army photo by Pfc. Peter Bannister, Wikimedia Commons FIGURE 8.4   THeMIS UGV fifth generation FIGURE 8.5   US Army unmanned aircraft system</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While these and other challenges need to be taken into consideration when thinking about the use of robots by the military, efforts to accelerate the development and strategic integration of robotics in warfare are already helping to redefne combat strategies, increase military effectiveness, and alter geopolitical power dynamics.</w:t>
      </w:r>
    </w:p>
    <w:p>
      <w:pPr>
        <w:pStyle w:val="DocBody"/>
      </w:pPr>
      <w:r>
        <w:rPr>
          <w:rFonts w:ascii="Times New Roman" w:hAnsi="Times New Roman" w:eastAsia="宋体"/>
          <w:sz w:val="24"/>
        </w:rPr>
        <w:t>Over the Horizon Future Impacts of Robotic Technologies MANUFACTURING The US manufacturing sector, a vital part of the econ­ omy contributing over a tenth of US GDP and employ­ ing thirteen million people,8 is facing signifcant challenges that robotics can help solve. One major issue is a persistent shortage of skilled labor, driven by people retiring and a declining rate of population growth. This scarcity threatens to leave millions of jobs unflled and could impact the nation’s prosperity and security. Widespread adoption of robots in the man­ ufacturing sector is also an important pillar of support for the present push of the US government to empha­ size domestic manufacturing by increasing its cost competitiveness compared to foreign manufacturing.</w:t>
      </w:r>
    </w:p>
    <w:p>
      <w:pPr>
        <w:pStyle w:val="DocBody"/>
      </w:pPr>
      <w:r>
        <w:rPr>
          <w:rFonts w:ascii="Times New Roman" w:hAnsi="Times New Roman" w:eastAsia="宋体"/>
          <w:sz w:val="24"/>
        </w:rPr>
        <w:t>The manufacturing sector’s reliance on global supply chains has also made it vulnerable to disruptions, as highlighted during the COVID-19 pandemic.</w:t>
      </w:r>
    </w:p>
    <w:p>
      <w:pPr>
        <w:pStyle w:val="DocBody"/>
      </w:pPr>
      <w:r>
        <w:rPr>
          <w:rFonts w:ascii="Times New Roman" w:hAnsi="Times New Roman" w:eastAsia="宋体"/>
          <w:sz w:val="24"/>
        </w:rPr>
        <w:t>Robotics offers solutions to this challenge through innovations like advanced robotic graspers and collaborative robots, or cobots, which can make manufacturing lines more adaptable and help alle­ viate labor shortages. These technologies also show promise for manufacturing in extreme environments, like in space or underwater, further enhancing the sector’s capabilities and resilience.</w:t>
      </w:r>
    </w:p>
    <w:p>
      <w:pPr>
        <w:pStyle w:val="DocBody"/>
      </w:pPr>
      <w:r>
        <w:rPr>
          <w:rFonts w:ascii="Times New Roman" w:hAnsi="Times New Roman" w:eastAsia="宋体"/>
          <w:sz w:val="24"/>
        </w:rPr>
        <w:t>THE “NOW” ECONOMY The “now” economy, which focuses on the near-real­ time delivery of goods and services, is leveraging robotics to overcome challenges in logistics and remote service provision. Robots, including delivery drones and autonomous vehicles, are being tested for last-mile deliveries to get products to customers quickly and effciently. In healthcare, robot-assisted surgeries are becoming more common for remote procedures, while in homes, robots are automat­ ing basic services like foor cleaning. In agriculture, autonomous robots are being used as on-demand labor for seasonal tasks such as fruit picking.</w:t>
      </w:r>
    </w:p>
    <w:p>
      <w:pPr>
        <w:pStyle w:val="DocBody"/>
      </w:pPr>
      <w:r>
        <w:rPr>
          <w:rFonts w:ascii="Times New Roman" w:hAnsi="Times New Roman" w:eastAsia="宋体"/>
          <w:sz w:val="24"/>
        </w:rPr>
        <w:t>However, the widespread adoption of these technol­ ogies faces challenges. These include ensuring the safety of delivery drones and privacy issues associ­ ated with them, developing robots with adaptable manipulation skills suffcient to handle various types of goods, and creating the necessary networking infrastructure to support reliable remote applica­ tions in felds like healthcare.</w:t>
      </w:r>
    </w:p>
    <w:p>
      <w:pPr>
        <w:pStyle w:val="DocBody"/>
      </w:pPr>
      <w:r>
        <w:rPr>
          <w:rFonts w:ascii="Times New Roman" w:hAnsi="Times New Roman" w:eastAsia="宋体"/>
          <w:sz w:val="24"/>
        </w:rPr>
        <w:t>SUPPORTING AN AGING POPULATION Robotic technologies are emerging as a crucial solu­ tion to the growing challenges of eldercare, which faces a signifcant shortage of qualifed human care­ givers. Demand is being driven by a population that is living longer, with a ffth of Americans expected to be over sixty-fve by 2030.9 To address this, robots are being developed to serve as assistive compan­ ions that help with daily tasks, exoskeletons that aid mobility, and smaller devices that monitor health and alert professionals to falls or other emergencies.</w:t>
      </w:r>
    </w:p>
    <w:p>
      <w:pPr>
        <w:pStyle w:val="DocBody"/>
      </w:pPr>
      <w:r>
        <w:rPr>
          <w:rFonts w:ascii="Times New Roman" w:hAnsi="Times New Roman" w:eastAsia="宋体"/>
          <w:sz w:val="24"/>
        </w:rPr>
        <w:t>These technologies aim to support human care­ givers by handling routine tasks, making eldercare more manageable and accessible.</w:t>
      </w:r>
    </w:p>
    <w:p>
      <w:pPr>
        <w:pStyle w:val="DocBody"/>
      </w:pPr>
      <w:r>
        <w:rPr>
          <w:rFonts w:ascii="Times New Roman" w:hAnsi="Times New Roman" w:eastAsia="宋体"/>
          <w:sz w:val="24"/>
        </w:rPr>
        <w:t>An aging population also requires more invasive medical care, including surgery. It’s estimated that 30 percent of necessary surgeries worldwide go unperformed,10 and robots can help by automating parts of routine procedures to make them safer and more effcient. Developments in force sensors and haptics (i.e., technology that interacts with human users through touch or other physical sensation) are also enabling telerobotics, which allows doctors to</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08  ROBOTICS</w:t>
      </w:r>
    </w:p>
    <w:p>
      <w:pPr>
        <w:pStyle w:val="DocBody"/>
      </w:pPr>
      <w:r>
        <w:rPr>
          <w:rFonts w:ascii="Times New Roman" w:hAnsi="Times New Roman" w:eastAsia="宋体"/>
          <w:sz w:val="24"/>
        </w:rPr>
        <w:t>perform surgery on patients from a remote loca­ tion. This is particularly benefcial for rural and low- income areas where access to specialists is limited.11 A major challenge for telesurgery is the complex­ ity of surgical tasks, which varies greatly among patients. The safe implementation of these technol­ ogies relies on extensive training and testing, often through simulations, to ensure robots can handle the unpredictable nature of interaction with anatomy.</w:t>
      </w:r>
    </w:p>
    <w:p>
      <w:pPr>
        <w:pStyle w:val="DocBody"/>
      </w:pPr>
      <w:r>
        <w:rPr>
          <w:rFonts w:ascii="Times New Roman" w:hAnsi="Times New Roman" w:eastAsia="宋体"/>
          <w:sz w:val="24"/>
        </w:rPr>
        <w:t>TACKLING THE HOUSING SHORTAGE In the face of a housing crisis in the United States marked by high prices and low supply, the construc­ tion industry is struggling with a signifcant labor short­ age.12 Robotic technologies offer a potential solution by increasing productivity and enhancing worker safety. Robots are already commercially available for tasks like bricklaying, framing, and heavy lifting.13 Beyond housing, robotics can also improve infrastruc­ ture projects by automating road paving, inspection, and repair with greater precision. However, integrat­ ing these robots into construction sites presents chal­ lenges, including the need to ensure they are able to safely navigate unpredictable environments and the necessity of training human workers to collaborate with and maintain these systems.</w:t>
      </w:r>
    </w:p>
    <w:p>
      <w:pPr>
        <w:pStyle w:val="DocBody"/>
      </w:pPr>
      <w:r>
        <w:rPr>
          <w:rFonts w:ascii="Times New Roman" w:hAnsi="Times New Roman" w:eastAsia="宋体"/>
          <w:sz w:val="24"/>
        </w:rPr>
        <w:t>FOOD PRODUCTION To keep up with a global population expected to reach ten billion by 2030,14 food production needs to increase by 50 percent by 2050, a goal compli­ cated by climate change. Robotics offers a solution to streamline food production and processing, with current applications including milking, seeding, and fruit picking. While challenges remain, particularly in tasks requiring high dexterity, like meat carving, the integration of robotics with AI and computer vision is critical. This allows robots to learn complex tasks through reinforcement learning and to capture valu­ able data on crop health and ripeness. This wealth of information supports precision agriculture—a strategy that uses data to optimize farming prac­ tices, reduce fertilizer and water use, and ultimately increase yields and improve soil health, all while helping the industry meet growing global demand.</w:t>
      </w:r>
    </w:p>
    <w:p>
      <w:pPr>
        <w:pStyle w:val="DocBody"/>
      </w:pPr>
      <w:r>
        <w:rPr>
          <w:rFonts w:ascii="Times New Roman" w:hAnsi="Times New Roman" w:eastAsia="宋体"/>
          <w:sz w:val="24"/>
        </w:rPr>
        <w:t>ADVANCING SUSTAINABILITY Robotics can play a signifcant role in advancing sus­ tainable practices across multiple sectors. In renew­ able energy, robots are essential for the construction and maintenance of solar and wind farms. For exam­ ple, robots can inspect and repair wind turbines, reducing costs and downtime. They can also help with sustainable resource gathering, such as harvest­ ing lumber with minimal environmental impact and collecting materials from the ocean foor without damaging marine ecosystems. In waste manage­ ment, AI-powered robots can precisely sort recycla­ bles, making the process more effcient and safer for workers who handle hazardous materials.</w:t>
      </w:r>
    </w:p>
    <w:p>
      <w:pPr>
        <w:pStyle w:val="DocBody"/>
      </w:pPr>
      <w:r>
        <w:rPr>
          <w:rFonts w:ascii="Times New Roman" w:hAnsi="Times New Roman" w:eastAsia="宋体"/>
          <w:sz w:val="24"/>
        </w:rPr>
        <w:t>Beyond energy and resource management, robot­ ics is also transforming sustainable agriculture and infrastructure maintenance. In farming, technologies like John Deere’s See &amp; Spray use ML and cameras to apply herbicides with high precision, drastically reducing chemical use and waste. This technology also helps improve harvesting effciency and can adapt to the challenges of a changing climate. For infrastructure, robots like Boston Dynamics’ Spot can inspect industrial sites and detect gas leaks, preventing failures and improving safety. While the potential for robotics to advance sustainability is clear, continued investment in technology develop­ ment is crucial to ensure these systems are reliable and can operate safely alongside humans in diverse and unpredictable environments.</w:t>
      </w:r>
    </w:p>
    <w:p>
      <w:pPr>
        <w:pStyle w:val="DocBody"/>
      </w:pPr>
      <w:r>
        <w:rPr>
          <w:rFonts w:ascii="Times New Roman" w:hAnsi="Times New Roman" w:eastAsia="宋体"/>
          <w:sz w:val="24"/>
        </w:rPr>
        <w:t>Policy Issues Adoption and Funding To fully leverage robotics for economic growth and to address labor and supply chain challenges, the United States needs a concerted effort from both the government and the private sector. The US lags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behind other leading nations in manufacturing- robot density,15 with a slower adoption rate, especially among small and midsize businesses (fgure 8.6). A key step is to establish clear regulatory guidelines and standards to ensure the safe and effective use of robots in sectors like construction.</w:t>
      </w:r>
    </w:p>
    <w:p>
      <w:pPr>
        <w:pStyle w:val="DocBody"/>
      </w:pPr>
      <w:r>
        <w:rPr>
          <w:rFonts w:ascii="Times New Roman" w:hAnsi="Times New Roman" w:eastAsia="宋体"/>
          <w:sz w:val="24"/>
        </w:rPr>
        <w:t>Additionally, workforce development can help accelerate the adoption of robots if investments in education and training (e.g., efforts to help work­ ers adapt to working with robots or to transition to new roles) are able to successfully address individ­ ual and societal anxieties and concerns about job displacement.</w:t>
      </w:r>
    </w:p>
    <w:p>
      <w:pPr>
        <w:pStyle w:val="DocBody"/>
      </w:pPr>
      <w:r>
        <w:rPr>
          <w:rFonts w:ascii="Times New Roman" w:hAnsi="Times New Roman" w:eastAsia="宋体"/>
          <w:sz w:val="24"/>
        </w:rPr>
        <w:t>It is also noteworthy that wider adoption of indus­ trial robots can have a signifcant positive impact on worker safety by moving employees away from dan­ gerous tasks like welding and heavy-duty material handling. Studies indicate a substantial reduction in workplace accidents and fatalities in areas with high robot adoption.16 Ultimately, funding of robotics research and devel­ opment (R&amp;D) remains an issue. Despite efforts such as the National Robotics Initiative (2011–22), more R&amp;D support will be needed if the United States is to make the most of the exciting and transformative opportunities that robotics offers.</w:t>
      </w:r>
    </w:p>
    <w:p>
      <w:pPr>
        <w:pStyle w:val="DocBody"/>
      </w:pPr>
      <w:r>
        <w:rPr>
          <w:rFonts w:ascii="Times New Roman" w:hAnsi="Times New Roman" w:eastAsia="宋体"/>
          <w:sz w:val="24"/>
        </w:rPr>
        <w:t>Privacy and Consent The exponential growth of data collection by robots in homes and hospitals for both training and oper­ ational purposes raises signifcant concerns about how this personal and sensitive information is han­ dled and secured. Just as health information is heav­ ily regulated to protect patient privacy, policies must be developed to safeguard the vast amounts of data that will be used in the future to train and operate robotic systems.</w:t>
      </w:r>
    </w:p>
    <w:p>
      <w:pPr>
        <w:pStyle w:val="DocBody"/>
      </w:pPr>
      <w:r>
        <w:rPr>
          <w:rFonts w:ascii="Times New Roman" w:hAnsi="Times New Roman" w:eastAsia="宋体"/>
          <w:sz w:val="24"/>
        </w:rPr>
        <w:t>For example, standards for data privacy will need to be put in place if humanoid robots are to oper­ ate unsupervised around vulnerable individuals in FIGURE 8.6 The United States lags behind many other countries in manufacturing­robot adoption 1,100 Robots installed per 10,000 employees Rep. of Korea Singapore Germany Japan China Sweden Hong Kong Switzerland Taiwan United States Slovenia Denmark Netherlands Source: Adapted from “Global Robotics Race: Korea, Singapore and Germany in the Lead,” news release, Interna­ tional Federation of Robotics, January 10, 2024, https://ifr.org/ifr-press-releases/news/global-robotics-race -korea-singapore-and-germany-in-the-lead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08  ROBOTICS</w:t>
      </w:r>
    </w:p>
    <w:p>
      <w:pPr>
        <w:pStyle w:val="DocBody"/>
      </w:pPr>
      <w:r>
        <w:rPr>
          <w:rFonts w:ascii="Times New Roman" w:hAnsi="Times New Roman" w:eastAsia="宋体"/>
          <w:sz w:val="24"/>
        </w:rPr>
        <w:t>homes or care facilities, as there are currently no defned regulations or standardized certifcation processes for this. The use of data or AI models developed in countries like China may have reduced utility or ftness for purpose when applied within the US environment because of regulatory and contex­ tual mismatches (e.g., different demographics in the populations that supply the data that are collected)</w:t>
      </w:r>
    </w:p>
    <w:p>
      <w:pPr>
        <w:pStyle w:val="DocBody"/>
      </w:pPr>
      <w:r>
        <w:rPr>
          <w:rFonts w:ascii="Times New Roman" w:hAnsi="Times New Roman" w:eastAsia="宋体"/>
          <w:sz w:val="24"/>
        </w:rPr>
        <w:t>and differing privacy regulations and data collection standards.</w:t>
      </w:r>
    </w:p>
    <w:p>
      <w:pPr>
        <w:pStyle w:val="DocBody"/>
      </w:pPr>
      <w:r>
        <w:rPr>
          <w:rFonts w:ascii="Times New Roman" w:hAnsi="Times New Roman" w:eastAsia="宋体"/>
          <w:sz w:val="24"/>
        </w:rPr>
        <w:t>Inclusion and Integrity The potential for bias in datasets used to train robots could lead to serious, harmful outcomes. For instance, a surgical robot might be less effective operating on patients from one demographic group if its training data is predominantly from another demographic group. To prevent such dangerous scenarios, it is critical to promote and enforce stan­ dards that ensure robot-training datasets accurately refect relevant characteristics of different groups in the population at large.</w:t>
      </w:r>
    </w:p>
    <w:p>
      <w:pPr>
        <w:pStyle w:val="DocBody"/>
      </w:pPr>
      <w:r>
        <w:rPr>
          <w:rFonts w:ascii="Times New Roman" w:hAnsi="Times New Roman" w:eastAsia="宋体"/>
          <w:sz w:val="24"/>
        </w:rPr>
        <w:t>Safety The safety of robots, including physical and cyber­ security aspects, is a critical legal and ethical issue.</w:t>
      </w:r>
    </w:p>
    <w:p>
      <w:pPr>
        <w:pStyle w:val="DocBody"/>
      </w:pPr>
      <w:r>
        <w:rPr>
          <w:rFonts w:ascii="Times New Roman" w:hAnsi="Times New Roman" w:eastAsia="宋体"/>
          <w:sz w:val="24"/>
        </w:rPr>
        <w:t>A key challenge for public acceptance is whether safety standards should mirror human performance (or even above-average performance) or approach near perfection. The former is easier to achieve from a technical perspective, but public acceptance of such a standard is uncertain. Responsible adoption requires clear performance standards and robust cybersecurity, particularly in sensitive sectors like healthcare and national security.</w:t>
      </w:r>
    </w:p>
    <w:p>
      <w:pPr>
        <w:pStyle w:val="DocBody"/>
      </w:pPr>
      <w:r>
        <w:rPr>
          <w:rFonts w:ascii="Times New Roman" w:hAnsi="Times New Roman" w:eastAsia="宋体"/>
          <w:sz w:val="24"/>
        </w:rPr>
        <w:t>Internationally, ISO 10218, a major update to the global standard for industrial robot safety, was released in early 2025.17 This update provides clearer guidelines for robot manufacturers and integrators, especially concerning collaborative robots and cybersecurity, with forthcoming US versions of the standard expected to align with these changes.</w:t>
      </w:r>
    </w:p>
    <w:p>
      <w:pPr>
        <w:pStyle w:val="DocBody"/>
      </w:pPr>
      <w:r>
        <w:rPr>
          <w:rFonts w:ascii="Times New Roman" w:hAnsi="Times New Roman" w:eastAsia="宋体"/>
          <w:sz w:val="24"/>
        </w:rPr>
        <w:t>Supply Chain The robotics supply chain is central to robotics advancement, and the United States’ access to key inputs is vulnerable to disruption due to concen­ trated dependencies in foreign countries and weak domestic capacity. For example, China dominates mining and processing of rare earth elements used in the high-strength permanent magnets needed for robotic motors and actuators.</w:t>
      </w:r>
    </w:p>
    <w:p>
      <w:pPr>
        <w:pStyle w:val="DocBody"/>
      </w:pPr>
      <w:r>
        <w:rPr>
          <w:rFonts w:ascii="Times New Roman" w:hAnsi="Times New Roman" w:eastAsia="宋体"/>
          <w:sz w:val="24"/>
        </w:rPr>
        <w:t>Most of the key robot components described at the beginning of this chapter are produced at scale in China—and even when they are designed else­ where, manufacturing and assembly often happen in Chinese factories due to lower costs and established infrastructure. Many robotics companies (including those from the United States, Europe, and Japan)</w:t>
      </w:r>
    </w:p>
    <w:p>
      <w:pPr>
        <w:pStyle w:val="DocBody"/>
      </w:pPr>
      <w:r>
        <w:rPr>
          <w:rFonts w:ascii="Times New Roman" w:hAnsi="Times New Roman" w:eastAsia="宋体"/>
          <w:sz w:val="24"/>
        </w:rPr>
        <w:t>source parts or assemble products in China because their suppliers are already there. Once a supply chain is concentrated, moving it is both costly and disruptive.</w:t>
      </w:r>
    </w:p>
    <w:p>
      <w:pPr>
        <w:pStyle w:val="DocBody"/>
      </w:pPr>
      <w:r>
        <w:rPr>
          <w:rFonts w:ascii="Times New Roman" w:hAnsi="Times New Roman" w:eastAsia="宋体"/>
          <w:sz w:val="24"/>
        </w:rPr>
        <w:t>The robotics supply chain is central to robotics advancement, and the United States’ access to key inputs is vulnerable to disruption.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Policy Activities to Promote Robotics Policy in the United States regarding robotics in the past year has been heavily infuenced by a new focus on AI and its role in national competitiveness, par­ ticularly against the backdrop of a new presidential administration. For example, as noted in chapter 1, on artifcial intelligence, the Trump administration released America’s AI Action Plan in July 2025.18 The plan focuses on accelerating AI innovation, building domestic computing infrastructure, and leading in international diplomacy and security issues related to AI. However, the action plan includes little men­ tion of robotics, relegating the topic to a short sec­ tion on manufacturing.</w:t>
      </w:r>
    </w:p>
    <w:p>
      <w:pPr>
        <w:pStyle w:val="DocBody"/>
      </w:pPr>
      <w:r>
        <w:rPr>
          <w:rFonts w:ascii="Times New Roman" w:hAnsi="Times New Roman" w:eastAsia="宋体"/>
          <w:sz w:val="24"/>
        </w:rPr>
        <w:t>There is a signifcant push from both the government and the robotics industry to establish a comprehen­ sive national robotics strategy. Industry leaders and organizations like the Association for Advancing Automation (A3) have called for a dedicated federal offce, tax incentives, and expanded workforce train­ ing programs to ensure the United States remains a leader in robotics. This comes as a response to global competition, particularly from countries like China, which has its own national strategy to lead in high- tech manufacturing, called “Made in China 2025.”</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Ralph Lässig, Markus Lorenz, Emmanuel Sissimatos, Ina Wicker, and Tilman Buchner, “Robotics Outlook 2030: How Intelligence and Mobility Will Shape the Future,” Boston Consulting Group, June 28, 2021, https://www.bcg.com/publications/2021/how -intelligence-and-mobility-will-shape-the-future-of-the-robotics -industry.</w:t>
      </w:r>
    </w:p>
    <w:p>
      <w:pPr>
        <w:pStyle w:val="DocBody"/>
        <w:ind w:left="765"/>
      </w:pPr>
      <w:r>
        <w:rPr>
          <w:rFonts w:ascii="Times New Roman" w:hAnsi="Times New Roman" w:eastAsia="宋体"/>
          <w:sz w:val="24"/>
        </w:rPr>
        <w:t>Some examples of soft robots can be found at Alberto Paitoni Faustinoni, “Soft Robotics: Examples, Research and Applica­ tions,” Robotics 24 (February 2023), https://robotics24.net/blog /soft-robotics-examples-research-and-applications/.</w:t>
      </w:r>
    </w:p>
    <w:p>
      <w:pPr>
        <w:pStyle w:val="DocBody"/>
        <w:ind w:left="765"/>
      </w:pPr>
      <w:r>
        <w:rPr>
          <w:rFonts w:ascii="Times New Roman" w:hAnsi="Times New Roman" w:eastAsia="宋体"/>
          <w:sz w:val="24"/>
        </w:rPr>
        <w:t>Rodney Brooks (professor emeritus, Massachusetts Institute of Technology), in his plenary talk at the 2025 Stanford Human- Centered AI Institute Spring Conference on Robotics.</w:t>
      </w:r>
    </w:p>
    <w:p>
      <w:pPr>
        <w:pStyle w:val="DocBody"/>
        <w:ind w:left="765"/>
      </w:pPr>
      <w:r>
        <w:rPr>
          <w:rFonts w:ascii="Times New Roman" w:hAnsi="Times New Roman" w:eastAsia="宋体"/>
          <w:sz w:val="24"/>
        </w:rPr>
        <w:t>Morgan Stanley Research, “Humanoids: A $5 Trillion Global Market,” April 29, 2025, https://www.morganstanley.com/articles /humanoids-5-trillion-global-market.</w:t>
      </w:r>
    </w:p>
    <w:p>
      <w:pPr>
        <w:pStyle w:val="DocBody"/>
        <w:ind w:left="765"/>
      </w:pPr>
      <w:r>
        <w:rPr>
          <w:rFonts w:ascii="Times New Roman" w:hAnsi="Times New Roman" w:eastAsia="宋体"/>
          <w:sz w:val="24"/>
        </w:rPr>
        <w:t>“Ukraine Soldiers Use Ground Robots Like Adaptable Lego Sets,” Business Insider, July 5, 2025, https://www.businessinsider .com/ukraine-soldiers-use-ground-robots-like-adaptable-lego -sets-operator-2025-7.</w:t>
      </w:r>
    </w:p>
    <w:p>
      <w:pPr>
        <w:pStyle w:val="DocBody"/>
        <w:ind w:left="765"/>
      </w:pPr>
      <w:r>
        <w:rPr>
          <w:rFonts w:ascii="Times New Roman" w:hAnsi="Times New Roman" w:eastAsia="宋体"/>
          <w:sz w:val="24"/>
        </w:rPr>
        <w:t>For networks, see https://dodcio.defense.gov/Portals/0/Docu ments/DoD-C3-Strategy.pdf; for robotic platforms, see https:// www.scsp.ai/wp-content/uploads/2024/12/DPS-Joint-Warfghting -Concept-2034-44-.pdf.</w:t>
      </w:r>
    </w:p>
    <w:p>
      <w:pPr>
        <w:pStyle w:val="DocBody"/>
        <w:ind w:left="765"/>
      </w:pPr>
      <w:r>
        <w:rPr>
          <w:rFonts w:ascii="Times New Roman" w:hAnsi="Times New Roman" w:eastAsia="宋体"/>
          <w:sz w:val="24"/>
        </w:rPr>
        <w:t>Andrey Liscovich, cofounder of Ukrainian Defense Fund, per­ sonal communication with Luke Hyman, June 16, 2025.</w:t>
      </w:r>
    </w:p>
    <w:p>
      <w:pPr>
        <w:pStyle w:val="DocBody"/>
        <w:ind w:left="765"/>
      </w:pPr>
      <w:r>
        <w:rPr>
          <w:rFonts w:ascii="Times New Roman" w:hAnsi="Times New Roman" w:eastAsia="宋体"/>
          <w:sz w:val="24"/>
        </w:rPr>
        <w:t>“Manufacturing in the United States,” National Association of Manufacturers, accessed September 26, 2025, https://nam.org /mfgdata/.</w:t>
      </w:r>
    </w:p>
    <w:p>
      <w:pPr>
        <w:pStyle w:val="DocBody"/>
        <w:ind w:left="765"/>
      </w:pPr>
      <w:r>
        <w:rPr>
          <w:rFonts w:ascii="Times New Roman" w:hAnsi="Times New Roman" w:eastAsia="宋体"/>
          <w:sz w:val="24"/>
        </w:rPr>
        <w:t>America Counts Staff, “By 2030, All Baby Boomers Will Be Age 65 or Older,” US Census Bureau, December 10, 2019, https://www .census.gov/library/stories/2019/12/by-2030-all-baby-boomers -will-be-age-65-or-older.html.</w:t>
      </w:r>
    </w:p>
    <w:p>
      <w:pPr>
        <w:pStyle w:val="DocBody"/>
        <w:ind w:left="765"/>
      </w:pPr>
      <w:r>
        <w:rPr>
          <w:rFonts w:ascii="Times New Roman" w:hAnsi="Times New Roman" w:eastAsia="宋体"/>
          <w:sz w:val="24"/>
        </w:rPr>
        <w:t>One study estimates that about 143 million additional surgical procedures are needed in low- and middle-income countries each year to save lives and prevent disability, while 313 million such pro­ cedures are performed each year. See John G. Meara, Andrew J.</w:t>
      </w:r>
    </w:p>
    <w:p>
      <w:pPr>
        <w:pStyle w:val="DocBody"/>
      </w:pPr>
      <w:r>
        <w:rPr>
          <w:rFonts w:ascii="Times New Roman" w:hAnsi="Times New Roman" w:eastAsia="宋体"/>
          <w:sz w:val="24"/>
        </w:rPr>
        <w:t>M. Leather, Lars Hagander, et al., “Global Surgery 2030: Evidence and Solutions for Achieving Health, Welfare, and Economic Devel­ opment,” The Lancet 386, no. 9993 (2015): 569–624, https://doi .org/10.1016/S0140-6736(15)60160-X.</w:t>
      </w:r>
    </w:p>
    <w:p>
      <w:pPr>
        <w:pStyle w:val="DocBody"/>
        <w:ind w:left="765"/>
      </w:pPr>
      <w:r>
        <w:rPr>
          <w:rFonts w:ascii="Times New Roman" w:hAnsi="Times New Roman" w:eastAsia="宋体"/>
          <w:sz w:val="24"/>
        </w:rPr>
        <w:t>Aashna Mehta, Jyi Cheng Ng, Wireko Andrew Awuah, et al., “Embracing Robot Surgery in Low- and Middle-Income Countries:</w:t>
      </w:r>
    </w:p>
    <w:p>
      <w:pPr>
        <w:pStyle w:val="DocBody"/>
      </w:pPr>
      <w:r>
        <w:rPr>
          <w:rFonts w:ascii="Times New Roman" w:hAnsi="Times New Roman" w:eastAsia="宋体"/>
          <w:sz w:val="24"/>
        </w:rPr>
        <w:t>Potential Benefts, Challenges, and Scope in the Future,” Annals of Medicine and Surgery 84 (December 2022): 104803, https:// doi.org/10.1016/j.amsu.2022.104803.</w:t>
      </w:r>
    </w:p>
    <w:p>
      <w:pPr>
        <w:pStyle w:val="DocBody"/>
        <w:ind w:left="765"/>
      </w:pPr>
      <w:r>
        <w:rPr>
          <w:rFonts w:ascii="Times New Roman" w:hAnsi="Times New Roman" w:eastAsia="宋体"/>
          <w:sz w:val="24"/>
        </w:rPr>
        <w:t>Troup Howard, Mengqi Wang, and Dayin Zhang, “How Do Labor Shortages Affect Residential Construction and Housing Affordability?,” Haas School of Business, University of California– Berkeley, April 2023, https://www.haas.berkeley.edu/wp -content/uploads/Howard_Wang_Zhang_Housing-Supply-and -Construction-Labor-Dayin-Zhang.pdf.</w:t>
      </w:r>
    </w:p>
    <w:p>
      <w:pPr>
        <w:pStyle w:val="DocBody"/>
        <w:ind w:left="765"/>
      </w:pPr>
      <w:r>
        <w:rPr>
          <w:rFonts w:ascii="Times New Roman" w:hAnsi="Times New Roman" w:eastAsia="宋体"/>
          <w:sz w:val="24"/>
        </w:rPr>
        <w:t>“SAM,” Construction Robotics, accessed September 16, 2024, https://www.construction-robotics.com/sam-2/.</w:t>
      </w:r>
    </w:p>
    <w:p>
      <w:pPr>
        <w:pStyle w:val="DocBody"/>
        <w:ind w:left="765"/>
      </w:pPr>
      <w:r>
        <w:rPr>
          <w:rFonts w:ascii="Times New Roman" w:hAnsi="Times New Roman" w:eastAsia="宋体"/>
          <w:sz w:val="24"/>
        </w:rPr>
        <w:t>“Global Issues: Population,” United Nations, accessed Septem­ ber 16, 2024, https://www.un.org/en/global-issues/population#.</w:t>
      </w:r>
    </w:p>
    <w:p>
      <w:pPr>
        <w:pStyle w:val="DocBody"/>
        <w:ind w:left="765"/>
      </w:pPr>
      <w:r>
        <w:rPr>
          <w:rFonts w:ascii="Times New Roman" w:hAnsi="Times New Roman" w:eastAsia="宋体"/>
          <w:sz w:val="24"/>
        </w:rPr>
        <w:t>“US Ranks 10th in Robot Density,” Assembly, January 17, 2024, https://www.assemblymag.com/articles/98270-us-ranks-10th-in -robot-density.</w:t>
      </w:r>
    </w:p>
    <w:p>
      <w:pPr>
        <w:pStyle w:val="DocBody"/>
        <w:ind w:left="765"/>
      </w:pPr>
      <w:r>
        <w:rPr>
          <w:rFonts w:ascii="Times New Roman" w:hAnsi="Times New Roman" w:eastAsia="宋体"/>
          <w:sz w:val="24"/>
        </w:rPr>
        <w:t>Marco De Simone, Dario Guarascio, and Jelena Reljic, “The Impact of Robots on Workplace Injuries and Deaths: Empirical Evidence from Europe,” SSRN, February 13, 2025, https://doi .org/10.2139/ssrn.5136996.</w:t>
      </w:r>
    </w:p>
    <w:p>
      <w:pPr>
        <w:pStyle w:val="DocBody"/>
        <w:ind w:left="765"/>
      </w:pPr>
      <w:r>
        <w:rPr>
          <w:rFonts w:ascii="Times New Roman" w:hAnsi="Times New Roman" w:eastAsia="宋体"/>
          <w:sz w:val="24"/>
        </w:rPr>
        <w:t>ISO 10218-1:2025 (Safety requirements for industrial robots)</w:t>
      </w:r>
    </w:p>
    <w:p>
      <w:pPr>
        <w:pStyle w:val="DocBody"/>
      </w:pPr>
      <w:r>
        <w:rPr>
          <w:rFonts w:ascii="Times New Roman" w:hAnsi="Times New Roman" w:eastAsia="宋体"/>
          <w:sz w:val="24"/>
        </w:rPr>
        <w:t>and ISO 10218-2:2025 (Safety requirements for industrial robot applications and robot cells) are available at https://www.iso.org /standard/73933.html and https://www.iso.org/standard/73934 .html, respectively.</w:t>
      </w:r>
    </w:p>
    <w:p>
      <w:pPr>
        <w:pStyle w:val="DocBody"/>
        <w:ind w:left="765"/>
      </w:pPr>
      <w:r>
        <w:rPr>
          <w:rFonts w:ascii="Times New Roman" w:hAnsi="Times New Roman" w:eastAsia="宋体"/>
          <w:sz w:val="24"/>
        </w:rPr>
        <w:t>Winning the Race: America’s AI Action Plan, Executive Offce of the President, July 2025, https://www.whitehouse.gov/wp-content /uploads/2025/07/Americas-AI-Action-Plan.pdf.</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08  ROBOTICS</w:t>
      </w:r>
    </w:p>
    <w:p>
      <w:pPr>
        <w:pStyle w:val="DocBody"/>
      </w:pPr>
      <w:r>
        <w:rPr>
          <w:rFonts w:ascii="Times New Roman" w:hAnsi="Times New Roman" w:eastAsia="宋体"/>
          <w:sz w:val="24"/>
        </w:rPr>
        <w:t>STANFORD EXPERT CONTRIBUTORS Dr. Allison Okamura SETR Faculty Council, Richard W. Weiland Professor in the School of Engineering, and Professor of Mechanical Engineering and, by courtesy, of Computer Science Dr. Mark Cutkosky Fletcher Jones Professor in the School of Engineering and Professor of Mechanical Engineering Dr. Mac Schwager Associate Professor of Aeronautics and Astronautics and, by courtesy, of Computer Science Dr. Renee Zhao Assistant Professor of Mechanical Engineering and, by courtesy, of Materials Science and Engineering Dr. Monroe Kennedy Assistant Professor of Mechanical Engineering and, by courtesy, of Computer Science Dr. Cosima du Pasquier SETR Fellow and Postdoctoral Scholar in Mechanical Engineering Brian Vuong SETR Fellow and PhD Student in Mechanical Engineering Luke Hyman SETR Fellow and PhD Student in Mechanical Engineering</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SEMICONDUCTORS ° The growing demand for artifcial intelligence (AI)</w:t>
      </w:r>
    </w:p>
    <w:p>
      <w:pPr>
        <w:pStyle w:val="DocBody"/>
      </w:pPr>
      <w:r>
        <w:rPr>
          <w:rFonts w:ascii="Times New Roman" w:hAnsi="Times New Roman" w:eastAsia="宋体"/>
          <w:sz w:val="24"/>
        </w:rPr>
        <w:t>and machine learning is driving innovations in chip fabrication, along with advances in memory technologies and high-bandwidth interconnects such as photonic links, all of which are essential for enhancing computational power, managing energy effciency, and meeting the increasing data needs of modern applications.</w:t>
      </w:r>
    </w:p>
    <w:p>
      <w:pPr>
        <w:pStyle w:val="DocBody"/>
      </w:pPr>
      <w:r>
        <w:rPr>
          <w:rFonts w:ascii="Times New Roman" w:hAnsi="Times New Roman" w:eastAsia="宋体"/>
          <w:sz w:val="24"/>
        </w:rPr>
        <w:t>° Semiconductor manufacturing is the most pre­ cise manufacturing process that exists. It is used to advance work in energy and biotechnology in addition to information technology and AI.</w:t>
      </w:r>
    </w:p>
    <w:p>
      <w:pPr>
        <w:pStyle w:val="DocBody"/>
      </w:pPr>
      <w:r>
        <w:rPr>
          <w:rFonts w:ascii="Times New Roman" w:hAnsi="Times New Roman" w:eastAsia="宋体"/>
          <w:sz w:val="24"/>
        </w:rPr>
        <w:t>° Strategic technology containment efforts directed against China help constrain Chinese capabilities in the short term. However, they are likely to drive China into a technology posture that is consider­ ably more decoupled from the West and hence less vulnerable to Western pressure in the future.</w:t>
      </w:r>
    </w:p>
    <w:p>
      <w:pPr>
        <w:pStyle w:val="DocBody"/>
      </w:pPr>
      <w:r>
        <w:rPr>
          <w:rFonts w:ascii="Times New Roman" w:hAnsi="Times New Roman" w:eastAsia="宋体"/>
          <w:sz w:val="24"/>
        </w:rPr>
        <w:t>KEY TAKEAWAYS Overview Semiconductors, often in the form of microchips, are crucial components used in everyday physical devices, from smartphones and toasters to cars and lawn mowers. Chips control heating and cooling systems, elevators, and fre alarms in modern buildings. Traffc lights are controlled by chips. On farms, tractors and irrigation systems are controlled by chips. Modern militaries could not function without chips in their weapons, navigation devices, and cockpit life-support systems in fghter jets. The list goes on and on—in every aspect of modern life, chips are essential.</w:t>
      </w:r>
    </w:p>
    <w:p>
      <w:pPr>
        <w:pStyle w:val="DocBody"/>
      </w:pPr>
      <w:r>
        <w:rPr>
          <w:rFonts w:ascii="Times New Roman" w:hAnsi="Times New Roman" w:eastAsia="宋体"/>
          <w:sz w:val="24"/>
        </w:rPr>
        <w:t>Most chips are involved in the handling of informa­ tion. Different types of them are specialized for dif­ ferent tasks. Some are processor chips that ingest data, perform computations on the data, and output the results of those computations. Memory chips store information and are used with processors. Still other chips act as interfaces between digital com­ putations and the physical world. In all these cases,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some amount of energy is needed to represent each bit of information inside a chip. The magic of chips is that it takes several orders of magnitude less energy to represent information inside one than it takes to do so outside it (e.g., in wires leading to and from the chip). This means that, in a multi-chip system, much more energy and chip space are required for data moving between chips than for data that remains on a chip; this is one of the driving forces to integrate more functions on a single chip.</w:t>
      </w:r>
    </w:p>
    <w:p>
      <w:pPr>
        <w:pStyle w:val="DocBody"/>
      </w:pPr>
      <w:r>
        <w:rPr>
          <w:rFonts w:ascii="Times New Roman" w:hAnsi="Times New Roman" w:eastAsia="宋体"/>
          <w:sz w:val="24"/>
        </w:rPr>
        <w:t>As chip fabrication technologies improve, it takes less energy and chip space to represent a given bit of information; hence, processing those bits becomes more energy effcient. This phenomenon is what has enabled the semiconductor industry to pack more processing power on chips over time—it enables designers to create chips that do more complex processing (see fgure 9.1). However, the cost of designing them also increases with their complexity.</w:t>
      </w:r>
    </w:p>
    <w:p>
      <w:pPr>
        <w:pStyle w:val="DocBody"/>
      </w:pPr>
      <w:r>
        <w:rPr>
          <w:rFonts w:ascii="Times New Roman" w:hAnsi="Times New Roman" w:eastAsia="宋体"/>
          <w:sz w:val="24"/>
        </w:rPr>
        <w:t>Recently, however, the energy costs associated with the hardware that holds information on a chip have been falling more slowly, and the cost of manufactur­ ing per unit area has increased. This means that the cost and energy advantages of scaling have nearly stopped. As a result, researchers have been investi­ gating other ways to improve computer technology and to deal with the problem of high design costs.</w:t>
      </w:r>
    </w:p>
    <w:p>
      <w:pPr>
        <w:pStyle w:val="DocBody"/>
      </w:pPr>
      <w:r>
        <w:rPr>
          <w:rFonts w:ascii="Times New Roman" w:hAnsi="Times New Roman" w:eastAsia="宋体"/>
          <w:sz w:val="24"/>
        </w:rPr>
        <w:t>Since the best technologies for performing differ­ ent chip functions are themselves different, systems still need to use different chips for those functions.</w:t>
      </w:r>
    </w:p>
    <w:p>
      <w:pPr>
        <w:pStyle w:val="DocBody"/>
      </w:pPr>
      <w:r>
        <w:rPr>
          <w:rFonts w:ascii="Times New Roman" w:hAnsi="Times New Roman" w:eastAsia="宋体"/>
          <w:sz w:val="24"/>
        </w:rPr>
        <w:t>Finding new ways to manage the ineffciency of infor­ mation movement in and among chips, along with the issue of high design costs, is a central focus of FIGURE 9.1  Improving fabrication has enabled the creation of more complex chips Source: Wikimedia Commons, CC BY-SA 4.0</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09  SEMICONDUCTORS</w:t>
      </w:r>
    </w:p>
    <w:p>
      <w:pPr>
        <w:pStyle w:val="DocBody"/>
      </w:pPr>
      <w:r>
        <w:rPr>
          <w:rFonts w:ascii="Times New Roman" w:hAnsi="Times New Roman" w:eastAsia="宋体"/>
          <w:sz w:val="24"/>
        </w:rPr>
        <w:t>FIGURE 9.2  Chip fabrication requires large factories that can produce chips at scale Source: IM Imagery/Shutterstock.com research on semiconductors. Further improvement will take the form of innovation in design, materials, and integration methods.</w:t>
      </w:r>
    </w:p>
    <w:p>
      <w:pPr>
        <w:pStyle w:val="DocBody"/>
      </w:pPr>
      <w:r>
        <w:rPr>
          <w:rFonts w:ascii="Times New Roman" w:hAnsi="Times New Roman" w:eastAsia="宋体"/>
          <w:sz w:val="24"/>
        </w:rPr>
        <w:t>Two aspects of chips are important for the purposes of this report. They must be designed and then fab­ ricated (i.e., manufactured), and each function calls for different skill sets. Chip design is primarily an intellectual task that requires tools and teams able to create and test systems containing billions of components. Fabrication is primarily a physical effort that requires large factories, or fab facilities, that can produce chips by the millions and billions—and can cost billions of dollars and take several years to build from the ground up (see fgure 9.2).</w:t>
      </w:r>
    </w:p>
    <w:p>
      <w:pPr>
        <w:pStyle w:val="DocBody"/>
      </w:pPr>
      <w:r>
        <w:rPr>
          <w:rFonts w:ascii="Times New Roman" w:hAnsi="Times New Roman" w:eastAsia="宋体"/>
          <w:sz w:val="24"/>
        </w:rPr>
        <w:t>Fabrication integrates many complex processes to produce chips. Each one requires substantial exper­ tise to master and operate, and the integration of all of them requires still further expertise. For these reasons, modern fabrication plants are operated by workforces with a substantial number of people trained in engineering.</w:t>
      </w:r>
    </w:p>
    <w:p>
      <w:pPr>
        <w:pStyle w:val="DocBody"/>
      </w:pPr>
      <w:r>
        <w:rPr>
          <w:rFonts w:ascii="Times New Roman" w:hAnsi="Times New Roman" w:eastAsia="宋体"/>
          <w:sz w:val="24"/>
        </w:rPr>
        <w:t>Fabrication also entails a signifcant degree of pro­ cess engineering to continue to improve process technology and to achieve stringent manufacturing standards. For example, the “clean rooms” in which chips are made require air that is a thousand times more particle-free than the air in a hospital operat­ ing room.1 Because chip design and chip fabrication are so dif­ ferent in character, only a few companies, such as Intel, do both. However, Intel is in trouble, and some technology analysts and former Intel directors think it should split its design and fabrication groups.2 Many businesses specialize in design, including Qualcomm, Broadcom, Apple, and Nvidia. Such companies are called “fabless” in recognition of the fact that they do the design work and outsource fab­ rication to others—a strategy based on the theory that the former activity has higher proft margins than the latter.</w:t>
      </w:r>
    </w:p>
    <w:p>
      <w:pPr>
        <w:pStyle w:val="DocBody"/>
      </w:pPr>
      <w:r>
        <w:rPr>
          <w:rFonts w:ascii="Times New Roman" w:hAnsi="Times New Roman" w:eastAsia="宋体"/>
          <w:sz w:val="24"/>
        </w:rPr>
        <w:t>Today, the “others” being outsourced to usu­ ally refer to one company: Taiwan Semiconductor</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Manufacturing Company (TSMC), by far the world’s largest contract chip-manufacturing company. In 2024, TSMC controlled over 60 percent of the world’s contract semiconductor manufacturing and 90 percent of the world’s advanced chip manufactur­ ing.3 Samsung, in South Korea, is a distant second, with around 13 percent of the world’s chip manufac­ turing.4 United Microelectronics Corporation, also based in Taiwan, ranks third at about 6 percent.5 By contrast, US chip-manufacturing capacity has lost signifcant ground. Fabrication plants in America accounted for 37 percent of global production in 1990, but their share dropped to just 12 percent by 2021.6 Industry concentration, low US production capacity, and geopolitical concerns about China’s intentions toward Taiwan mean the global supply chain for chips will remain fragile for the foreseeable future, despite the passage of the Creating Helpful Incentives to Produce Semiconductors (CHIPS) and Science Act of 2022 (discussed in more detail later in this chapter).</w:t>
      </w:r>
    </w:p>
    <w:p>
      <w:pPr>
        <w:pStyle w:val="DocBody"/>
      </w:pPr>
      <w:r>
        <w:rPr>
          <w:rFonts w:ascii="Times New Roman" w:hAnsi="Times New Roman" w:eastAsia="宋体"/>
          <w:sz w:val="24"/>
        </w:rPr>
        <w:t>The strength of semiconductor manufacturing affects more than just information technology. It is also the most precise manufacturing method on the planet and is now driving innovations in areas ranging from neuroscience and synthetic biology to energy and lighting. While many of these applications don’t need the most advanced processing technology, they do require access to semiconductor fabrication and fabrication expertise.</w:t>
      </w:r>
    </w:p>
    <w:p>
      <w:pPr>
        <w:pStyle w:val="DocBody"/>
      </w:pPr>
      <w:r>
        <w:rPr>
          <w:rFonts w:ascii="Times New Roman" w:hAnsi="Times New Roman" w:eastAsia="宋体"/>
          <w:sz w:val="24"/>
        </w:rPr>
        <w:t>Key Developments Moore’s Law, Past and Future For over half a century, information technology has been driven by improvements in the chip fab­ rication process. In 1965, Intel cofounder Gordon Moore observed that the cost of fabricating a tran­ sistor was dropping exponentially with time—an observation that has come to be known as Moore’s law. It’s not a law of physics but rather a statement about the optimal rate at which economic value can be extracted from improvements in the chip fabri­ cation process.</w:t>
      </w:r>
    </w:p>
    <w:p>
      <w:pPr>
        <w:pStyle w:val="DocBody"/>
      </w:pPr>
      <w:r>
        <w:rPr>
          <w:rFonts w:ascii="Times New Roman" w:hAnsi="Times New Roman" w:eastAsia="宋体"/>
          <w:sz w:val="24"/>
        </w:rPr>
        <w:t>Although Moore’s law is often stated as the number of transistors on a chip doubling every few years, historically what drove this scaling was that the cost of making a chip was mostly independent of the number of components on it. This has meant that every few years, a chip whose size and cost remains approximately the same will have twice the number of transistors on it.</w:t>
      </w:r>
    </w:p>
    <w:p>
      <w:pPr>
        <w:pStyle w:val="DocBody"/>
      </w:pPr>
      <w:r>
        <w:rPr>
          <w:rFonts w:ascii="Times New Roman" w:hAnsi="Times New Roman" w:eastAsia="宋体"/>
          <w:sz w:val="24"/>
        </w:rPr>
        <w:t>Moore’s law scaling (i.e., the exponential increasing of the number of transistors on a chip) meant that each year one could build last year’s devices for less money than before or could build a more power­ ful system for the same cost. This scaling has been so consistent that it is widely believed that the cost of computing will always decrease with time. It’s an expectation so pervasive that in almost all felds of work, people are developing more complex algo­ rithms to achieve better results while relying on Moore’s law to rescue them from the consequences of that additional complexity.</w:t>
      </w:r>
    </w:p>
    <w:p>
      <w:pPr>
        <w:pStyle w:val="DocBody"/>
      </w:pPr>
      <w:r>
        <w:rPr>
          <w:rFonts w:ascii="Times New Roman" w:hAnsi="Times New Roman" w:eastAsia="宋体"/>
          <w:sz w:val="24"/>
        </w:rPr>
        <w:t>But the future will not look like the past. As the com­ plexity of chips increases, the traditional benefts associated with Moore’s law scaling are diminish­ ing, leading to rising costs in chip manufacturing. As fgure 9.3 shows, the actual cost of a chip per transis­ tor (represented by the solid orange line) was track­ ing the cost predicted by Moore’s law (the solid red line) relatively well from 2004 to 2012.7 However, the actual cost per transistor started to level off around 2012, and it has not kept up with Moore’s law predic­ tions since then.8 Historically, advances in technology have come from shrinking the size of the transistors and the wires that connected them, and the name of the technology was derived from the smallest feature in the design (e.g., a 130-nanometer [nm] chip was one in which the smallest feature was 130 nm across).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09  SEMICONDUCTORS</w:t>
      </w:r>
    </w:p>
    <w:p>
      <w:pPr>
        <w:pStyle w:val="DocBody"/>
      </w:pPr>
      <w:r>
        <w:rPr>
          <w:rFonts w:ascii="Times New Roman" w:hAnsi="Times New Roman" w:eastAsia="宋体"/>
          <w:sz w:val="24"/>
        </w:rPr>
        <w:t>FIGURE 9.3  Cost per transistor over time 1.00 0.75 0.50 0.25 0.00 Actual cost per Cost predicted transistor (normalized)</w:t>
      </w:r>
    </w:p>
    <w:p>
      <w:pPr>
        <w:pStyle w:val="DocBody"/>
      </w:pPr>
      <w:r>
        <w:rPr>
          <w:rFonts w:ascii="Times New Roman" w:hAnsi="Times New Roman" w:eastAsia="宋体"/>
          <w:sz w:val="24"/>
        </w:rPr>
        <w:t>by Moore’s law Source: Adapted from Steve Mollenkopf, “Our Future Is Mobile: Accelerating Innovation After Moore’s Law,” presentation at the Electronics Resurgence Initiative Summit, Detroit, MI, July 15–17, 2019, https://eri-summit.darpa.mil/docs/Mollenkopf_Steve_Qualcomm_Final.pdf However, over a decade ago, it became increas­ ingly diffcult to boost circuit density (as measured by the number of circuits per square centimeter).</w:t>
      </w:r>
    </w:p>
    <w:p>
      <w:pPr>
        <w:pStyle w:val="DocBody"/>
      </w:pPr>
      <w:r>
        <w:rPr>
          <w:rFonts w:ascii="Times New Roman" w:hAnsi="Times New Roman" w:eastAsia="宋体"/>
          <w:sz w:val="24"/>
        </w:rPr>
        <w:t>Other approaches had to be found to do so, includ­ ing having transistors use the vertical dimension to decrease their area.</w:t>
      </w:r>
    </w:p>
    <w:p>
      <w:pPr>
        <w:pStyle w:val="DocBody"/>
      </w:pPr>
      <w:r>
        <w:rPr>
          <w:rFonts w:ascii="Times New Roman" w:hAnsi="Times New Roman" w:eastAsia="宋体"/>
          <w:sz w:val="24"/>
        </w:rPr>
        <w:t>Using the vertical dimension, along with other, more complex processing techniques (such as the use of new materials), enabled circuit density to continue to increase. But technology marketers continued to use a shrinking distance to characterize newer gen­ erations of more densely packed circuits, despite that distance no longer representing anything phys­ ical. In other words, the name became a market­ ing device (or, to put it more kindly, a generational technology label), even though it still sounded like it referred to a distance.</w:t>
      </w:r>
    </w:p>
    <w:p>
      <w:pPr>
        <w:pStyle w:val="DocBody"/>
      </w:pPr>
      <w:r>
        <w:rPr>
          <w:rFonts w:ascii="Times New Roman" w:hAnsi="Times New Roman" w:eastAsia="宋体"/>
          <w:sz w:val="24"/>
        </w:rPr>
        <w:t>When the label had actual physical meaning, such as indicating the size of a feature, that number (e.g., 130 nm) could be used to make inferences about chip performance, such as the actual cost per compute or the energy needed for a computation. But once it became a marketing term, the connection between the label and the chip’s performance was broken.</w:t>
      </w:r>
    </w:p>
    <w:p>
      <w:pPr>
        <w:pStyle w:val="DocBody"/>
      </w:pPr>
      <w:r>
        <w:rPr>
          <w:rFonts w:ascii="Times New Roman" w:hAnsi="Times New Roman" w:eastAsia="宋体"/>
          <w:sz w:val="24"/>
        </w:rPr>
        <w:t>Against this backdrop, the past year has witnessed signifcant advancements and challenges in the semiconductor industry. For example, increasing demand for computing power driven by artifcial intelligence (AI) and machine learning (ML) applica­ tions (as discussed in chapter 1, on artifcial intelli­ gence) has led to a surge in the development of, and demand for, advanced graphical processing units (GPUs). This has created a strain on both production and energy resources.</w:t>
      </w:r>
    </w:p>
    <w:p>
      <w:pPr>
        <w:pStyle w:val="DocBody"/>
      </w:pPr>
      <w:r>
        <w:rPr>
          <w:rFonts w:ascii="Times New Roman" w:hAnsi="Times New Roman" w:eastAsia="宋体"/>
          <w:sz w:val="24"/>
        </w:rPr>
        <w:t>Traditional processors are not the best approach for the intensive computational tasks required by modern AI algorithms. As a result, there has been a signifcant investment in developing GPUs and other specialized processors designed specifcally for AI workloads. This shift is reshaping the semi­ conductor industry, emphasizing the need for high- performance, energy-effcient computing solutions.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The increased density, provided by scaling and advanced packaging together, has enabled advanced GPU systems to connect a massive amount of com­ pute in a small space, increasing performance.</w:t>
      </w:r>
    </w:p>
    <w:p>
      <w:pPr>
        <w:pStyle w:val="DocBody"/>
      </w:pPr>
      <w:r>
        <w:rPr>
          <w:rFonts w:ascii="Times New Roman" w:hAnsi="Times New Roman" w:eastAsia="宋体"/>
          <w:sz w:val="24"/>
        </w:rPr>
        <w:t>(Advanced packaging refers to the combination of circuitry from multiple semiconductor chips or dies into a single, compact electronic package, as in 2.5-dimensional [2.5-D] integration.) One example of this is Nvidia’s GB200 NVL72 system. Unfortunately, the industry has been unable to shrink power and fab­ rication cost as rapidly as in the past, and thus these machines are both extremely expensive and very power hungry. They dissipate ten times the power of systems of a few years ago. They also require inno­ vations in order to get the power into a system and to get the heat out. This surge in demand for high performance underscores the importance of fnding innovative solutions to meet computational needs in the most energy-effcient and simple (reducing power and cost, respectively) way possible.</w:t>
      </w:r>
    </w:p>
    <w:p>
      <w:pPr>
        <w:pStyle w:val="DocBody"/>
      </w:pPr>
      <w:r>
        <w:rPr>
          <w:rFonts w:ascii="Times New Roman" w:hAnsi="Times New Roman" w:eastAsia="宋体"/>
          <w:sz w:val="24"/>
        </w:rPr>
        <w:t>Addressing this challenge requires specialized hard­ ware that is extremely effcient in computing the results needed by today’s AI applications. This is the only known way to grow computation performance per dollar and per watt. Today, all computing devices used for AI applications, including GPUs, contain this type of specialized hardware. Nvidia reports its optimizations reduced the required energy to per­ form computations by a thousand times.9 But even with these optimizations, current computing sys­ tems are dissipating a large amount of heat (over 100 kilowatts [kW] per rack). For comparison, a typ­ ical US household uses electric power at the rate of about 1 kW averaged throughout the year—and the power used in future systems is projected to keep increasing.</w:t>
      </w:r>
    </w:p>
    <w:p>
      <w:pPr>
        <w:pStyle w:val="DocBody"/>
      </w:pPr>
      <w:r>
        <w:rPr>
          <w:rFonts w:ascii="Times New Roman" w:hAnsi="Times New Roman" w:eastAsia="宋体"/>
          <w:sz w:val="24"/>
        </w:rPr>
        <w:t>Chiplets and 2.5-Dimensional Integration Integrating an enormous amount of compute and memory on a single piece of silicon is desirable for maximum energy effciency. However, this poses two problems. First, some of today’s most demanding applications require more computing resources than can be manufactured on a single piece of silicon.</w:t>
      </w:r>
    </w:p>
    <w:p>
      <w:pPr>
        <w:pStyle w:val="DocBody"/>
      </w:pPr>
      <w:r>
        <w:rPr>
          <w:rFonts w:ascii="Times New Roman" w:hAnsi="Times New Roman" w:eastAsia="宋体"/>
          <w:sz w:val="24"/>
        </w:rPr>
        <w:t>Second, the manufacturing processes for processors and memory are very different, so these two compo­ nents can’t be placed on the same piece of silicon.</w:t>
      </w:r>
    </w:p>
    <w:p>
      <w:pPr>
        <w:pStyle w:val="DocBody"/>
      </w:pPr>
      <w:r>
        <w:rPr>
          <w:rFonts w:ascii="Times New Roman" w:hAnsi="Times New Roman" w:eastAsia="宋体"/>
          <w:sz w:val="24"/>
        </w:rPr>
        <w:t>One solution to these challenges is the use of chip- lets and 2.5-D integration. Here, rather than forcing everything onto a single piece of silicon, multiple sil­ icon pieces are connected together on an interposer (defned in more detail below) to create a much larger superchip.</w:t>
      </w:r>
    </w:p>
    <w:p>
      <w:pPr>
        <w:pStyle w:val="DocBody"/>
      </w:pPr>
      <w:r>
        <w:rPr>
          <w:rFonts w:ascii="Times New Roman" w:hAnsi="Times New Roman" w:eastAsia="宋体"/>
          <w:sz w:val="24"/>
        </w:rPr>
        <w:t>This superchip combines processors and memory using chiplets and 2.5-D integration, which leverage different manufacturing technologies to optimize each component. Chiplets—functional blocks of silicon— can be combined in various ways, enabling vendors to tailor systems to customer needs. Central to 2.5-D integration is the interposer, a specialized substrate that connects chiplets and facilitates faster, more energy-effcient communication than traditional cir­ cuit board wiring. By allowing high-density memory, high-performance compute units, and communica­ tion chips to reside side by side, this approach boosts bandwidth, performance, and power effciency while reducing the need for full integration on a single chip.</w:t>
      </w:r>
    </w:p>
    <w:p>
      <w:pPr>
        <w:pStyle w:val="DocBody"/>
      </w:pPr>
      <w:r>
        <w:rPr>
          <w:rFonts w:ascii="Times New Roman" w:hAnsi="Times New Roman" w:eastAsia="宋体"/>
          <w:sz w:val="24"/>
        </w:rPr>
        <w:t>These superchips can contain both memory and processors. Representing a signifcant shift from tra­ ditional monolithic chip design, 2.5-D integration increases per-transistor cost because both the chips that the transistors are on and the substrate must be manufactured. Nevertheless, 2.5-D integration enables semiconductor companies to create a set of building-block chiplets that can be combined in various ways, allowing for the range of products with different performance characteristics mentioned ear­ lier. This strategy allows companies to better tailor their products to specifc application domains and more effectively monetize their silicon investments, ultimately leading to increased product diversity and market responsiveness.</w:t>
      </w:r>
    </w:p>
    <w:p>
      <w:pPr>
        <w:pStyle w:val="DocBody"/>
      </w:pPr>
      <w:r>
        <w:rPr>
          <w:rFonts w:ascii="Times New Roman" w:hAnsi="Times New Roman" w:eastAsia="宋体"/>
          <w:sz w:val="24"/>
        </w:rPr>
        <w:t>Given the changing economics of scaling, the use of chiplets reduces costs overall and allows for more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09  SEMICONDUCTORS</w:t>
      </w:r>
    </w:p>
    <w:p>
      <w:pPr>
        <w:pStyle w:val="DocBody"/>
      </w:pPr>
      <w:r>
        <w:rPr>
          <w:rFonts w:ascii="Times New Roman" w:hAnsi="Times New Roman" w:eastAsia="宋体"/>
          <w:sz w:val="24"/>
        </w:rPr>
        <w:t>customized solutions. Exemplifying this strategy is the approach taken by semiconductor company AMD, which involves keeping components that transfer data to and from devices in older technology nodes while advancing core computing resources with the latest processes. Moreover, this modular strategy facilitates the integration of emerging tech­ nologies such as photonics (discussed in greater detail later in this chapter), which can signifcantly enhance communication speeds and bandwidth within and between chips.</w:t>
      </w:r>
    </w:p>
    <w:p>
      <w:pPr>
        <w:pStyle w:val="DocBody"/>
      </w:pPr>
      <w:r>
        <w:rPr>
          <w:rFonts w:ascii="Times New Roman" w:hAnsi="Times New Roman" w:eastAsia="宋体"/>
          <w:sz w:val="24"/>
        </w:rPr>
        <w:t>High-Power Density Moving the compute and memory elements closer together improves system performance. But all such systems generate heat—and combining more ele­ ments on a single chip increases the amount of heat that must be shed during system operation.</w:t>
      </w:r>
    </w:p>
    <w:p>
      <w:pPr>
        <w:pStyle w:val="DocBody"/>
      </w:pPr>
      <w:r>
        <w:rPr>
          <w:rFonts w:ascii="Times New Roman" w:hAnsi="Times New Roman" w:eastAsia="宋体"/>
          <w:sz w:val="24"/>
        </w:rPr>
        <w:t>For example, in its NVL72 system, Nvidia packs seventy-two B200 2.5-D mega GPUs into a rack and uses its high-performance NVLinks technology to connect all the GPUs to each other, thus forming a supercomputer pod with immense computational power and bandwidth. Each GPU in these setups is approximately ten times more powerful than a con­ sumer one, dissipating a kilowatt of power each.</w:t>
      </w:r>
    </w:p>
    <w:p>
      <w:pPr>
        <w:pStyle w:val="DocBody"/>
      </w:pPr>
      <w:r>
        <w:rPr>
          <w:rFonts w:ascii="Times New Roman" w:hAnsi="Times New Roman" w:eastAsia="宋体"/>
          <w:sz w:val="24"/>
        </w:rPr>
        <w:t>Two of these are placed on a board that dissipates 2.7 kW, and the boards are placed in a rack that dis­ sipates a total of 120 kW. Four to eight of these racks can be connected together with longer range links to create a super pod that dissipates 0.5 to 1 mega­ watt of heat. (For comparison, a 2,500-square-foot house might require a furnace that generates about 30 kW of heat.)</w:t>
      </w:r>
    </w:p>
    <w:p>
      <w:pPr>
        <w:pStyle w:val="DocBody"/>
      </w:pPr>
      <w:r>
        <w:rPr>
          <w:rFonts w:ascii="Times New Roman" w:hAnsi="Times New Roman" w:eastAsia="宋体"/>
          <w:sz w:val="24"/>
        </w:rPr>
        <w:t>Thus, thermal management stands out as a critical issue. Historically, computing equipment was cooled by blowing cold air through a machine. But moving cold air is insuffcient to remove this level of heat, and high-performance, compute-intensive machines must use liquid fowing through cooling plates to deal with it. The heat absorbed by the liquid must then be dissipated somewhere else, usually into the air using large air-conditioning units on the roof of a build­ ing. Effective thermal-management solutions, such as advanced cooling techniques and materials with high thermal conductivity, are essential to maintain­ ing performance and reliability in high-performance computing systems.</w:t>
      </w:r>
    </w:p>
    <w:p>
      <w:pPr>
        <w:pStyle w:val="DocBody"/>
      </w:pPr>
      <w:r>
        <w:rPr>
          <w:rFonts w:ascii="Times New Roman" w:hAnsi="Times New Roman" w:eastAsia="宋体"/>
          <w:sz w:val="24"/>
        </w:rPr>
        <w:t>Need for High Bandwidth As the prior example showed, while 2.5-D integra­ tion helps provide local bandwidth, modern systems are large enough that they require many of these highly integrated superchips. Communicating infor­ mation between these systems is therefore critical.</w:t>
      </w:r>
    </w:p>
    <w:p>
      <w:pPr>
        <w:pStyle w:val="DocBody"/>
      </w:pPr>
      <w:r>
        <w:rPr>
          <w:rFonts w:ascii="Times New Roman" w:hAnsi="Times New Roman" w:eastAsia="宋体"/>
          <w:sz w:val="24"/>
        </w:rPr>
        <w:t>AI-training models must handle vast amounts of data, and high-speed interconnects, such as those employed in Nvidia’s B200 systems, play a critical role in facilitating the rapid transfer of data between compute units and memory.</w:t>
      </w:r>
    </w:p>
    <w:p>
      <w:pPr>
        <w:pStyle w:val="DocBody"/>
      </w:pPr>
      <w:r>
        <w:rPr>
          <w:rFonts w:ascii="Times New Roman" w:hAnsi="Times New Roman" w:eastAsia="宋体"/>
          <w:sz w:val="24"/>
        </w:rPr>
        <w:t>Traditionally, this communication between the chips in a rack is done on electrical wires embedded in the boards that the chips connect to. As the com­ munication rates have continued to rise, the physical limitations of traditional electrical interconnects are one of the primary barriers to improving bandwidth.</w:t>
      </w:r>
    </w:p>
    <w:p>
      <w:pPr>
        <w:pStyle w:val="DocBody"/>
      </w:pPr>
      <w:r>
        <w:rPr>
          <w:rFonts w:ascii="Times New Roman" w:hAnsi="Times New Roman" w:eastAsia="宋体"/>
          <w:sz w:val="24"/>
        </w:rPr>
        <w:t>To overcome this bandwidth limit in communicating information from a chip on one board to a chip on another board, researchers are developing “fying cable” connectors. These connectors are placed directly on the top side of a superchip and enable a high-performance cable to be attached directly to the chip, while the other end is connected directly to the connector to the other board. This cable is built to have the best possible signal transmission properties. Researchers are experimenting with both electrical and optical cables, providing an ability to increase interface speeds above the 100 billion bit per second per wire rate used today.</w:t>
      </w:r>
    </w:p>
    <w:p>
      <w:pPr>
        <w:pStyle w:val="DocBody"/>
      </w:pPr>
      <w:r>
        <w:rPr>
          <w:rFonts w:ascii="Times New Roman" w:hAnsi="Times New Roman" w:eastAsia="宋体"/>
          <w:sz w:val="24"/>
        </w:rPr>
        <w:t>Memory Technology Developments Memory technology continues to evolve, with innova­ tions in both stacking and new materials. Techniques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such as stacking multiple layers of fash memory (i.e., memory that retains its contents even when power is shut off) are pushing the boundaries of what is possi­ ble, enabling higher density and better performance.</w:t>
      </w:r>
    </w:p>
    <w:p>
      <w:pPr>
        <w:pStyle w:val="DocBody"/>
      </w:pPr>
      <w:r>
        <w:rPr>
          <w:rFonts w:ascii="Times New Roman" w:hAnsi="Times New Roman" w:eastAsia="宋体"/>
          <w:sz w:val="24"/>
        </w:rPr>
        <w:t>These advancements are crucial for supporting the growing data needs of modern applications, from AI to big data analytics.</w:t>
      </w:r>
    </w:p>
    <w:p>
      <w:pPr>
        <w:pStyle w:val="DocBody"/>
      </w:pPr>
      <w:r>
        <w:rPr>
          <w:rFonts w:ascii="Times New Roman" w:hAnsi="Times New Roman" w:eastAsia="宋体"/>
          <w:sz w:val="24"/>
        </w:rPr>
        <w:t>Dynamic random-access memory (DRAM) and fash memory technologies have both seen signifcant advancements in recent years, but the associated increase in manufacturing cost means there has been only modest improvement in cost per bit. The devel­ opment of three-dimensional (3-D) structures (e.g., vertical DRAM transistors) has allowed for contin­ ued scaling of memory density by overcoming the physical limitations of traditional planar transistors.</w:t>
      </w:r>
    </w:p>
    <w:p>
      <w:pPr>
        <w:pStyle w:val="DocBody"/>
      </w:pPr>
      <w:r>
        <w:rPr>
          <w:rFonts w:ascii="Times New Roman" w:hAnsi="Times New Roman" w:eastAsia="宋体"/>
          <w:sz w:val="24"/>
        </w:rPr>
        <w:t>Three-dimensional packaging has enabled the pro­ duction of memory devices with higher capacity and improved performance, known as high-bandwidth memory (HBM).</w:t>
      </w:r>
    </w:p>
    <w:p>
      <w:pPr>
        <w:pStyle w:val="DocBody"/>
      </w:pPr>
      <w:r>
        <w:rPr>
          <w:rFonts w:ascii="Times New Roman" w:hAnsi="Times New Roman" w:eastAsia="宋体"/>
          <w:sz w:val="24"/>
        </w:rPr>
        <w:t>Dynamic random-access memory (DRAM) and fash memory technologies have both seen signifcant advancements in recent years, but the associated increase in manufacturing cost means there has been only modest improvement in cost per bit. Both DRAM and fash memory moved to 3-D structures decades ago and have had to use increasingly complex struc­ tures to scale the memory cell size. Chip stacking has also been used for many years to increase the number of memory bits shipped in a single pack­ age. What has changed recently is the growth of the HBM market. These memories require a more com­ plex chip-stacking technology called through-silicon vias (TSV), which needs many wires to run vertically through the chips.</w:t>
      </w:r>
    </w:p>
    <w:p>
      <w:pPr>
        <w:pStyle w:val="DocBody"/>
      </w:pPr>
      <w:r>
        <w:rPr>
          <w:rFonts w:ascii="Times New Roman" w:hAnsi="Times New Roman" w:eastAsia="宋体"/>
          <w:sz w:val="24"/>
        </w:rPr>
        <w:t>As memory technologies scale, maintaining perfor­ mance and reliability becomes increasingly challeng­ ing. For DRAM, issues such as leakage currents and quantum effects limit the scalability of capacitors and transistors. To address these challenges, research­ ers have developed advanced manufacturing techniques for the creation of complex 3-D struc­ tures that enable increased storage density while maintaining the required electrical characteristics.</w:t>
      </w:r>
    </w:p>
    <w:p>
      <w:pPr>
        <w:pStyle w:val="DocBody"/>
      </w:pPr>
      <w:r>
        <w:rPr>
          <w:rFonts w:ascii="Times New Roman" w:hAnsi="Times New Roman" w:eastAsia="宋体"/>
          <w:sz w:val="24"/>
        </w:rPr>
        <w:t>The boom in AI computing has also affected the DRAM industry. The enormous compute power of today’s specialized ML systems means enormous amounts of data per second, or data bandwidth, are required to keep them busy.10 This need for high-bandwidth memory has created the growing market for HBM mentioned earlier. As a result, the South Korean frm Hynix, initially the only manufac­ turer of HBM, has grown into the largest DRAM man­ ufacturer, overtaking Samsung, which led the market for many years.11 China has also invested heavily in DRAM and fash memory production, with Chinese companies selling less advanced parts at very low (possibly below-cost) prices, forcing Samsung and Hynix out of that business.12 Recently, these Chinese companies have been directed to move to the more advanced memory devices.13 Similarly, NAND fash memory—the most common type of fash memory—transitioned to a 3-D cell design in the mid 2010s and has been scaling den­ sity by scaling the number of layers in 3-D transistor stacks for the past decade. However, this approach requires sophisticated manufacturing processes to ensure the reliability and performance of the result­ ing memory devices.</w:t>
      </w:r>
    </w:p>
    <w:p>
      <w:pPr>
        <w:pStyle w:val="DocBody"/>
      </w:pPr>
      <w:r>
        <w:rPr>
          <w:rFonts w:ascii="Times New Roman" w:hAnsi="Times New Roman" w:eastAsia="宋体"/>
          <w:sz w:val="24"/>
        </w:rPr>
        <w:t>Emerging memory technologies, such as magnetore­ sistive random-access memory14 and phase-change memory,15 are also gaining traction as an alterna­ tive to today’s embedded nonvolatile technology.</w:t>
      </w:r>
    </w:p>
    <w:p>
      <w:pPr>
        <w:pStyle w:val="DocBody"/>
      </w:pPr>
      <w:r>
        <w:rPr>
          <w:rFonts w:ascii="Times New Roman" w:hAnsi="Times New Roman" w:eastAsia="宋体"/>
          <w:sz w:val="24"/>
        </w:rPr>
        <w:t>These technologies offer advantages in terms of speed, endurance, and energy effciency, making them attractive alternatives to traditional embedded nonvolatile memory solutions. (Nonvolatile memory retains its contents even when power is turned off.)</w:t>
      </w:r>
    </w:p>
    <w:p>
      <w:pPr>
        <w:pStyle w:val="DocBody"/>
      </w:pPr>
      <w:r>
        <w:rPr>
          <w:rFonts w:ascii="Times New Roman" w:hAnsi="Times New Roman" w:eastAsia="宋体"/>
          <w:sz w:val="24"/>
        </w:rPr>
        <w:t>Further innovations in memory technology are critical for enabling the continued growth of data- intensive applications. From AI-training models to</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09  SEMICONDUCTORS</w:t>
      </w:r>
    </w:p>
    <w:p>
      <w:pPr>
        <w:pStyle w:val="DocBody"/>
      </w:pPr>
      <w:r>
        <w:rPr>
          <w:rFonts w:ascii="Times New Roman" w:hAnsi="Times New Roman" w:eastAsia="宋体"/>
          <w:sz w:val="24"/>
        </w:rPr>
        <w:t>cloud computing and big data analytics, modern applications require vast amounts of memory to store and process data effciently.</w:t>
      </w:r>
    </w:p>
    <w:p>
      <w:pPr>
        <w:pStyle w:val="DocBody"/>
      </w:pPr>
      <w:r>
        <w:rPr>
          <w:rFonts w:ascii="Times New Roman" w:hAnsi="Times New Roman" w:eastAsia="宋体"/>
          <w:sz w:val="24"/>
        </w:rPr>
        <w:t>Over the Horizon The semiconductor industry is poised for signif­ cant advancements in coming years, driven by the growing demands of AI, especially ML, and high- performance computing. The introduction of new technologies, such as 2.5-D integration, chiplets, and photonic interconnects, is expected to play a crucial role in meeting these demands. These innovations will help to enhance performance, increase band­ width, and improve energy effciency, addressing the limitations of traditional semiconductor designs.</w:t>
      </w:r>
    </w:p>
    <w:p>
      <w:pPr>
        <w:pStyle w:val="DocBody"/>
      </w:pPr>
      <w:r>
        <w:rPr>
          <w:rFonts w:ascii="Times New Roman" w:hAnsi="Times New Roman" w:eastAsia="宋体"/>
          <w:sz w:val="24"/>
        </w:rPr>
        <w:t>Emerging memory technologies and advanced man­ ufacturing techniques are also critical for the indus­ try’s growth. Innovations in memory stacking and integration with processors will improve data-transfer speeds and reduce latency, meeting the increas­ ing data requirements of modern applications. The development of advanced materials and transistor architectures will further push the boundaries of semiconductor capabilities, enabling continued min­ iaturization and enhanced performance.</w:t>
      </w:r>
    </w:p>
    <w:p>
      <w:pPr>
        <w:pStyle w:val="DocBody"/>
      </w:pPr>
      <w:r>
        <w:rPr>
          <w:rFonts w:ascii="Times New Roman" w:hAnsi="Times New Roman" w:eastAsia="宋体"/>
          <w:sz w:val="24"/>
        </w:rPr>
        <w:t>Three-Dimensional Heterogeneous Integration As noted above, advanced chip designs sometimes use 3-D structures. Today, these designs are limited to a variety of niche applications, such as HBM and high-performance computing. These 3-D structures are the result of a fabrication technique known as 3-D heterogeneous integration. This is different from 2.5-D integration, where different chiplets are placed on a common substrate. Rather, true 3-D heterogeneous integration is a semiconductor manufacturing technique that involves the vertical stacking of different electronic components, such as processors and memory, with vertical interconnect between them. The heterogeneous aspect means that these stacked components can be made from different materials and technologies optimized for their specifc functions.</w:t>
      </w:r>
    </w:p>
    <w:p>
      <w:pPr>
        <w:pStyle w:val="DocBody"/>
      </w:pPr>
      <w:r>
        <w:rPr>
          <w:rFonts w:ascii="Times New Roman" w:hAnsi="Times New Roman" w:eastAsia="宋体"/>
          <w:sz w:val="24"/>
        </w:rPr>
        <w:t>For example, a processor made with one type of fabrication can be stacked with memory made from another, with each using the most suitable technol­ ogy for its purpose. This approach has the potential to improve performance and effciency by reduc­ ing the distance data travels between components, making devices faster and more compact—albeit at the cost of a more complex fabrication process and a harder heat-dissipation task for the resulting chips.</w:t>
      </w:r>
    </w:p>
    <w:p>
      <w:pPr>
        <w:pStyle w:val="DocBody"/>
      </w:pPr>
      <w:r>
        <w:rPr>
          <w:rFonts w:ascii="Times New Roman" w:hAnsi="Times New Roman" w:eastAsia="宋体"/>
          <w:sz w:val="24"/>
        </w:rPr>
        <w:t>A variety of challenges need to be overcome for 3-D heterogenous integration to become more widely used. These include thermal management, mechan­ ical stress and reliability, manufacturing complexity and cost, interconnect reliability, and design com­ plexity. Many of these issues are also present with traditional 2-D and 2.5-D integration, but vertical stacking creates new failure modes that do not exist or are much less severe in traditional 2-D chips.</w:t>
      </w:r>
    </w:p>
    <w:p>
      <w:pPr>
        <w:pStyle w:val="DocBody"/>
      </w:pPr>
      <w:r>
        <w:rPr>
          <w:rFonts w:ascii="Times New Roman" w:hAnsi="Times New Roman" w:eastAsia="宋体"/>
          <w:sz w:val="24"/>
        </w:rPr>
        <w:t>Photonic Links and Components The distance that a high-performance electrical data-transmission link can span has been shrink­ ing as its data-bandwidth has increased. Photonic (light) links are now used for longer-distance com­ munications. Photonics is the optical analog of elec­ tronics—the latter use electrons for signaling and carrying information, while photonics use photons (light) for the same purposes. Innovations such as silicon photonics are emerging, making photonic links attractive for much shorter distances, including some chip-to-chip communications.</w:t>
      </w:r>
    </w:p>
    <w:p>
      <w:pPr>
        <w:pStyle w:val="DocBody"/>
      </w:pPr>
      <w:r>
        <w:rPr>
          <w:rFonts w:ascii="Times New Roman" w:hAnsi="Times New Roman" w:eastAsia="宋体"/>
          <w:sz w:val="24"/>
        </w:rPr>
        <w:t>Silicon photonic links have the potential to reduce energy consumption and increase bandwidth in data centers and long-distance data transmissions that are not already photonic.16 Furthermore, they can handle different wavelengths simultaneously 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a single optical fber. This enhances data-carrying capacity and makes photonics an attractive solution for high-performance computing and data center applications. By replacing electrical interconnects with optical ones, data centers can reduce the amount of energy required for transmitting data, leading to lower operational costs and a smaller environmental footprint. Such advantages of pho­ tonics have always been drivers of research in this area, but the recent rise in the demand for power- hungry AI-enabled applications has created even more impetus for such research.</w:t>
      </w:r>
    </w:p>
    <w:p>
      <w:pPr>
        <w:pStyle w:val="DocBody"/>
      </w:pPr>
      <w:r>
        <w:rPr>
          <w:rFonts w:ascii="Times New Roman" w:hAnsi="Times New Roman" w:eastAsia="宋体"/>
          <w:sz w:val="24"/>
        </w:rPr>
        <w:t>Integrating photonic components with silicon-based technologies is challenging as a result of material incompatibilities; for example, effcient light-emitting materials like III–V semiconductors do not integrate well with silicon. (A III–V semiconductor is made by combining boron, aluminum, gallium, or indium with nitrogen, phosphorus, arsenic, or antimony.) While useful for light detectors, silicon is ineffective for light emission, complicating the scalable integration of these technologies at the chip or circuit board level. Overcoming these challenges is crucial for realizing the full potential of photonic links in large- scale, low-energy applications.</w:t>
      </w:r>
    </w:p>
    <w:p>
      <w:pPr>
        <w:pStyle w:val="DocBody"/>
      </w:pPr>
      <w:r>
        <w:rPr>
          <w:rFonts w:ascii="Times New Roman" w:hAnsi="Times New Roman" w:eastAsia="宋体"/>
          <w:sz w:val="24"/>
        </w:rPr>
        <w:t>Applications-Specifc Optimization Finally, as Moore’s law reaches its limits, future improvements in computing will rely more on opti­ mizing algorithms, hardware, and technologies for specifc applications rather than on general technol­ ogy scaling. This requires innovation across the entire technology stack, from materials to design methods.</w:t>
      </w:r>
    </w:p>
    <w:p>
      <w:pPr>
        <w:pStyle w:val="DocBody"/>
      </w:pPr>
      <w:r>
        <w:rPr>
          <w:rFonts w:ascii="Times New Roman" w:hAnsi="Times New Roman" w:eastAsia="宋体"/>
          <w:sz w:val="24"/>
        </w:rPr>
        <w:t>However, the industry faces a paradox: The need for radical innovation conficts with the high costs and long timelines of chip development, which can exceed $100 million and take over two years.</w:t>
      </w:r>
    </w:p>
    <w:p>
      <w:pPr>
        <w:pStyle w:val="DocBody"/>
      </w:pPr>
      <w:r>
        <w:rPr>
          <w:rFonts w:ascii="Times New Roman" w:hAnsi="Times New Roman" w:eastAsia="宋体"/>
          <w:sz w:val="24"/>
        </w:rPr>
        <w:t>To address this, the industry must make system-design exploration easier, cheaper, and faster. Researchers are working to ensure that specifc design changes to a chip do not require redesign of the entire chip.</w:t>
      </w:r>
    </w:p>
    <w:p>
      <w:pPr>
        <w:pStyle w:val="DocBody"/>
      </w:pPr>
      <w:r>
        <w:rPr>
          <w:rFonts w:ascii="Times New Roman" w:hAnsi="Times New Roman" w:eastAsia="宋体"/>
          <w:sz w:val="24"/>
        </w:rPr>
        <w:t>Solutions include enabling software designers to test custom accelerators without deep hardware knowl­ edge and developing tools for application devel­ opers to make small hardware extensions to base platforms. This approach, described in more detail in the inaugural Stanford Emerging Technology Review (SETR 2023), depends on the involvement of major technology frms, who would need to participate in an app store–like model for hardware customization, balancing open innovation with proft motives.</w:t>
      </w:r>
    </w:p>
    <w:p>
      <w:pPr>
        <w:pStyle w:val="DocBody"/>
      </w:pPr>
      <w:r>
        <w:rPr>
          <w:rFonts w:ascii="Times New Roman" w:hAnsi="Times New Roman" w:eastAsia="宋体"/>
          <w:sz w:val="24"/>
        </w:rPr>
        <w:t>Policy Issues Talent A critical challenge facing the US semiconductor industry is its signifcant talent shortage, particularly in hardware design and manufacturing. For example, the Semiconductor Industry Association projects the number of jobs in the sector in the United States will grow by nearly 115,000 by 2030, to total approxi­ mately 460,000.17 Moreover, it estimates that roughly 67,000, or 58 percent, of these new jobs risk going unflled at current degree-completion rates. Looking at just the new jobs that are technical in nature, the percentage at risk of going unflled is higher, at 80 per­ cent. Almost two-thirds of the unflled jobs would require at least a bachelor’s degree in engineering.18 The pipeline of college graduates interested in semi­ conductors is also troubling. While student interest in hardware seems to be increasing, recent actions, including the voiding of up to $7.4 billion in CHIPS Act funding19 and the cutting of government fund­ ing for research in general, will inevitably shrink the number of new graduates in this area.</w:t>
      </w:r>
    </w:p>
    <w:p>
      <w:pPr>
        <w:pStyle w:val="DocBody"/>
      </w:pPr>
      <w:r>
        <w:rPr>
          <w:rFonts w:ascii="Times New Roman" w:hAnsi="Times New Roman" w:eastAsia="宋体"/>
          <w:sz w:val="24"/>
        </w:rPr>
        <w:t>Since appropriately trained people are the only real source of new ideas, this trend does not bode well for the industry. Addressing this issue requires more and even closer collaboration among educational institutions, industry, and government to develop programs that attract and train the next generation of semiconductor engineers and researchers.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09  SEMICONDUCTORS</w:t>
      </w:r>
    </w:p>
    <w:p>
      <w:pPr>
        <w:pStyle w:val="DocBody"/>
      </w:pPr>
      <w:r>
        <w:rPr>
          <w:rFonts w:ascii="Times New Roman" w:hAnsi="Times New Roman" w:eastAsia="宋体"/>
          <w:sz w:val="24"/>
        </w:rPr>
        <w:t>Strategic Technology Containment The primary objective of actions taken under this rubric is to restrict China’s access to high technol­ ogy to preserve Western advantages in innovation, industry, and defense. For example, the United States has intensifed export controls and revocation of export authorizations targeting Chinese semicon­ ductor frms and key software and equipment for design and fabrication. These efforts aim to restrict China’s ability to develop the most advanced semi­ conductors (currently 5 nm and 3 nm technologies).</w:t>
      </w:r>
    </w:p>
    <w:p>
      <w:pPr>
        <w:pStyle w:val="DocBody"/>
      </w:pPr>
      <w:r>
        <w:rPr>
          <w:rFonts w:ascii="Times New Roman" w:hAnsi="Times New Roman" w:eastAsia="宋体"/>
          <w:sz w:val="24"/>
        </w:rPr>
        <w:t>Restricted technologies include top-tier lithography machines, high-performance computing chips, and electronic design automation software.20 In December 2024, the US Department of Commerce released a set of export-control rules to further impair China’s ability to produce advanced semiconductors, specifcally targeting, among other things, certain semiconductor manufacturing equipment.21 This equipment included lithography tools using extreme ultraviolet light (EUV), thus effectively blocking deliv­ eries of ASML Holding’s most advanced EUV systems to China.22 ASML is a Dutch multinational corpora­ tion that develops and manufactures advanced photolithography machines used in semiconductor fabrication and the only company worldwide that produces EUV lithography systems for this purpose.</w:t>
      </w:r>
    </w:p>
    <w:p>
      <w:pPr>
        <w:pStyle w:val="DocBody"/>
      </w:pPr>
      <w:r>
        <w:rPr>
          <w:rFonts w:ascii="Times New Roman" w:hAnsi="Times New Roman" w:eastAsia="宋体"/>
          <w:sz w:val="24"/>
        </w:rPr>
        <w:t>In addition, the US-led Clean Network program, launched in 2020 in the frst Trump administration, sought to prevent Chinese telecommunications car­ riers and suppliers from accessing or infuencing sen­ sitive US telecommunications infrastructure and data networks.23 Further, the Federal Communications Commission banned the US sale of certain commu­ nications equipment from Chinese technology frms such as Huawei and ZTE.24 Such actions have had a disruptive impact on China’s semiconductor ecosystem,25 at least in the short term. The inability of Chinese frms to access key tools for next-generation chip production has trig­ gered supply chain delays, steep price increases, and direct setbacks, resulting in workforce reduc­ tions and postponed factory expansions. China’s progress in producing state-of-the-art chips has been impeded, forcing it toward legacy technolo­ gies; its broader ambitions in AI and advanced com­ puting have also been impacted.</w:t>
      </w:r>
    </w:p>
    <w:p>
      <w:pPr>
        <w:pStyle w:val="DocBody"/>
      </w:pPr>
      <w:r>
        <w:rPr>
          <w:rFonts w:ascii="Times New Roman" w:hAnsi="Times New Roman" w:eastAsia="宋体"/>
          <w:sz w:val="24"/>
        </w:rPr>
        <w:t>In response, China has launched a comprehensive effort to achieve semiconductor self-suffciency. This includes massive subsidies, accelerated investment, and reforms supporting indigenous chip design and manufacturing innovation. It has further supported research in the feld (e.g., producing twice as many chip design papers than the United States) and made advances in materials like 2-D transistors and carbon nanotube chips. Finally, it has undertaken a variety of efforts to circumvent Western contain­ ment measures, including the use of smuggling and shell companies to purchase equipment and chips.</w:t>
      </w:r>
    </w:p>
    <w:p>
      <w:pPr>
        <w:pStyle w:val="DocBody"/>
      </w:pPr>
      <w:r>
        <w:rPr>
          <w:rFonts w:ascii="Times New Roman" w:hAnsi="Times New Roman" w:eastAsia="宋体"/>
          <w:sz w:val="24"/>
        </w:rPr>
        <w:t>Thus, while Western technology containment efforts have effectively slowed immediate Chinese advances, they may have the unintended impact of decreasing Chinese dependence on Western technology.</w:t>
      </w:r>
    </w:p>
    <w:p>
      <w:pPr>
        <w:pStyle w:val="DocBody"/>
      </w:pPr>
      <w:r>
        <w:rPr>
          <w:rFonts w:ascii="Times New Roman" w:hAnsi="Times New Roman" w:eastAsia="宋体"/>
          <w:sz w:val="24"/>
        </w:rPr>
        <w:t>To further discourage technology containment efforts, China also retains the option to retaliate against A critical challenge facing the US semiconductor industry is its significant talent shortage, particularly in hardware design and manufacturing.</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nations pursuing them. For example, in December 2024, the country announced a total export ban to the United States on strategic critical minerals includ­ ing gallium, germanium, and antimony, as well as industrial-strength diamonds and dense synthetic materials, citing national security concerns and responding directly to new US restrictions on semi­ conductor exports to China.26 Such efforts are likely to continue into the future.</w:t>
      </w:r>
    </w:p>
    <w:p>
      <w:pPr>
        <w:pStyle w:val="DocBody"/>
      </w:pPr>
      <w:r>
        <w:rPr>
          <w:rFonts w:ascii="Times New Roman" w:hAnsi="Times New Roman" w:eastAsia="宋体"/>
          <w:sz w:val="24"/>
        </w:rPr>
        <w:t>Geopolitical Risks and Supply Chain Resilience The extreme concentration of semiconductor man­ ufacturing in Taiwan poses a signifcant risk to the global supply chain. Political tensions, trade dis­ putes, and potential confict in the region can dis­ rupt the supply of critical components, impacting industries and economies worldwide. Diversifying supply chains and investing in domestic manufactur­ ing capabilities are essential strategies for building resilience against geopolitical risks.</w:t>
      </w:r>
    </w:p>
    <w:p>
      <w:pPr>
        <w:pStyle w:val="DocBody"/>
      </w:pPr>
      <w:r>
        <w:rPr>
          <w:rFonts w:ascii="Times New Roman" w:hAnsi="Times New Roman" w:eastAsia="宋体"/>
          <w:sz w:val="24"/>
        </w:rPr>
        <w:t>Initial steps toward this were taken in the passage of the CHIPS Act of 2022, which earmarked $52.7 bil­ lion for semiconductor manufacturing, research, and workforce development, plus signifcant tax credits for private investment in the feld. Full implementa­ tion of the act has not yet occurred, partly because not enough time has elapsed and partly because the appropriations it called for have not been fully funded.</w:t>
      </w:r>
    </w:p>
    <w:p>
      <w:pPr>
        <w:pStyle w:val="DocBody"/>
      </w:pPr>
      <w:r>
        <w:rPr>
          <w:rFonts w:ascii="Times New Roman" w:hAnsi="Times New Roman" w:eastAsia="宋体"/>
          <w:sz w:val="24"/>
        </w:rPr>
        <w:t>Investing in domestic manufacturing capabilities and promoting regional cooperation is intended to enhance supply chain security and ensure a steady supply of essential components. For example, TSMC is building facilities in Arizona and Japan, and Samsung is investing in Texas. Japan and India are both investing heavily to modernize and grow their own chipmaking industries, while Southeast Asian countries are focusing on assembly and testing.</w:t>
      </w:r>
    </w:p>
    <w:p>
      <w:pPr>
        <w:pStyle w:val="DocBody"/>
      </w:pPr>
      <w:r>
        <w:rPr>
          <w:rFonts w:ascii="Times New Roman" w:hAnsi="Times New Roman" w:eastAsia="宋体"/>
          <w:sz w:val="24"/>
        </w:rPr>
        <w:t>Industrial Policy The US government acquired a 10 percent equity stake in Intel by converting previously awarded but unused government grants proffered under the CHIPS Act into shares.27 This move aims to support Intel’s expansion of domestic chip manufacturing.</w:t>
      </w:r>
    </w:p>
    <w:p>
      <w:pPr>
        <w:pStyle w:val="DocBody"/>
      </w:pPr>
      <w:r>
        <w:rPr>
          <w:rFonts w:ascii="Times New Roman" w:hAnsi="Times New Roman" w:eastAsia="宋体"/>
          <w:sz w:val="24"/>
        </w:rPr>
        <w:t>The government’s ownership is passive, with no board seat or governance rights, and includes a war­ rant for an additional 5 percent if Intel loses majority control of its foundry business.</w:t>
      </w:r>
    </w:p>
    <w:p>
      <w:pPr>
        <w:pStyle w:val="DocBody"/>
      </w:pPr>
      <w:r>
        <w:rPr>
          <w:rFonts w:ascii="Times New Roman" w:hAnsi="Times New Roman" w:eastAsia="宋体"/>
          <w:sz w:val="24"/>
        </w:rPr>
        <w:t>This deal constitutes an unusual direct investment of the US government in a major private company, possi­ bly signaling a move toward more active government involvement in strategic industries, and a number of analysts have raised concerns about it.28 They sug­ gest it raises the chance that Intel, or any company in a similar arrangement, would shape its own cor­ porate decision making to align with government or political preferences, compromising its market-driven business priorities. Additionally, it risks distorting competition in markets that would otherwise be free of government stakes, creating potential conficts between economic effciency and political objectives.</w:t>
      </w:r>
    </w:p>
    <w:p>
      <w:pPr>
        <w:pStyle w:val="DocBody"/>
      </w:pPr>
      <w:r>
        <w:rPr>
          <w:rFonts w:ascii="Times New Roman" w:hAnsi="Times New Roman" w:eastAsia="宋体"/>
          <w:sz w:val="24"/>
        </w:rPr>
        <w:t>For example, it might lead to an undue bias in favor of meeting national security objectives over maintaining a competitive, innovation-driven product line.</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“Inside an Intel Chip Fab: One of the Cleanest Conference Rooms on Earth,” Intel Corporation, March 28, 2018, https:// www.intc.com/news-events/press-releases/detail/165/inside -an-intel-chip-fab-one-of-the-cleanest-conference.</w:t>
      </w:r>
    </w:p>
    <w:p>
      <w:pPr>
        <w:pStyle w:val="DocBody"/>
        <w:ind w:left="765"/>
      </w:pPr>
      <w:r>
        <w:rPr>
          <w:rFonts w:ascii="Times New Roman" w:hAnsi="Times New Roman" w:eastAsia="宋体"/>
          <w:sz w:val="24"/>
        </w:rPr>
        <w:t>Anton Shilov, “Former Intel Directors Believe Intel Must Split in Two to Survive,” Tom’s Hardware, October 26, 2024, https://www .tomshardware.com/tech-industry/former-intel-directors-believe -intel-must-split-in-two-to-survive; “Tech Analyst Explains Why Intel Should Be Split Apart and How to Do It,” Investing.com, Yahoo Finance, March 5, 2025, https://fnance.yahoo.com/news /tech-analyst-explains-why-intel-132943025.html.</w:t>
      </w:r>
    </w:p>
    <w:p>
      <w:pPr>
        <w:pStyle w:val="DocBody"/>
        <w:ind w:left="765"/>
      </w:pPr>
      <w:r>
        <w:rPr>
          <w:rFonts w:ascii="Times New Roman" w:hAnsi="Times New Roman" w:eastAsia="宋体"/>
          <w:sz w:val="24"/>
        </w:rPr>
        <w:t>Jeremy Bowman, “This 1 Number May Ensure TSMC’s Market Dominance,” The Motley Fool, August 17, 2024, https://www.nas daq.com/articles/1-number-may-ensure-tsmcs-market-dominance.</w:t>
      </w:r>
    </w:p>
    <w:p>
      <w:pPr>
        <w:pStyle w:val="DocBody"/>
        <w:ind w:left="765"/>
      </w:pPr>
      <w:r>
        <w:rPr>
          <w:rFonts w:ascii="Times New Roman" w:hAnsi="Times New Roman" w:eastAsia="宋体"/>
          <w:sz w:val="24"/>
        </w:rPr>
        <w:t>“Global Semiconductor Foundry Revenue Share: Q1 2024,”</w:t>
      </w:r>
    </w:p>
    <w:p>
      <w:pPr>
        <w:pStyle w:val="DocBody"/>
      </w:pPr>
      <w:r>
        <w:rPr>
          <w:rFonts w:ascii="Times New Roman" w:hAnsi="Times New Roman" w:eastAsia="宋体"/>
          <w:sz w:val="24"/>
        </w:rPr>
        <w:t>Counterpoint, June 12, 2024, https://www.counterpointresearch .com/insights/global-semiconductor-foundry-market-share/.</w:t>
      </w:r>
    </w:p>
    <w:p>
      <w:pPr>
        <w:pStyle w:val="DocBody"/>
        <w:ind w:left="765"/>
      </w:pPr>
      <w:r>
        <w:rPr>
          <w:rFonts w:ascii="Times New Roman" w:hAnsi="Times New Roman" w:eastAsia="宋体"/>
          <w:sz w:val="24"/>
        </w:rPr>
        <w:t>“Global Semiconductor Foundry Revenue Share,” Counterpoint.</w:t>
      </w:r>
    </w:p>
    <w:p>
      <w:pPr>
        <w:pStyle w:val="DocBody"/>
        <w:ind w:left="765"/>
      </w:pPr>
      <w:r>
        <w:rPr>
          <w:rFonts w:ascii="Times New Roman" w:hAnsi="Times New Roman" w:eastAsia="宋体"/>
          <w:sz w:val="24"/>
        </w:rPr>
        <w:t>2021 State of the U.S. Semiconductor Industry, Semiconduc­ tor Industry Association, 2021, https://www.semiconductors.org /wp-content/uploads/2021/09/2021-SIA-State-of-the-Industry -Report.pdf.</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09  SEMICONDUCTORS</w:t>
      </w:r>
    </w:p>
    <w:p>
      <w:pPr>
        <w:pStyle w:val="DocBody"/>
        <w:ind w:left="765"/>
      </w:pPr>
      <w:r>
        <w:rPr>
          <w:rFonts w:ascii="Times New Roman" w:hAnsi="Times New Roman" w:eastAsia="宋体"/>
          <w:sz w:val="24"/>
        </w:rPr>
        <w:t>“2019 Summit Agenda, Videos, and Slides,” Electronics Resurgence Initiative 2.0, Defense Advanced Research Projects Agency, accessed August 30, 2023, https://eri-summit.darpa.mil /2019-archive-keynote-slides.</w:t>
      </w:r>
    </w:p>
    <w:p>
      <w:pPr>
        <w:pStyle w:val="DocBody"/>
        <w:ind w:left="765"/>
      </w:pPr>
      <w:r>
        <w:rPr>
          <w:rFonts w:ascii="Times New Roman" w:hAnsi="Times New Roman" w:eastAsia="宋体"/>
          <w:sz w:val="24"/>
        </w:rPr>
        <w:t>In fact, transistor costs are usually plotted in a semi-log graph, where the log of the cost is plotted against time. In these plots the exponential decline in transistor costs becomes a straight line. The fact that the scale of the y-axis is linear is a clear indication that Moore’s law is over.</w:t>
      </w:r>
    </w:p>
    <w:p>
      <w:pPr>
        <w:pStyle w:val="DocBody"/>
        <w:ind w:left="765"/>
      </w:pPr>
      <w:r>
        <w:rPr>
          <w:rFonts w:ascii="Times New Roman" w:hAnsi="Times New Roman" w:eastAsia="宋体"/>
          <w:sz w:val="24"/>
        </w:rPr>
        <w:t>Dion Harris, “Sustainable Strides: How AI and Accelerated Com­ puting Are Driving Energy Effciency,” NVIDIA Blog, July 22, 2024, https://blogs.nvidia.com/blog/accelerated-ai-energy-effciency/.</w:t>
      </w:r>
    </w:p>
    <w:p>
      <w:pPr>
        <w:pStyle w:val="DocBody"/>
        <w:ind w:left="765"/>
      </w:pPr>
      <w:r>
        <w:rPr>
          <w:rFonts w:ascii="Times New Roman" w:hAnsi="Times New Roman" w:eastAsia="宋体"/>
          <w:sz w:val="24"/>
        </w:rPr>
        <w:t>See, for example, Amir Gholami, Zhewei Yao, Sehoon Kim, Coleman Hooper, Michael W. Mahoney, and Kurt Keutzer, “AI and Memory Wall,” IEEE Micro 44, no. 3 (2024): 33–39, https://doi.org /10.1109/MM.2024.3373763.</w:t>
      </w:r>
    </w:p>
    <w:p>
      <w:pPr>
        <w:pStyle w:val="DocBody"/>
        <w:ind w:left="765"/>
      </w:pPr>
      <w:r>
        <w:rPr>
          <w:rFonts w:ascii="Times New Roman" w:hAnsi="Times New Roman" w:eastAsia="宋体"/>
          <w:sz w:val="24"/>
        </w:rPr>
        <w:t>Mark LaPedus, “SK Hynix Surpasses Samsung in DRAM Share,”</w:t>
      </w:r>
    </w:p>
    <w:p>
      <w:pPr>
        <w:pStyle w:val="DocBody"/>
      </w:pPr>
      <w:r>
        <w:rPr>
          <w:rFonts w:ascii="Times New Roman" w:hAnsi="Times New Roman" w:eastAsia="宋体"/>
          <w:sz w:val="24"/>
        </w:rPr>
        <w:t>Semiecosystem, Substack, April 11, 2025, https://marklapedus .substack.com/p/sk-hynix-surpasses-samsung-in-dram.</w:t>
      </w:r>
    </w:p>
    <w:p>
      <w:pPr>
        <w:pStyle w:val="DocBody"/>
        <w:ind w:left="765"/>
      </w:pPr>
      <w:r>
        <w:rPr>
          <w:rFonts w:ascii="Times New Roman" w:hAnsi="Times New Roman" w:eastAsia="宋体"/>
          <w:sz w:val="24"/>
        </w:rPr>
        <w:t>Nikkei Asia, “China Makes Inroads in DRAM Chips in Challenge to Samsung and Micron,” KrASIA, February 1, 2025, https://kr -asia.com/china-makes-inroads-in-dram-chips-in-challenge-to -samsung-and-micron.</w:t>
      </w:r>
    </w:p>
    <w:p>
      <w:pPr>
        <w:pStyle w:val="DocBody"/>
        <w:ind w:left="765"/>
      </w:pPr>
      <w:r>
        <w:rPr>
          <w:rFonts w:ascii="Times New Roman" w:hAnsi="Times New Roman" w:eastAsia="宋体"/>
          <w:sz w:val="24"/>
        </w:rPr>
        <w:t>Ray Wang, “Mapping China’s HBM Advances,” November 27, 2024, https://www.chinatalk.media/p/mapping-chinas-hbm -advancement.</w:t>
      </w:r>
    </w:p>
    <w:p>
      <w:pPr>
        <w:pStyle w:val="DocBody"/>
        <w:ind w:left="765"/>
      </w:pPr>
      <w:r>
        <w:rPr>
          <w:rFonts w:ascii="Times New Roman" w:hAnsi="Times New Roman" w:eastAsia="宋体"/>
          <w:sz w:val="24"/>
        </w:rPr>
        <w:t>Paolo Cappaletti and Jon Slaughter, “Embedded Memory Solu­ tions: Charge Storage Based, Resistive and Magnetic,” in Andrea Redaelli and Fabio Pellizzer, eds., Semiconductor Memories and Systems (Woodhead Publishing, 2022), 159–215, https://doi.org /10.1016/B978-0-12-820758-1.00007-8.</w:t>
      </w:r>
    </w:p>
    <w:p>
      <w:pPr>
        <w:pStyle w:val="DocBody"/>
        <w:ind w:left="765"/>
      </w:pPr>
      <w:r>
        <w:rPr>
          <w:rFonts w:ascii="Times New Roman" w:hAnsi="Times New Roman" w:eastAsia="宋体"/>
          <w:sz w:val="24"/>
        </w:rPr>
        <w:t>Cappaletti and Slaughter, “Embedded Memory Solutions.”</w:t>
      </w:r>
    </w:p>
    <w:p>
      <w:pPr>
        <w:pStyle w:val="DocBody"/>
        <w:ind w:left="765"/>
      </w:pPr>
      <w:r>
        <w:rPr>
          <w:rFonts w:ascii="Times New Roman" w:hAnsi="Times New Roman" w:eastAsia="宋体"/>
          <w:sz w:val="24"/>
        </w:rPr>
        <w:t>David A. B. Miller, “Attojoule Optoelectronics for Low-Energy Information Processing and Communications,” Journal of Light- wave Technology 35, no. 4 (February 2017): 34696, https://doi.org /10.1109/JLT.2017.2647779.</w:t>
      </w:r>
    </w:p>
    <w:p>
      <w:pPr>
        <w:pStyle w:val="DocBody"/>
        <w:ind w:left="765"/>
      </w:pPr>
      <w:r>
        <w:rPr>
          <w:rFonts w:ascii="Times New Roman" w:hAnsi="Times New Roman" w:eastAsia="宋体"/>
          <w:sz w:val="24"/>
        </w:rPr>
        <w:t>Dan Martin and Dan Rosso, “Chipping Away: Assessing and Addressing the Labor Market Gap Facing the U.S. Semiconductor Industry,” Semiconductor Industry Association and Oxford Eco­ nomics, July 25, 2023, https://www.semiconductors.org/chipping -away-assessing-and-addressing-the-labor-market-gap-facing-the -u-s-semiconductor-industry/.</w:t>
      </w:r>
    </w:p>
    <w:p>
      <w:pPr>
        <w:pStyle w:val="DocBody"/>
        <w:ind w:left="765"/>
      </w:pPr>
      <w:r>
        <w:rPr>
          <w:rFonts w:ascii="Times New Roman" w:hAnsi="Times New Roman" w:eastAsia="宋体"/>
          <w:sz w:val="24"/>
        </w:rPr>
        <w:t>Martin and Rosso, “Chipping Away.”</w:t>
      </w:r>
    </w:p>
    <w:p>
      <w:pPr>
        <w:pStyle w:val="DocBody"/>
        <w:ind w:left="765"/>
      </w:pPr>
      <w:r>
        <w:rPr>
          <w:rFonts w:ascii="Times New Roman" w:hAnsi="Times New Roman" w:eastAsia="宋体"/>
          <w:sz w:val="24"/>
        </w:rPr>
        <w:t>David Shepardson, “US Commerce Voids Biden’s $7.4 Billion Semiconductor Research Grant Deal,” Reuters, August 25, 2025, https://www.reuters.com/legal/government/us-commerce-voids -bidens-74-billion-semiconductor-research-grant-deal-2025 -08-25/.</w:t>
      </w:r>
    </w:p>
    <w:p>
      <w:pPr>
        <w:pStyle w:val="DocBody"/>
        <w:ind w:left="765"/>
      </w:pPr>
      <w:r>
        <w:rPr>
          <w:rFonts w:ascii="Times New Roman" w:hAnsi="Times New Roman" w:eastAsia="宋体"/>
          <w:sz w:val="24"/>
        </w:rPr>
        <w:t>“Commerce Strengthens Export Controls to Restrict China’s Capability to Produce Advanced Semiconductors for Military Appli­ cations,” news release, Bureau of Industry and Security, US Depart­ ment of Commerce, December 2, 2024, https://www.bis.gov /press-release/commerce-strengthens-export-controls-restrict -chinas-capability-produce-advanced-semiconductors-military.</w:t>
      </w:r>
    </w:p>
    <w:p>
      <w:pPr>
        <w:pStyle w:val="DocBody"/>
        <w:ind w:left="765"/>
      </w:pPr>
      <w:r>
        <w:rPr>
          <w:rFonts w:ascii="Times New Roman" w:hAnsi="Times New Roman" w:eastAsia="宋体"/>
          <w:sz w:val="24"/>
        </w:rPr>
        <w:t>“Commerce Strengthens Export Controls,” Bureau of Industry and Security.</w:t>
      </w:r>
    </w:p>
    <w:p>
      <w:pPr>
        <w:pStyle w:val="DocBody"/>
        <w:ind w:left="765"/>
      </w:pPr>
      <w:r>
        <w:rPr>
          <w:rFonts w:ascii="Times New Roman" w:hAnsi="Times New Roman" w:eastAsia="宋体"/>
          <w:sz w:val="24"/>
        </w:rPr>
        <w:t>“ASML Expects Impact of Updated Export Restrictions to Fall Within Outlook for 2025,” news release, ASML, December 2, 2024, https://www.asml.com/en/news/press-releases/2024/asml-expects -impact-of-updated-export-restrictions-to-fall-within-outlook-for-2025.</w:t>
      </w:r>
    </w:p>
    <w:p>
      <w:pPr>
        <w:pStyle w:val="DocBody"/>
        <w:ind w:left="765"/>
      </w:pPr>
      <w:r>
        <w:rPr>
          <w:rFonts w:ascii="Times New Roman" w:hAnsi="Times New Roman" w:eastAsia="宋体"/>
          <w:sz w:val="24"/>
        </w:rPr>
        <w:t>Meg Rithmire and Courtney Han, “The Clean Network and the Future of Global Technology Competition,” Harvard Busi­ ness Review, April 2021, https://store.hbr.org/product/the-clean -network-and-the-future-of-global-technology-competition/721045.</w:t>
      </w:r>
    </w:p>
    <w:p>
      <w:pPr>
        <w:pStyle w:val="DocBody"/>
        <w:ind w:left="765"/>
      </w:pPr>
      <w:r>
        <w:rPr>
          <w:rFonts w:ascii="Times New Roman" w:hAnsi="Times New Roman" w:eastAsia="宋体"/>
          <w:sz w:val="24"/>
        </w:rPr>
        <w:t>Associated Press, “U.S. Bans the Sale and Import of Some Tech from Chinese Companies Huawei and ZTE,” NPR, November 26, 2022, https://www.npr.org/2022/11/26/1139258274/us-ban -tech-china-huawei-zte.</w:t>
      </w:r>
    </w:p>
    <w:p>
      <w:pPr>
        <w:pStyle w:val="DocBody"/>
        <w:ind w:left="765"/>
      </w:pPr>
      <w:r>
        <w:rPr>
          <w:rFonts w:ascii="Times New Roman" w:hAnsi="Times New Roman" w:eastAsia="宋体"/>
          <w:sz w:val="24"/>
        </w:rPr>
        <w:t>Sujai Shivakumar, Charles Wessner, and Thomas Howell, “Export Controls on U.S. Chip Technology to China,” Center for Strategic and International Studies, February 2024.</w:t>
      </w:r>
    </w:p>
    <w:p>
      <w:pPr>
        <w:pStyle w:val="DocBody"/>
        <w:ind w:left="765"/>
      </w:pPr>
      <w:r>
        <w:rPr>
          <w:rFonts w:ascii="Times New Roman" w:hAnsi="Times New Roman" w:eastAsia="宋体"/>
          <w:sz w:val="24"/>
        </w:rPr>
        <w:t>Krystal Bermudez, “China Retaliates Against U.S. Semicon­ ductor Restrictions by Banning Critical Mineral Exports,” Foun­ dation for the Defense of Democracies, December 4, 2024, https://www.fdd.org/analysis/policy_briefs/2024/12/04/china -retaliates-against-u-s-semiconductor-restrictions-by-banning -critical-mineral-exports/.</w:t>
      </w:r>
    </w:p>
    <w:p>
      <w:pPr>
        <w:pStyle w:val="DocBody"/>
        <w:ind w:left="765"/>
      </w:pPr>
      <w:r>
        <w:rPr>
          <w:rFonts w:ascii="Times New Roman" w:hAnsi="Times New Roman" w:eastAsia="宋体"/>
          <w:sz w:val="24"/>
        </w:rPr>
        <w:t>“Intel and Trump Administration Reach Historic Agree­ ment to Accelerate American Technology and Manufacturing Leadership,” news release, Intel Corporation, August 22, 2025, https://www.intc.com/news-events/press-releases/detail/1748 /intel-and-trump-administration-reach-historic-agreement-to.</w:t>
      </w:r>
    </w:p>
    <w:p>
      <w:pPr>
        <w:pStyle w:val="DocBody"/>
        <w:ind w:left="765"/>
      </w:pPr>
      <w:r>
        <w:rPr>
          <w:rFonts w:ascii="Times New Roman" w:hAnsi="Times New Roman" w:eastAsia="宋体"/>
          <w:sz w:val="24"/>
        </w:rPr>
        <w:t>See, for example, Ross Kerber, “Investors Worry Trump’s Intel Deal Kicks Off Era of US Industrial Policy,” Reuters, August 27, 2025, https://www.reuters.com/sustainability/boards-policy-regulation /investors-worry-trumps-intel-deal-kicks-off-era-us-industrial -policy-2025-08-27/; Alexander Bolton, “Donald Trump’s Govern­ ment Buying Stake in Intel Prompts GOP Complaints,” The Hill, August 26, 2025, https://thehill.com/homenews/senate/5469740 -gop-criticizes-trump-intel-deal/; David Shepardson and Arsheeya Bajwa, “Intel Warns US Stake Could Hurt International Sales, Future Grants,” China, Reuters, August 25, 2025, https://www.reuters .com/world/china/intel-warns-us-stake-could-hurt-international -sales-future-grants-2025-08-25/.</w:t>
      </w:r>
    </w:p>
    <w:p>
      <w:pPr>
        <w:pStyle w:val="DocBody"/>
      </w:pPr>
      <w:r>
        <w:rPr>
          <w:rFonts w:ascii="Times New Roman" w:hAnsi="Times New Roman" w:eastAsia="宋体"/>
          <w:sz w:val="24"/>
        </w:rPr>
        <w:t>STANFORD EXPERT CONTRIBUTORS Dr. Mark A. Horowitz SETR Faculty Council, Fortinet Founders Chair of the Department of Electrical Engineering, Yahoo!</w:t>
      </w:r>
    </w:p>
    <w:p>
      <w:pPr>
        <w:pStyle w:val="DocBody"/>
      </w:pPr>
      <w:r>
        <w:rPr>
          <w:rFonts w:ascii="Times New Roman" w:hAnsi="Times New Roman" w:eastAsia="宋体"/>
          <w:sz w:val="24"/>
        </w:rPr>
        <w:t>Founders Professor in the School of Engineering, and Professor of Computer Science Dr. David Miller W.  M. Keck Foundation Professor of Electrical Engineering and Professor, by courtesy, of Applied Physics Dr. Asir Intisar Khan SETR Fellow and Visiting Postdoctoral Scholar in Electrical Engineering</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SPACE KEY TAKEAWAYS A burgeoning “NewSpace” economy driven by ° private innovation and investment is transforming space launch, in-space logistics, communications, and key space actors in a domain that until now has been dominated by superpower governments.</w:t>
      </w:r>
    </w:p>
    <w:p>
      <w:pPr>
        <w:pStyle w:val="DocBody"/>
      </w:pPr>
      <w:r>
        <w:rPr>
          <w:rFonts w:ascii="Times New Roman" w:hAnsi="Times New Roman" w:eastAsia="宋体"/>
          <w:sz w:val="24"/>
        </w:rPr>
        <w:t>Space is a fnite planetary resource. Because of ° dramatic increases in satellites, debris, and geo­ political space competition, new technologies and new international policy frameworks will be needed to manage the traffc of vehicles, pre­ vent international confict in space, and ensure responsible stewardship of this global commons.</w:t>
      </w:r>
    </w:p>
    <w:p>
      <w:pPr>
        <w:pStyle w:val="DocBody"/>
      </w:pPr>
      <w:r>
        <w:rPr>
          <w:rFonts w:ascii="Times New Roman" w:hAnsi="Times New Roman" w:eastAsia="宋体"/>
          <w:sz w:val="24"/>
        </w:rPr>
        <w:t>The Trump administration has shifted priorities ° heavily toward human exploration of the Moon and Mars. This is at the expense of robotic explo­ ration, space science, and aeronautics missions, leading to signifcant planned budget and per­ sonnel cuts to NASA. This trend may risk the long­ term superiority of the United States in the global race for talent and technology.</w:t>
      </w:r>
    </w:p>
    <w:p>
      <w:pPr>
        <w:pStyle w:val="DocBody"/>
      </w:pPr>
      <w:r>
        <w:rPr>
          <w:rFonts w:ascii="Times New Roman" w:hAnsi="Times New Roman" w:eastAsia="宋体"/>
          <w:sz w:val="24"/>
        </w:rPr>
        <w:t>Overview Sputnik 1 was the world’s frst artifcial satellite, a technology demonstration placed into orbit by the Soviet Union in 1957. Sixty-nine years later, humankind operates many thousands of satellites to provide communications, navigation, and Earth observation imagery relied upon in many walks of life. A substantial amount of scientifc discovery is also made possible with space-borne instrumenta­ tion. Additionally, space operations support military forces on Earth, and thus space itself is a domain in which international confict and competition play out.</w:t>
      </w:r>
    </w:p>
    <w:p>
      <w:pPr>
        <w:pStyle w:val="DocBody"/>
      </w:pPr>
      <w:r>
        <w:rPr>
          <w:rFonts w:ascii="Times New Roman" w:hAnsi="Times New Roman" w:eastAsia="宋体"/>
          <w:sz w:val="24"/>
        </w:rPr>
        <w:t>Today, the global space economy is growing at about 7 percent per annum.1 Valued at $600 billion in 2024, it is forecast to potentially reach $1.8 tril­ lion by 2035.2 This growth is driven by space-based technologies and their impacts on various indus­ tries, including defense, transportation, and con­ sumer goods. One distinctive feature of the space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industry is the predominance of government invest­ ment, which totaled $135 billion globally in 2024, more than $75 billion of which came from the United States.3 While ownership of space assets is gradu­ ally shifting from governments to private providers, private-sector investment has declined for three consecutive years—from its all-time high of $18 bil­ lion in 2021 to $5.9 billion in 2024—refecting ongoing challenges in commercialization and inten­ sifying global competition.4 The number of satel­ lites launched per year has grown at a cumulative annual rate of over 50 percent from 2019 to 2024, supported by an increase in global rocket launches (271 in 20245).</w:t>
      </w:r>
    </w:p>
    <w:p>
      <w:pPr>
        <w:pStyle w:val="DocBody"/>
      </w:pPr>
      <w:r>
        <w:rPr>
          <w:rFonts w:ascii="Times New Roman" w:hAnsi="Times New Roman" w:eastAsia="宋体"/>
          <w:sz w:val="24"/>
        </w:rPr>
        <w:t>At its core, a space mission includes four components:</w:t>
      </w:r>
    </w:p>
    <w:p>
      <w:pPr>
        <w:pStyle w:val="DocBody"/>
      </w:pPr>
      <w:r>
        <w:rPr>
          <w:rFonts w:ascii="Times New Roman" w:hAnsi="Times New Roman" w:eastAsia="宋体"/>
          <w:sz w:val="24"/>
        </w:rPr>
        <w:t>The mission objectives, which can be scientifc, ° commercial, military, or a combination thereof A space segment, which includes the spacecraft ° and the orbits that have been selected to accom­ plish the mission objectives A ground segment, which includes the rocket ° launcher, ground stations, and mission control centers A user segment, which includes all the users and ° stakeholders of the space mission Space systems can be categorized in various ways.</w:t>
      </w:r>
    </w:p>
    <w:p>
      <w:pPr>
        <w:pStyle w:val="DocBody"/>
      </w:pPr>
      <w:r>
        <w:rPr>
          <w:rFonts w:ascii="Times New Roman" w:hAnsi="Times New Roman" w:eastAsia="宋体"/>
          <w:sz w:val="24"/>
        </w:rPr>
        <w:t>One such sorting factor is whether they are crewed or uncrewed. The International Space Station (ISS)</w:t>
      </w:r>
    </w:p>
    <w:p>
      <w:pPr>
        <w:pStyle w:val="DocBody"/>
      </w:pPr>
      <w:r>
        <w:rPr>
          <w:rFonts w:ascii="Times New Roman" w:hAnsi="Times New Roman" w:eastAsia="宋体"/>
          <w:sz w:val="24"/>
        </w:rPr>
        <w:t>is currently the nexus for spacefight; since 2011, US-crewed access to the ISS has been via rockets operated by Russia—and more recently through vehicles provided by SpaceX and Boeing. In the future, the NASA-operated Artemis program plans to launch its frst crewed mission, a Moon fyby, in early 2026, followed by a Moon landing in 2027 or 2028. Uncrewed systems include those for Earth and planetary remote sensing (such as Planet Labs’ Dove satellites); communication and navigation (such as the United States’ Global Positioning System, or GPS, satellites); astronomy and astrophysics (such as the James Webb Space FIGURE 10.1  Fires and damage at Antonov Airport in Ukraine, as seen from a commercial satellite constellation Source: © 2022 Maxar Technologies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10  SPACE</w:t>
      </w:r>
    </w:p>
    <w:p>
      <w:pPr>
        <w:pStyle w:val="DocBody"/>
      </w:pPr>
      <w:r>
        <w:rPr>
          <w:rFonts w:ascii="Times New Roman" w:hAnsi="Times New Roman" w:eastAsia="宋体"/>
          <w:sz w:val="24"/>
        </w:rPr>
        <w:t>Telescope); space logistics and in-space assembly and manufacturing (such as Northrop Grumman’s Mission Extension Vehicles, or MEVs); and plane­ tary exploration (such as the Mars Perseverance rover).</w:t>
      </w:r>
    </w:p>
    <w:p>
      <w:pPr>
        <w:pStyle w:val="DocBody"/>
      </w:pPr>
      <w:r>
        <w:rPr>
          <w:rFonts w:ascii="Times New Roman" w:hAnsi="Times New Roman" w:eastAsia="宋体"/>
          <w:sz w:val="24"/>
        </w:rPr>
        <w:t>Space systems can also be characterized by size.</w:t>
      </w:r>
    </w:p>
    <w:p>
      <w:pPr>
        <w:pStyle w:val="DocBody"/>
      </w:pPr>
      <w:r>
        <w:rPr>
          <w:rFonts w:ascii="Times New Roman" w:hAnsi="Times New Roman" w:eastAsia="宋体"/>
          <w:sz w:val="24"/>
        </w:rPr>
        <w:t>Very large structures include the ISS, whose mass is 420 tons, and proposed future space stations that are part of the NASA-funded Commercial LEO Destinations (CLD) program, such as Orbital Reef (Blue Origin), and Starlab (Starlab Space, a joint ven­ ture of Voyager Space and Airbus). Vastly smaller satellites, called smallsats, weigh under 500 kilo­ grams (kg).6 CubeSats are the most popular smallsat format, with each CubeSat unit measuring 10 by 10 by 10 centimeters (cm) and with a mass of 1.33 kg (a couple of pounds). They can also be combined to build larger satellites. CubeSats support a grow­ ing commercial market, providing communications, Earth imagery, and other capabilities. Today, a large majority of functional satellites weigh between 100 and 1,000 kg.</w:t>
      </w:r>
    </w:p>
    <w:p>
      <w:pPr>
        <w:pStyle w:val="DocBody"/>
      </w:pPr>
      <w:r>
        <w:rPr>
          <w:rFonts w:ascii="Times New Roman" w:hAnsi="Times New Roman" w:eastAsia="宋体"/>
          <w:sz w:val="24"/>
        </w:rPr>
        <w:t>Another classifcation of space systems refects their trajectories. For example, objects in orbit around Earth can be in low Earth orbit (LEO), which is less than 1,000 kilometers (km) in altitude; medium Earth orbit (MEO), which is between 1,000 and 35,000 km in altitude; high elliptical orbit; and geosynchronous orbit (GEO), with an orbit period equivalent to one Earth day. The image in fgure 10.1 was obtained by a Maxar Technologies commercial satellite in LEO.</w:t>
      </w:r>
    </w:p>
    <w:p>
      <w:pPr>
        <w:pStyle w:val="DocBody"/>
      </w:pPr>
      <w:r>
        <w:rPr>
          <w:rFonts w:ascii="Times New Roman" w:hAnsi="Times New Roman" w:eastAsia="宋体"/>
          <w:sz w:val="24"/>
        </w:rPr>
        <w:t>A further categorization of space systems focuses on their composition. Distributed space systems, com­ prising multiple interacting spacecraft, can achieve objectives that are diffcult or impossible for a single spacecraft. These systems take various architectural forms (see fgure 10.2), defned by parameters like inter-spacecraft distances, required navigational accuracy, and number of satellites. They contrast with traditional single-spacecraft systems and offer expanded capabilities in space operations. Different compositions of space systems include the following:</w:t>
      </w:r>
    </w:p>
    <w:p>
      <w:pPr>
        <w:pStyle w:val="DocBody"/>
      </w:pPr>
      <w:r>
        <w:rPr>
          <w:rFonts w:ascii="Times New Roman" w:hAnsi="Times New Roman" w:eastAsia="宋体"/>
          <w:sz w:val="24"/>
        </w:rPr>
        <w:t>Constellations separated by tens of thousands ° of kilometers so that they may provide global Relaxed Moderate Navigation accurracy High Rendezvous and docking Swarms Formation-ﬂying Constellations Constellations 10010110 10010110 10010110 10010110 10010 10010110 10010110 10010110 10010110 1 0 010110 1 0 0 1 0 1 1 0 100101 1 0 1 0 010110 1 0 1 0 0 1 0110 1001 0 1 1 0 1001 10 0 1 0 1 1 0 1 0 0 10 1 1 0 1 0 0 1 0 1 1 0 1 0 0 10 1 1 0 10 0 1 0 1 10 10 0 10 1 1 0 10 0 1 0 1 10 1 0 0 10 10010110 10010110 10010110 10 10010110 10010110 100101 1 0 0 1 0 1 1 0 1 0 0 1 0 1 1 0 1 0 0 1 0 1 1 0 1 0 0 1 0 1 1 0 1 0 1 0010110 1001 0 110 100 1 01 1 0 10010110 10 010 FIGURE 10.2  Characterizing distributed space systems Small (local)</w:t>
      </w:r>
    </w:p>
    <w:p>
      <w:pPr>
        <w:pStyle w:val="DocBody"/>
      </w:pPr>
      <w:r>
        <w:rPr>
          <w:rFonts w:ascii="Times New Roman" w:hAnsi="Times New Roman" w:eastAsia="宋体"/>
          <w:sz w:val="24"/>
        </w:rPr>
        <w:t>Moderate Large (global)</w:t>
      </w:r>
    </w:p>
    <w:p>
      <w:pPr>
        <w:pStyle w:val="DocBody"/>
      </w:pPr>
      <w:r>
        <w:rPr>
          <w:rFonts w:ascii="Times New Roman" w:hAnsi="Times New Roman" w:eastAsia="宋体"/>
          <w:sz w:val="24"/>
        </w:rPr>
        <w:t>Inter-satellite distance Source: Adapted from a diagram by Simone D’Amico</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10.3  An artist’s conception of the NASA Starling satellite swarm in space Source: NASA / Blue Canyon Technologies coverage for navigation, communications, and remote sensing services.</w:t>
      </w:r>
    </w:p>
    <w:p>
      <w:pPr>
        <w:pStyle w:val="DocBody"/>
      </w:pPr>
      <w:r>
        <w:rPr>
          <w:rFonts w:ascii="Times New Roman" w:hAnsi="Times New Roman" w:eastAsia="宋体"/>
          <w:sz w:val="24"/>
        </w:rPr>
        <w:t>Rendezvous and docking to support crew trans­ ° portation, removal of space debris from orbit, in-orbit servicing of satellites, and assembly of larger structures in space. This involves small sep­ arations and high positional accuracy.</w:t>
      </w:r>
    </w:p>
    <w:p>
      <w:pPr>
        <w:pStyle w:val="DocBody"/>
      </w:pPr>
      <w:r>
        <w:rPr>
          <w:rFonts w:ascii="Times New Roman" w:hAnsi="Times New Roman" w:eastAsia="宋体"/>
          <w:sz w:val="24"/>
        </w:rPr>
        <w:t>Formation-fying architectures for observational ° missions that call for large effective apertures, such as space-based telescopes whose optical components are controlled very precisely at sep­ arations of tens to hundreds of meters.</w:t>
      </w:r>
    </w:p>
    <w:p>
      <w:pPr>
        <w:pStyle w:val="DocBody"/>
      </w:pPr>
      <w:r>
        <w:rPr>
          <w:rFonts w:ascii="Times New Roman" w:hAnsi="Times New Roman" w:eastAsia="宋体"/>
          <w:sz w:val="24"/>
        </w:rPr>
        <w:t>Swarms that cooperatively sense the environment ° or share resources such as power, computation, and communications but whose components do not necessarily need to be at fxed distances from one another (see fgure 10.3).</w:t>
      </w:r>
    </w:p>
    <w:p>
      <w:pPr>
        <w:pStyle w:val="DocBody"/>
      </w:pPr>
      <w:r>
        <w:rPr>
          <w:rFonts w:ascii="Times New Roman" w:hAnsi="Times New Roman" w:eastAsia="宋体"/>
          <w:sz w:val="24"/>
        </w:rPr>
        <w:t>Key Developments Impacts of Space Technologies Space technologies have proven their value to the national interest. Some of the most important appli­ cations today include the following:</w:t>
      </w:r>
    </w:p>
    <w:p>
      <w:pPr>
        <w:pStyle w:val="DocBody"/>
      </w:pPr>
      <w:r>
        <w:rPr>
          <w:rFonts w:ascii="Times New Roman" w:hAnsi="Times New Roman" w:eastAsia="宋体"/>
          <w:sz w:val="24"/>
        </w:rPr>
        <w:t>Navigation This includes positioning, navigation, and timing (PNT) services around the world and in space. GPS and similar services operated by other nations help people know their position and velocity, whether on land, on the ocean surface, in the air, or in space. Less well known is the timing information that GPS provides—timing that is accurate to the nanosecond available anywhere in the world. This is a key tool for the fnancial sector, electric power grid, and transportation. Companies such as Xona Space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10  SPACE</w:t>
      </w:r>
    </w:p>
    <w:p>
      <w:pPr>
        <w:pStyle w:val="DocBody"/>
      </w:pPr>
      <w:r>
        <w:rPr>
          <w:rFonts w:ascii="Times New Roman" w:hAnsi="Times New Roman" w:eastAsia="宋体"/>
          <w:sz w:val="24"/>
        </w:rPr>
        <w:t>Systems, a start-up founded by Stanford alumni, have begun developing GPS alternatives that aim to deliver even greater precision and robustness. More recently, driven by the explosion in the number of satellites and other spacecraft in orbit, interest has been growing quickly in characterizing and manag­ ing in-space objects.</w:t>
      </w:r>
    </w:p>
    <w:p>
      <w:pPr>
        <w:pStyle w:val="DocBody"/>
      </w:pPr>
      <w:r>
        <w:rPr>
          <w:rFonts w:ascii="Times New Roman" w:hAnsi="Times New Roman" w:eastAsia="宋体"/>
          <w:sz w:val="24"/>
        </w:rPr>
        <w:t>Communications Satellites provide vital communi­ cations in remote areas and for mobile users, com­ plementing the terrestrial networks that carry most long-haul communications. Companies like SpaceX’s Starlink, Amazon’s Project Kuiper, Eutelsat OneWeb, and Astranis aim to offer low-latency, wide-coverage satellite internet. Recent innovations include optical communication systems, which use light for higher bandwidth and security. Vertical integration across orbital, aerial, marine, and ground segments will be a key asset for future communication infrastructure.</w:t>
      </w:r>
    </w:p>
    <w:p>
      <w:pPr>
        <w:pStyle w:val="DocBody"/>
      </w:pPr>
      <w:r>
        <w:rPr>
          <w:rFonts w:ascii="Times New Roman" w:hAnsi="Times New Roman" w:eastAsia="宋体"/>
          <w:sz w:val="24"/>
        </w:rPr>
        <w:t>Several start-ups, such as Aalyria and SpiderOak, are also developing technologies for the orchestration of different networks to ensure robust and secure communications.</w:t>
      </w:r>
    </w:p>
    <w:p>
      <w:pPr>
        <w:pStyle w:val="DocBody"/>
      </w:pPr>
      <w:r>
        <w:rPr>
          <w:rFonts w:ascii="Times New Roman" w:hAnsi="Times New Roman" w:eastAsia="宋体"/>
          <w:sz w:val="24"/>
        </w:rPr>
        <w:t>Remote sensing Remote sensing satellites, with their unique vantage point and sophisticated sen­ sors, can rapidly gather extensive data about areas and objects of interest. These data are then integrated and used to train artifcial intelligence (AI) models to create a “digital twin” of Earth, enhancing prediction and simulation of terrestrial phenomena and responses to them. Applications include disaster response, environmental monitor­ ing, topographical mapping, and geospatial intelli­ gence tracking human, animal, and marine activity.</w:t>
      </w:r>
    </w:p>
    <w:p>
      <w:pPr>
        <w:pStyle w:val="DocBody"/>
      </w:pPr>
      <w:r>
        <w:rPr>
          <w:rFonts w:ascii="Times New Roman" w:hAnsi="Times New Roman" w:eastAsia="宋体"/>
          <w:sz w:val="24"/>
        </w:rPr>
        <w:t>Governments are expanding remote sensing pro­ grams, complemented by commercial companies like BlackSky, Maxar, Planet Labs, Spire Global, and ICEYE. Recent efforts have focused on increas­ ing data resolution, reducing response times, and exploring other valuable information modes such as hyperspectral imaging,7 synthetic aperture radar,8 and radio-frequency sounding (exploration of the environment through the use and exploitation of radio waves).9 Scientifc research Space-based astronomy and exploration provide in-depth insights into the ori­ gins of planets, stars, galaxies, and life on Earth.</w:t>
      </w:r>
    </w:p>
    <w:p>
      <w:pPr>
        <w:pStyle w:val="DocBody"/>
      </w:pPr>
      <w:r>
        <w:rPr>
          <w:rFonts w:ascii="Times New Roman" w:hAnsi="Times New Roman" w:eastAsia="宋体"/>
          <w:sz w:val="24"/>
        </w:rPr>
        <w:t>The past few years have seen signifcant strides in solar system exploration, particularly involving asteroids. NASA’s OSIRIS-REx mission successfully returned asteroid samples to Earth in September 2023, while the NASA Psyche mission was launched in October 2023 and is en route to examine at close range a metal-rich asteroid worth potentially qua­ drillions of dollars.</w:t>
      </w:r>
    </w:p>
    <w:p>
      <w:pPr>
        <w:pStyle w:val="DocBody"/>
      </w:pPr>
      <w:r>
        <w:rPr>
          <w:rFonts w:ascii="Times New Roman" w:hAnsi="Times New Roman" w:eastAsia="宋体"/>
          <w:sz w:val="24"/>
        </w:rPr>
        <w:t>Space transportation The space transportation industry has seen launch costs drop by more than an order of magnitude over a couple of decades to $1,500 per kilogram in 2021.10 Companies like SpaceX, Rocket Lab, Blue Origin, Stoke Space, and Virgin Galactic have made progress in provid­ ing reliable launches and developing new vehicles.</w:t>
      </w:r>
    </w:p>
    <w:p>
      <w:pPr>
        <w:pStyle w:val="DocBody"/>
      </w:pPr>
      <w:r>
        <w:rPr>
          <w:rFonts w:ascii="Times New Roman" w:hAnsi="Times New Roman" w:eastAsia="宋体"/>
          <w:sz w:val="24"/>
        </w:rPr>
        <w:t>SpaceX’s Starship—the most powerful rocket ever built (see fgure 10.4)—could dramatically reduce the cost of achieving LEO, aspirationally making this between 10 and 100 times cheaper than today.11 Also, in January 2025, Blue Origin launched its reusable high-volume, heavy-lift New Glenn rocket, which successfully deployed a prototype of its Blue Ring platform in MEO.12 (Blue Ring can serve as a satellite support platform and a space tug that trans­ fers cargo between different orbits.) While SpaceX currently dominates the space launch sector, overre­ liance on a single company could prove risky for the US government, especially given the multiple failed test launches of Starship in 2025.</w:t>
      </w:r>
    </w:p>
    <w:p>
      <w:pPr>
        <w:pStyle w:val="DocBody"/>
      </w:pPr>
      <w:r>
        <w:rPr>
          <w:rFonts w:ascii="Times New Roman" w:hAnsi="Times New Roman" w:eastAsia="宋体"/>
          <w:sz w:val="24"/>
        </w:rPr>
        <w:t>Meanwhile, Blue Origin, Voyager Space, Axiom Space, and Vast are developing commercial space stations to replace the ISS, which NASA plans to decommission in 2030. These new stations aim to ensure continued orbital research and expand human presence in space.</w:t>
      </w:r>
    </w:p>
    <w:p>
      <w:pPr>
        <w:pStyle w:val="DocBody"/>
      </w:pPr>
      <w:r>
        <w:rPr>
          <w:rFonts w:ascii="Times New Roman" w:hAnsi="Times New Roman" w:eastAsia="宋体"/>
          <w:sz w:val="24"/>
        </w:rPr>
        <w:t>National security Spacecraft constantly scan Earth for launches of ballistic and hypersonic missiles aimed at the United States or its allies, nuclear weapons tests anywhere in the world, radio traffc and radar</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10.4  Spacex’s Starship could dramatically reduce the cost of achieving LEO Source: SpaceX, CC BY-NC 2.0 signals from other countries, and the movements of allies and enemies in military contexts. A major focus of the Trump administration is the “Golden Dome,” a proposed multilayer system partly based in space used for threat monitoring and missile defense.13 US government investment in space for national security purposes continues to grow, includ­ ing new commercial partnerships focused on data sharing for tracking objects in space and on Earth, satellite internet for battlefeld communications, and in-space logistics (inspection and servicing) to main­ tain space superiority and safety.</w:t>
      </w:r>
    </w:p>
    <w:p>
      <w:pPr>
        <w:pStyle w:val="DocBody"/>
      </w:pPr>
      <w:r>
        <w:rPr>
          <w:rFonts w:ascii="Times New Roman" w:hAnsi="Times New Roman" w:eastAsia="宋体"/>
          <w:sz w:val="24"/>
        </w:rPr>
        <w:t>Trends in Space Technology Privatization, miniaturization, and reusability The space sector is shifting from government-owned legacy systems and their long development time­ lines and mission lifetimes to a “NewSpace” econ­ omy driven by private companies. This privatization makes space technologies more accessible and less expensive. CubeSats and reusable rockets like SpaceX’s Falcon 9 exemplify private-sector innova­ tions enabling new opportunities. Governments are also embracing small spacecraft and on-demand launches to expand space capabilities cost-effectively.</w:t>
      </w:r>
    </w:p>
    <w:p>
      <w:pPr>
        <w:pStyle w:val="DocBody"/>
      </w:pPr>
      <w:r>
        <w:rPr>
          <w:rFonts w:ascii="Times New Roman" w:hAnsi="Times New Roman" w:eastAsia="宋体"/>
          <w:sz w:val="24"/>
        </w:rPr>
        <w:t>The combination of smallsats and distributed archi­ tecture (e.g., constellations) offers advantages in reduced costs, faster development timelines, fre­ quent technology updates, and improved resilience, fexibility, and performance.</w:t>
      </w:r>
    </w:p>
    <w:p>
      <w:pPr>
        <w:pStyle w:val="DocBody"/>
      </w:pPr>
      <w:r>
        <w:rPr>
          <w:rFonts w:ascii="Times New Roman" w:hAnsi="Times New Roman" w:eastAsia="宋体"/>
          <w:sz w:val="24"/>
        </w:rPr>
        <w:t>However, the private sector’s rapidly increasing role in space also presents new challenges. These include dealing with risks inherent in dual-use space tech­ nologies (for example, adversaries could use tech­ nology that was designed for removing space debris to attack other satellites); managing crises in a realm where lines separating individual private actors, the space sector as a whole, and government actors are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10  SPACE</w:t>
      </w:r>
    </w:p>
    <w:p>
      <w:pPr>
        <w:pStyle w:val="DocBody"/>
      </w:pPr>
      <w:r>
        <w:rPr>
          <w:rFonts w:ascii="Times New Roman" w:hAnsi="Times New Roman" w:eastAsia="宋体"/>
          <w:sz w:val="24"/>
        </w:rPr>
        <w:t>increasingly blurred; differentiating between acci­ dents and malevolent actions; and relying on com­ panies whose interests may not be fully aligned with those of the US government.</w:t>
      </w:r>
    </w:p>
    <w:p>
      <w:pPr>
        <w:pStyle w:val="DocBody"/>
      </w:pPr>
      <w:r>
        <w:rPr>
          <w:rFonts w:ascii="Times New Roman" w:hAnsi="Times New Roman" w:eastAsia="宋体"/>
          <w:sz w:val="24"/>
        </w:rPr>
        <w:t>The Moon rush Recent years have seen a renewed desire to maintain a permanent human presence in lunar orbit and on the lunar surface. The abundance of certain materials on the Moon provides opportu­ nities for mining and manufacturing, known as in-situ resource utilization. Such activities would reduce the amounts of material that would otherwise have to be transported from Earth. Combined with the signif­ cantly lower amount of fuel needed to launch from the Moon rather than from Earth, moon mining and manufacturing facilitates the construction of moon bases, the conduct of space exploration missions, and even launches into LEO that could be under­ taken with hardware manufactured with materials from the Moon.</w:t>
      </w:r>
    </w:p>
    <w:p>
      <w:pPr>
        <w:pStyle w:val="DocBody"/>
      </w:pPr>
      <w:r>
        <w:rPr>
          <w:rFonts w:ascii="Times New Roman" w:hAnsi="Times New Roman" w:eastAsia="宋体"/>
          <w:sz w:val="24"/>
        </w:rPr>
        <w:t>There have been a number of successful lunar land­ ings recently from both the commercial and the civil sectors, including the United States, China, India, and Japan.14 The NASA-led Artemis program is devel­ oping a new launch system, lunar-orbiting space station, lunar base camp, and lunar terrain vehicles, among other things, as steps needed for establishing a permanent human presence on the Moon.15 Over the Horizon Advances in Small Satellite Technology NASA has identifed a list of issues that are restrain­ ing growth in usage of small spacecraft.16 They include limitations in launch capacity, autonomous capabilities, PNT capabilities, and propulsion sys­ tems. The past year has seen several mission failures due to these and other shortfalls.</w:t>
      </w:r>
    </w:p>
    <w:p>
      <w:pPr>
        <w:pStyle w:val="DocBody"/>
      </w:pPr>
      <w:r>
        <w:rPr>
          <w:rFonts w:ascii="Times New Roman" w:hAnsi="Times New Roman" w:eastAsia="宋体"/>
          <w:sz w:val="24"/>
        </w:rPr>
        <w:t>NASA is responding to these challenges via technol­ ogy demonstration missions such as Starling, which, in 2024, became the frst successful in-orbit exam­ ple of several critical autonomous swarming tech­ nologies.17 Among Starling’s payloads is an optical PNT system newly developed by Stanford’s Space Rendezvous Laboratory. This applies onboard cam­ eras and advanced algorithms to not only navigate multiple satellites cooperatively, but also to charac­ terize resident space objects (RSO)—any human- made or natural object orbiting Earth—using only visual data. In doing so, it addresses a key techno­ logical gap for small spacecraft, which must typically rely on jammable GPS or expensive ground-based resources for navigation. However, more work is needed to take full advantage of smallsat architec­ tures—and, by extension, distributed architectures featuring many smallsats working together.</w:t>
      </w:r>
    </w:p>
    <w:p>
      <w:pPr>
        <w:pStyle w:val="DocBody"/>
      </w:pPr>
      <w:r>
        <w:rPr>
          <w:rFonts w:ascii="Times New Roman" w:hAnsi="Times New Roman" w:eastAsia="宋体"/>
          <w:sz w:val="24"/>
        </w:rPr>
        <w:t>New Applications of Space Technologies Manufacturing For certain types of manufactur­ ing, such as specialized pharmaceuticals, optics, and semiconductors, space offers two major advantages over terrestrial manufacturing. Because the vacuum of space is very clean, minimizing contamination is much easier. Further, space’s microgravity environ­ ment means that phenomena resulting from the effects of gravity—such as sedimentation, buoyancy, thermal convection, and hydrostatic pressure—can be minimized. This enables, for example, the fab­ rication of more perfect crystals and more perfect shapes. Production processes for biological mate­ rials, medicines, metallizations, polymers, semicon­ ductors, and electronics may beneft.</w:t>
      </w:r>
    </w:p>
    <w:p>
      <w:pPr>
        <w:pStyle w:val="DocBody"/>
      </w:pPr>
      <w:r>
        <w:rPr>
          <w:rFonts w:ascii="Times New Roman" w:hAnsi="Times New Roman" w:eastAsia="宋体"/>
          <w:sz w:val="24"/>
        </w:rPr>
        <w:t>Mining The Moon and asteroids may well have vast storehouses of useful minerals that are hard to fnd or extract on Earth, such as rare-earth elements used in batteries and catalytic converters as well as in guidance systems and other defense applications. Helium-3 found on the Moon may be an important source of fuel for nuclear fusion reactors. Future space-mining operations could bring these resources back to Earth to meet growing demand in a sustainable way. Mining of regolith (loose rock that sits atop bedrock) and ice on the Moon is also critical for enabling a permanent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human presence there and supporting subsequent expansion into the solar system.</w:t>
      </w:r>
    </w:p>
    <w:p>
      <w:pPr>
        <w:pStyle w:val="DocBody"/>
      </w:pPr>
      <w:r>
        <w:rPr>
          <w:rFonts w:ascii="Times New Roman" w:hAnsi="Times New Roman" w:eastAsia="宋体"/>
          <w:sz w:val="24"/>
        </w:rPr>
        <w:t>Power generation Most orbits are exposed to a constant and intense sunlight, which can be a poten­ tial source of clean energy generation. Initial tech­ nology demonstrations have been performed in the past two years,18 and several companies are trying to unlock the potential in this area through two main approaches:</w:t>
      </w:r>
    </w:p>
    <w:p>
      <w:pPr>
        <w:pStyle w:val="DocBody"/>
      </w:pPr>
      <w:r>
        <w:rPr>
          <w:rFonts w:ascii="Times New Roman" w:hAnsi="Times New Roman" w:eastAsia="宋体"/>
          <w:sz w:val="24"/>
        </w:rPr>
        <w:t>Solar panels in space that can capture solar energy, ° convert it to microwaves or laser light, and beam it down to Earth, where dedicated ground stations receive the transmitted energy Large mirrors in space that can directly refect ° sunlight to existing solar farms on the ground Both approaches can be advantageous for areas on Earth that cannot easily receive power or fuel sup­ plies or access these around the clock. While this technology is still at a very early stage, interest in it has been growing steadily.</w:t>
      </w:r>
    </w:p>
    <w:p>
      <w:pPr>
        <w:pStyle w:val="DocBody"/>
      </w:pPr>
      <w:r>
        <w:rPr>
          <w:rFonts w:ascii="Times New Roman" w:hAnsi="Times New Roman" w:eastAsia="宋体"/>
          <w:sz w:val="24"/>
        </w:rPr>
        <w:t>Space situational awareness (SSA) The number of active satellites has increased from roughly 1,000 in 2014 to about 11,000 in 2025—a fgure that will likely rise to several tens of thousands in the next decade. In addition, the European Space Agency estimates that about 1.2 million pieces of debris larger than 1 cm in size are in orbit, many of which are dangerous to satellites and space stations.19 Some potential methods of tracking this ultrasmall debris by leveraging its electrical charge and the plasma environment of space have been proposed.20 Traditionally, military organizations such as the North American Aerospace Defense Command and the US Space Force (USSF) were responsible for tracking space objects. However, beginning in fall 2024,21 the US Department of Commerce’s Traffc Coordination System for Space (TraCSS) program began taking over civil and commercial SSA responsibilities from the Department of Defense. TraCSS provides basic SSA data and services to support the safety of civil and private spacefight operations.22 This transition was motivated by the fact that SSA is important to both the civil and commercial sectors and to both national and international actors, not only to the US defense sector. Furthermore, this tran­ sition will alleviate the burden on the USSF, allowing it to focus on national security priorities in space.</w:t>
      </w:r>
    </w:p>
    <w:p>
      <w:pPr>
        <w:pStyle w:val="DocBody"/>
      </w:pPr>
      <w:r>
        <w:rPr>
          <w:rFonts w:ascii="Times New Roman" w:hAnsi="Times New Roman" w:eastAsia="宋体"/>
          <w:sz w:val="24"/>
        </w:rPr>
        <w:t>Commercial players will be heavily involved in pro­ viding a more accurate and responsive space-traffc management system by improving ground track­ ing capabilities using radars and telescopes, and deploying satellites and payloads for more timely and responsive on-orbit surveillance.</w:t>
      </w:r>
    </w:p>
    <w:p>
      <w:pPr>
        <w:pStyle w:val="DocBody"/>
      </w:pPr>
      <w:r>
        <w:rPr>
          <w:rFonts w:ascii="Times New Roman" w:hAnsi="Times New Roman" w:eastAsia="宋体"/>
          <w:sz w:val="24"/>
        </w:rPr>
        <w:t>In­space servicing, assembly, and manufacturing (ISAM) Leadership, security, and sustainability in space require ISAM capabilities to approach, inspect, repair, refuel, or remove space assets without jeop­ ardizing the space environment.23 Spacecraft auton­ omy, in combination with rendezvous, proximity operations, and docking (RPOD), is a critical technol­ ogy for ISAM. RPOD refers to the ability of spacecraft to operate autonomously in combination with the ability to approach one another precisely and con­ duct close-up operations. Despite signifcant inter­ est, only a handful of missions have demonstrated early RPOD capabilities in orbit; these include recent successes achieved by Astroscale (using its ADRAS-J smallsat in LEO) and Northrop Grumman (via its larger MEV satellites in GEO).</w:t>
      </w:r>
    </w:p>
    <w:p>
      <w:pPr>
        <w:pStyle w:val="DocBody"/>
      </w:pPr>
      <w:r>
        <w:rPr>
          <w:rFonts w:ascii="Times New Roman" w:hAnsi="Times New Roman" w:eastAsia="宋体"/>
          <w:sz w:val="24"/>
        </w:rPr>
        <w:t>Exploration A critical limitation for space explora­ tion missions is travel time: Getting to the outer solar system can take ten years or more. As spacecraft fy ever farther from the Sun, they will need novel forms of power, such as sources driven by nuclear reactions, for the propulsive energy needed to make their missions possible.24 Better propulsion systems that can be quickly deployed will also be needed to intercept interstellar objects so that samples can be collected from them.</w:t>
      </w:r>
    </w:p>
    <w:p>
      <w:pPr>
        <w:pStyle w:val="DocBody"/>
      </w:pPr>
      <w:r>
        <w:rPr>
          <w:rFonts w:ascii="Times New Roman" w:hAnsi="Times New Roman" w:eastAsia="宋体"/>
          <w:sz w:val="24"/>
        </w:rPr>
        <w:t>On­demand space exploration missions Today, it takes a very long time to prepare for exploration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10  SPACE</w:t>
      </w:r>
    </w:p>
    <w:p>
      <w:pPr>
        <w:pStyle w:val="DocBody"/>
      </w:pPr>
      <w:r>
        <w:rPr>
          <w:rFonts w:ascii="Times New Roman" w:hAnsi="Times New Roman" w:eastAsia="宋体"/>
          <w:sz w:val="24"/>
        </w:rPr>
        <w:t>missions, which means that targets of opportunity that suddenly appear cannot be visited by such missions. An on-demand capability would enable the close-up investigation of suddenly appearing targets such as the Oumuamua interstellar object, which passed through the solar system in 2017.</w:t>
      </w:r>
    </w:p>
    <w:p>
      <w:pPr>
        <w:pStyle w:val="DocBody"/>
      </w:pPr>
      <w:r>
        <w:rPr>
          <w:rFonts w:ascii="Times New Roman" w:hAnsi="Times New Roman" w:eastAsia="宋体"/>
          <w:sz w:val="24"/>
        </w:rPr>
        <w:t>Undertaking such a mission requires that a space­ craft can be made ready for launch shortly after the target is identifed. Because such targets are likely to originate outside our solar system, the scien­ tifc return from bringing back a sample would be enormous.</w:t>
      </w:r>
    </w:p>
    <w:p>
      <w:pPr>
        <w:pStyle w:val="DocBody"/>
      </w:pPr>
      <w:r>
        <w:rPr>
          <w:rFonts w:ascii="Times New Roman" w:hAnsi="Times New Roman" w:eastAsia="宋体"/>
          <w:sz w:val="24"/>
        </w:rPr>
        <w:t>Policy Issues Shift in US Executive Branch Priorities The Trump administration has been reformulating national space priorities. While the current and pro­ posed budgets for the domain aim to bolster human exploration to the Moon and Mars, they have also imposed signifcant cuts to numerous ongoing and planned scientifc missions related to interplanetary exploration, aviation, and space science. These cuts have led to an outfow of talent from NASA, with the loss of four thousand employees (a ffth of the work­ force) already.25 Similar budget cuts have been made to the National Science Foundation, Department of Energy, and other space-adjacent federal agencies.</w:t>
      </w:r>
    </w:p>
    <w:p>
      <w:pPr>
        <w:pStyle w:val="DocBody"/>
      </w:pPr>
      <w:r>
        <w:rPr>
          <w:rFonts w:ascii="Times New Roman" w:hAnsi="Times New Roman" w:eastAsia="宋体"/>
          <w:sz w:val="24"/>
        </w:rPr>
        <w:t>These cuts have a large impact not only on aca­ demic research and development, but also on pri­ vate companies, which receive a large amount of federal funding to serve as contractors for govern­ ment space programs. These policies may put the United States at a competitive disadvantage relative to China and other global powers.</w:t>
      </w:r>
    </w:p>
    <w:p>
      <w:pPr>
        <w:pStyle w:val="DocBody"/>
      </w:pPr>
      <w:r>
        <w:rPr>
          <w:rFonts w:ascii="Times New Roman" w:hAnsi="Times New Roman" w:eastAsia="宋体"/>
          <w:sz w:val="24"/>
        </w:rPr>
        <w:t>The Grand Challenge of Sustainability Sustainability encompasses both terrestrial sustain­ ability enabled by space and the sustainability of humankind’s use of space.</w:t>
      </w:r>
    </w:p>
    <w:p>
      <w:pPr>
        <w:pStyle w:val="DocBody"/>
      </w:pPr>
      <w:r>
        <w:rPr>
          <w:rFonts w:ascii="Times New Roman" w:hAnsi="Times New Roman" w:eastAsia="宋体"/>
          <w:sz w:val="24"/>
        </w:rPr>
        <w:t>Sustainability enabled by space incorporates ° several of the technologies described above: for example, creating Earth’s digital twin for disas­ ter prevention and management, which requires integrating data from industry, government, and academia with advanced machine learning tech­ niques. Space-based solar power and resource extraction from the Moon and other celestial bodies, among other facets, illustrate the poten­ tial here.</w:t>
      </w:r>
    </w:p>
    <w:p>
      <w:pPr>
        <w:pStyle w:val="DocBody"/>
      </w:pPr>
      <w:r>
        <w:rPr>
          <w:rFonts w:ascii="Times New Roman" w:hAnsi="Times New Roman" w:eastAsia="宋体"/>
          <w:sz w:val="24"/>
        </w:rPr>
        <w:t>Sustainability of space aims to create a circu­ ° lar, equitable space economy. Unlike Earth’s organized transportation systems (which include traffc laws and gas stations), space lacks similar infrastructure. Addressing this requires making space assets reusable, establishing orbital ser­ vices, managing debris, and quantifying orbital capacity. Space traffc management is essential to handle the increasing number of assets around the Earth and Moon. Developing guidelines for fair and safe orbital behavior—which don’t cur­ rently exist—is essential.</w:t>
      </w:r>
    </w:p>
    <w:p>
      <w:pPr>
        <w:pStyle w:val="DocBody"/>
      </w:pPr>
      <w:r>
        <w:rPr>
          <w:rFonts w:ascii="Times New Roman" w:hAnsi="Times New Roman" w:eastAsia="宋体"/>
          <w:sz w:val="24"/>
        </w:rPr>
        <w:t>The world ultimately faces a spacefight sustainabil­ ity paradox: The growing use of space to support sustainability and security on Earth will lead to more adverse impacts on the space environment itself.</w:t>
      </w:r>
    </w:p>
    <w:p>
      <w:pPr>
        <w:pStyle w:val="DocBody"/>
      </w:pPr>
      <w:r>
        <w:rPr>
          <w:rFonts w:ascii="Times New Roman" w:hAnsi="Times New Roman" w:eastAsia="宋体"/>
          <w:sz w:val="24"/>
        </w:rPr>
        <w:t>For example, multiple constellations of remote sens­ ing satellites will contribute to greater space traffc challenges. Managing this complex issue will require advances in both policy and technology.</w:t>
      </w:r>
    </w:p>
    <w:p>
      <w:pPr>
        <w:pStyle w:val="DocBody"/>
      </w:pPr>
      <w:r>
        <w:rPr>
          <w:rFonts w:ascii="Times New Roman" w:hAnsi="Times New Roman" w:eastAsia="宋体"/>
          <w:sz w:val="24"/>
        </w:rPr>
        <w:t>Triple-Helix Innovation Collaborative efforts between academia and indus­ try often focus on technology commercialization and real-world demonstrations, frequently supported by governments. This cooperative model, known as triple-helix innovation, combines academia, indus­ try, and government. Notable examples include the proposed $2 billion Berkeley Space Center collaboration with NASA’s Ames Research Center and Stanford University’s Center for AEroSpace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10.5  The number of tracked space objects larger than 10 centimeters has grown rapidly 30,000 28,000 26,000 Number of objects in Earth orbit 24,000 22,000 20,000 18,000 16,000 14,000 12,000 10,000 8,000 6,000 4,000 2,000 Total objects Fragmentation debris Spacecraft Mission-related debris Rocket bodies Source: Adapted from Orbital Debris Quarterly News 28, no. 3 (July 2024): 10 Autonomy Research (CAESAR), which focuses on AI-driven autonomy with Blue Origin, Redwire, and government agencies.</w:t>
      </w:r>
    </w:p>
    <w:p>
      <w:pPr>
        <w:pStyle w:val="DocBody"/>
      </w:pPr>
      <w:r>
        <w:rPr>
          <w:rFonts w:ascii="Times New Roman" w:hAnsi="Times New Roman" w:eastAsia="宋体"/>
          <w:sz w:val="24"/>
        </w:rPr>
        <w:t>Space Governance International and national space governance has not developed at the same rapid pace as space tech­ nology. Existing legal frameworks—many of which are products of the Cold War—do not address wide swaths of current activities and are often contested in scope and interpretation.26 Attempts at improve­ ment have often stagnated due to differing geopolit­ ical aims. Even within the United States, space assets are not designated as critical infrastructure by the government despite their importance, and growth in space activity far outpaces the capabilities of cur­ rent licensing processes run by the Federal Aviation Administration and the Federal Communications Commission (FCC).</w:t>
      </w:r>
    </w:p>
    <w:p>
      <w:pPr>
        <w:pStyle w:val="DocBody"/>
      </w:pPr>
      <w:r>
        <w:rPr>
          <w:rFonts w:ascii="Times New Roman" w:hAnsi="Times New Roman" w:eastAsia="宋体"/>
          <w:sz w:val="24"/>
        </w:rPr>
        <w:t>Nonetheless, a number of developments in the past couple of years are notable. NASA released its strat­ egy, including actionable objectives, for sustainability in space activities in Earth orbit.27 It also promised to release similar strategies in the future for activities on Earth; for the orbital area near and around the Moon known as cislunar space; and for deep space, includ­ ing other celestial bodies. In addition, the FCC issued its frst-ever fne for a satellite not properly disposed of from geostationary orbit.28 These short-term policy advances must be unifed with a longer-term vision encompassing the next ffty to one hundred years to effectively address national security needs, support the space industry’s continued development, and real­ ize the responsible use of space as a global commons.</w:t>
      </w:r>
    </w:p>
    <w:p>
      <w:pPr>
        <w:pStyle w:val="DocBody"/>
      </w:pPr>
      <w:r>
        <w:rPr>
          <w:rFonts w:ascii="Times New Roman" w:hAnsi="Times New Roman" w:eastAsia="宋体"/>
          <w:sz w:val="24"/>
        </w:rPr>
        <w:t>Maintaining Space Access The number of objects in space has grown rapidly.</w:t>
      </w:r>
    </w:p>
    <w:p>
      <w:pPr>
        <w:pStyle w:val="DocBody"/>
      </w:pPr>
      <w:r>
        <w:rPr>
          <w:rFonts w:ascii="Times New Roman" w:hAnsi="Times New Roman" w:eastAsia="宋体"/>
          <w:sz w:val="24"/>
        </w:rPr>
        <w:t>Figure 10.5 shows the total number of tracked space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10  SPACE</w:t>
      </w:r>
    </w:p>
    <w:p>
      <w:pPr>
        <w:pStyle w:val="DocBody"/>
      </w:pPr>
      <w:r>
        <w:rPr>
          <w:rFonts w:ascii="Times New Roman" w:hAnsi="Times New Roman" w:eastAsia="宋体"/>
          <w:sz w:val="24"/>
        </w:rPr>
        <w:t>While prestige remains a factor, the current [Moon] race focuses on establishing a lunar presence for strategic and economic advantages.</w:t>
      </w:r>
    </w:p>
    <w:p>
      <w:pPr>
        <w:pStyle w:val="DocBody"/>
      </w:pPr>
      <w:r>
        <w:rPr>
          <w:rFonts w:ascii="Times New Roman" w:hAnsi="Times New Roman" w:eastAsia="宋体"/>
          <w:sz w:val="24"/>
        </w:rPr>
        <w:t>objects larger than 10 cm since 1959. Today, there are nearly 30,000 such objects, about 10,000 of which are working satellites. There are also an esti­ mated 1.1 million fragments between 1 and 10 cm in size.29 With so many objects in space, the risks of collision between them are growing. Each collision has the capacity to create even more debris, leading to a catastrophic chain reaction known as the Kessler syndrome, which would effectively block access to space. In addition, increasing volumes of space traf­ fc (future mega-constellations will consist of tens of thousands of satellites) may lead to communications interference, and coordination of space activities such as orbit planning will be increasingly diffcult to manage.</w:t>
      </w:r>
    </w:p>
    <w:p>
      <w:pPr>
        <w:pStyle w:val="DocBody"/>
      </w:pPr>
      <w:r>
        <w:rPr>
          <w:rFonts w:ascii="Times New Roman" w:hAnsi="Times New Roman" w:eastAsia="宋体"/>
          <w:sz w:val="24"/>
        </w:rPr>
        <w:t>To tackle this issue, new domestic safety legislation and international cooperation will be needed for accurate tracking of space objects, facilitating the use of automated collision-avoidance systems, and removing debris from orbit. Similarly, more consis­ tent guidelines will be needed to govern behavior in space, how space operations are conducted, and the sharing of data for situational awareness. Transparency and coordination among all players will be key, and the United States is in a good position to take a lead­ ing role among like-minded nations in advocating for these kinds of changes in space access.</w:t>
      </w:r>
    </w:p>
    <w:p>
      <w:pPr>
        <w:pStyle w:val="DocBody"/>
      </w:pPr>
      <w:r>
        <w:rPr>
          <w:rFonts w:ascii="Times New Roman" w:hAnsi="Times New Roman" w:eastAsia="宋体"/>
          <w:sz w:val="24"/>
        </w:rPr>
        <w:t>Geopolitics, Security, and Confict in Space Many issues arise with respect to space and geo­ politics. A key example is the Outer Space Treaty (OST), which entered into force in 1967; today, 117 countries are parties to the treaty, and 22 more have signed but not ratifed it. Among other things, the treaty prohibits the placement of nuclear weap­ ons or other weapons of mass destruction in space.</w:t>
      </w:r>
    </w:p>
    <w:p>
      <w:pPr>
        <w:pStyle w:val="DocBody"/>
      </w:pPr>
      <w:r>
        <w:rPr>
          <w:rFonts w:ascii="Times New Roman" w:hAnsi="Times New Roman" w:eastAsia="宋体"/>
          <w:sz w:val="24"/>
        </w:rPr>
        <w:t>Recent evidence suggests the OST’s norms are erod­ ing. In 2024 Russia vetoed a United Nations resolu­ tion prohibiting the deployment of nuclear weapons in space, despite being a party to the OST; senior US offcials revealed that they believe Russia is devel­ oping a satellite to carry nuclear weapons into LEO, where a detonation could destroy all satellite activity there for up to a year.30 In addition, there is no treaty, OST or otherwise, that limits other military uses of space, including the placement of conventional weapons in orbit.</w:t>
      </w:r>
    </w:p>
    <w:p>
      <w:pPr>
        <w:pStyle w:val="DocBody"/>
      </w:pPr>
      <w:r>
        <w:rPr>
          <w:rFonts w:ascii="Times New Roman" w:hAnsi="Times New Roman" w:eastAsia="宋体"/>
          <w:sz w:val="24"/>
        </w:rPr>
        <w:t>A second issue relates to nonnuclear anti-satellite weaponry and capabilities. To date, four nations— China, Russia, India, and the United States—have successfully tested kinetic anti-satellite weapons capable of physically destroying satellites in space.</w:t>
      </w:r>
    </w:p>
    <w:p>
      <w:pPr>
        <w:pStyle w:val="DocBody"/>
      </w:pPr>
      <w:r>
        <w:rPr>
          <w:rFonts w:ascii="Times New Roman" w:hAnsi="Times New Roman" w:eastAsia="宋体"/>
          <w:sz w:val="24"/>
        </w:rPr>
        <w:t>(Every such test has produced a signifcant amount of space debris.) More broadly, countries are devel­ oping a range of capabilities, from the ground and in space, to degrade, deny, and even destroy satel­ lites of other nations. Cyberattacks are an important element of the non-kinetic threat spectrum against space missions, which can lead to data corruption, jamming, and hijacking of space intelligence provid­ ers and customers.31 A third issue involves various national efforts to reach the Moon. To facilitate an orderly and peace­ ful exploitation of the Moon’s resources that is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consistent with the OST, NASA and its partners have also proposed the Artemis Accords, which defne “principles for cooperation in the civil exploration and use of the Moon, Mars, comets and asteroids for peaceful purposes.”32 So far, forty-three nations have signed the accords—but notably not Russia or China, which are among the parties seeking to establish a permanent Moon presence.</w:t>
      </w:r>
    </w:p>
    <w:p>
      <w:pPr>
        <w:pStyle w:val="DocBody"/>
      </w:pPr>
      <w:r>
        <w:rPr>
          <w:rFonts w:ascii="Times New Roman" w:hAnsi="Times New Roman" w:eastAsia="宋体"/>
          <w:sz w:val="24"/>
        </w:rPr>
        <w:t>Nations today are engaged in a new “race to the Moon,” though with different motivations than in the 1960s. While prestige remains a factor, the cur­ rent race focuses on establishing a lunar presence for strategic and economic advantages. The frst nation to establish a lunar presence successfully may well gain a frst-mover advantage that enables it to be in a stronger position to set the terms for others to come. Although the OST prohibits claiming lunar sovereignty, there are concerns that nations might disregard this for national interests.33 The possibility of a nation taking military action to prevent others from establishing their own lunar presence highlights the potential for confict in this new space race.</w:t>
      </w:r>
    </w:p>
    <w:p>
      <w:pPr>
        <w:pStyle w:val="DocBody"/>
      </w:pPr>
      <w:r>
        <w:rPr>
          <w:rFonts w:ascii="Times New Roman" w:hAnsi="Times New Roman" w:eastAsia="宋体"/>
          <w:sz w:val="24"/>
        </w:rPr>
        <w:t>Finally, in the past couple of years, the rise of the private sector’s importance in providing capabili­ ties for rapid space launch and space-based com­ munications has been dominated by SpaceX and Starlink, which are owned by the same person. In 2022, the CEO of Starlink, which Ukrainian military forces relied on for communications, denied its use to conduct military operations around Sevastopol, in Crimea—thus directly interfering with the execu­ tion of Ukrainian battle plans.34 In September 2024, NASA turned to SpaceX to return to Earth two US astronauts left on the ISS when their Boeing-built Starliner spacecraft experienced operational failures and was brought to Earth without them.</w:t>
      </w:r>
    </w:p>
    <w:p>
      <w:pPr>
        <w:pStyle w:val="DocBody"/>
      </w:pPr>
      <w:r>
        <w:rPr>
          <w:rFonts w:ascii="Times New Roman" w:hAnsi="Times New Roman" w:eastAsia="宋体"/>
          <w:sz w:val="24"/>
        </w:rPr>
        <w:t>Such incidents demonstrate the extreme depen­ dence of the US government on capabilities pro­ vided by a very limited number of companies and raise important policy questions of how to ensure that US space efforts can continue in accordance with US national interests.</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“Next in Space 2025,” PwC, April 3, 2025, https://www.pwc.com /us/en/industries/industrial-products/library/space-industry -trends.html.</w:t>
      </w:r>
    </w:p>
    <w:p>
      <w:pPr>
        <w:pStyle w:val="DocBody"/>
        <w:ind w:left="765"/>
      </w:pPr>
      <w:r>
        <w:rPr>
          <w:rFonts w:ascii="Times New Roman" w:hAnsi="Times New Roman" w:eastAsia="宋体"/>
          <w:sz w:val="24"/>
        </w:rPr>
        <w:t>Space Economy Report, 11th ed., NovaSpace, 2025, https:// nova.space/hub/product/space-economy-report/.</w:t>
      </w:r>
    </w:p>
    <w:p>
      <w:pPr>
        <w:pStyle w:val="DocBody"/>
        <w:ind w:left="765"/>
      </w:pPr>
      <w:r>
        <w:rPr>
          <w:rFonts w:ascii="Times New Roman" w:hAnsi="Times New Roman" w:eastAsia="宋体"/>
          <w:sz w:val="24"/>
        </w:rPr>
        <w:t>Government Space Programs, 24th ed., NovaSpace, 2025, https://nova.space/hub/product/government-space-programs/.</w:t>
      </w:r>
    </w:p>
    <w:p>
      <w:pPr>
        <w:pStyle w:val="DocBody"/>
        <w:ind w:left="765"/>
      </w:pPr>
      <w:r>
        <w:rPr>
          <w:rFonts w:ascii="Times New Roman" w:hAnsi="Times New Roman" w:eastAsia="宋体"/>
          <w:sz w:val="24"/>
        </w:rPr>
        <w:t>Highlights of the 2024 Space Economy, NovaSpace, 2025, https://nova.space/in-the-loop/highlights-of-the-2024-space -economy/.</w:t>
      </w:r>
    </w:p>
    <w:p>
      <w:pPr>
        <w:pStyle w:val="DocBody"/>
        <w:ind w:left="765"/>
      </w:pPr>
      <w:r>
        <w:rPr>
          <w:rFonts w:ascii="Times New Roman" w:hAnsi="Times New Roman" w:eastAsia="宋体"/>
          <w:sz w:val="24"/>
        </w:rPr>
        <w:t>“2024 Rocket Launch Recap,” RocketLaunch.org, accessed July 5, 2025, https://rocketlaunch.org/rocket-launch-recap/2024.</w:t>
      </w:r>
    </w:p>
    <w:p>
      <w:pPr>
        <w:pStyle w:val="DocBody"/>
        <w:ind w:left="765"/>
      </w:pPr>
      <w:r>
        <w:rPr>
          <w:rFonts w:ascii="Times New Roman" w:hAnsi="Times New Roman" w:eastAsia="宋体"/>
          <w:sz w:val="24"/>
        </w:rPr>
        <w:t>Stevan M. Spremo, Alan R. Crocker, and Tina L. Panontin, Small Spacecraft Overview, NASA Technical Reports Server, May 15, 2017, https://ntrs.nasa.gov/api/citations/20190031730.</w:t>
      </w:r>
    </w:p>
    <w:p>
      <w:pPr>
        <w:pStyle w:val="DocBody"/>
        <w:ind w:left="765"/>
      </w:pPr>
      <w:r>
        <w:rPr>
          <w:rFonts w:ascii="Times New Roman" w:hAnsi="Times New Roman" w:eastAsia="宋体"/>
          <w:sz w:val="24"/>
        </w:rPr>
        <w:t>Anuja Bhargava, Ashish Sachdeva, Kulbushan Sharma, Moham­ med H. Alsharif, Peerapong Uthansakul, and Monthippa Uthan­ sakul, “Hyperspectral Imaging and Its Applications: A Review,”</w:t>
      </w:r>
    </w:p>
    <w:p>
      <w:pPr>
        <w:pStyle w:val="DocBody"/>
      </w:pPr>
      <w:r>
        <w:rPr>
          <w:rFonts w:ascii="Times New Roman" w:hAnsi="Times New Roman" w:eastAsia="宋体"/>
          <w:sz w:val="24"/>
        </w:rPr>
        <w:t>Heliyon 10, no. 12 (2024): e33208, https://doi.org/10.1016/j .heliyon.2024.e33208.</w:t>
      </w:r>
    </w:p>
    <w:p>
      <w:pPr>
        <w:pStyle w:val="DocBody"/>
        <w:ind w:left="765"/>
      </w:pPr>
      <w:r>
        <w:rPr>
          <w:rFonts w:ascii="Times New Roman" w:hAnsi="Times New Roman" w:eastAsia="宋体"/>
          <w:sz w:val="24"/>
        </w:rPr>
        <w:t>Kelsey Herndon, Franz Meyer, Africa Flores, Emil Cherrington, and Leah Kucera, “What Is Synthetic Aperture Radar?,” NASA Earthdata, accessed September 13, 2024, https://www.earthdata .nasa.gov/learn/backgrounders/what-is-sar.</w:t>
      </w:r>
    </w:p>
    <w:p>
      <w:pPr>
        <w:pStyle w:val="DocBody"/>
        <w:ind w:left="765"/>
      </w:pPr>
      <w:r>
        <w:rPr>
          <w:rFonts w:ascii="Times New Roman" w:hAnsi="Times New Roman" w:eastAsia="宋体"/>
          <w:sz w:val="24"/>
        </w:rPr>
        <w:t>J. Wickert, T. Schmidt, M. Schmidt, L. Sanchez, and M. Sehnal, “GNSS Radio Occultation,” Global Geodetic Observing System, accessed September 13, 2024, https://ggos.org/item/gnss-radio -occultation/.</w:t>
      </w:r>
    </w:p>
    <w:p>
      <w:pPr>
        <w:pStyle w:val="DocBody"/>
        <w:ind w:left="765"/>
      </w:pPr>
      <w:r>
        <w:rPr>
          <w:rFonts w:ascii="Times New Roman" w:hAnsi="Times New Roman" w:eastAsia="宋体"/>
          <w:sz w:val="24"/>
        </w:rPr>
        <w:t>Ryan Brukardt, “How Will the Space Economy Change the World?,” McKinsey &amp; Company, November 28, 2022, https://www .mckinsey.com/industries/aerospace-and-defense/our-insights /how-will-the-space-economy-change-the-world.</w:t>
      </w:r>
    </w:p>
    <w:p>
      <w:pPr>
        <w:pStyle w:val="DocBody"/>
        <w:ind w:left="765"/>
      </w:pPr>
      <w:r>
        <w:rPr>
          <w:rFonts w:ascii="Times New Roman" w:hAnsi="Times New Roman" w:eastAsia="宋体"/>
          <w:sz w:val="24"/>
        </w:rPr>
        <w:t>Citi GPS, “Space: The Dawn of a New Age,” Citi, May 9, 2022, https://www.citigroup.com/global/insights/space_20220509.</w:t>
      </w:r>
    </w:p>
    <w:p>
      <w:pPr>
        <w:pStyle w:val="DocBody"/>
        <w:ind w:left="765"/>
      </w:pPr>
      <w:r>
        <w:rPr>
          <w:rFonts w:ascii="Times New Roman" w:hAnsi="Times New Roman" w:eastAsia="宋体"/>
          <w:sz w:val="24"/>
        </w:rPr>
        <w:t>“Blue Origin’s New Glenn Reaches Orbit,” Blue Origin, Jan­ uary 16, 2025, https://www.blueorigin.com/news/new-glenn-ng-1 -mission.</w:t>
      </w:r>
    </w:p>
    <w:p>
      <w:pPr>
        <w:pStyle w:val="DocBody"/>
        <w:ind w:left="765"/>
      </w:pPr>
      <w:r>
        <w:rPr>
          <w:rFonts w:ascii="Times New Roman" w:hAnsi="Times New Roman" w:eastAsia="宋体"/>
          <w:sz w:val="24"/>
        </w:rPr>
        <w:t>Geoff Brumfel, “Trump Wants a Golden Dome over Amer­ ica. Here’s What It Would Take,” NPR, April 22, 2025, https://www .npr.org/2025/04/22/g-s1-61658/trump-golden-dome-america -iron-military-defense.</w:t>
      </w:r>
    </w:p>
    <w:p>
      <w:pPr>
        <w:pStyle w:val="DocBody"/>
        <w:ind w:left="765"/>
      </w:pPr>
      <w:r>
        <w:rPr>
          <w:rFonts w:ascii="Times New Roman" w:hAnsi="Times New Roman" w:eastAsia="宋体"/>
          <w:sz w:val="24"/>
        </w:rPr>
        <w:t>The landing was a mixed success. “Intuitive Machines Calls Moon Mission a Success Despite Soft Crash Landing,” Space &amp; Defense, February 26, 2024, https://spaceanddefense.io/intuitive-machines -calls-moon-mission-a-success-despite-soft-crash-landing/.</w:t>
      </w:r>
    </w:p>
    <w:p>
      <w:pPr>
        <w:pStyle w:val="DocBody"/>
        <w:ind w:left="765"/>
      </w:pPr>
      <w:r>
        <w:rPr>
          <w:rFonts w:ascii="Times New Roman" w:hAnsi="Times New Roman" w:eastAsia="宋体"/>
          <w:sz w:val="24"/>
        </w:rPr>
        <w:t>“Artemis Plan: NASA’s Lunar Exploration Program Over­ view,” NASA, September 2020, https://www.nasa.gov/wp-content /upaloads/2020/12/artemis_plan-20200921.pdf?emrc=f43185.</w:t>
      </w:r>
    </w:p>
    <w:p>
      <w:pPr>
        <w:pStyle w:val="DocBody"/>
        <w:ind w:left="765"/>
      </w:pPr>
      <w:r>
        <w:rPr>
          <w:rFonts w:ascii="Times New Roman" w:hAnsi="Times New Roman" w:eastAsia="宋体"/>
          <w:sz w:val="24"/>
        </w:rPr>
        <w:t>Ames Research Center, “State-of-the-Art Small Spacecraft Technology,” National Aeronautics and Space Administration, February 2024, https://www.nasa.gov/smallsat-institute/sst-soa/.</w:t>
      </w:r>
    </w:p>
    <w:p>
      <w:pPr>
        <w:pStyle w:val="DocBody"/>
        <w:ind w:left="765"/>
      </w:pPr>
      <w:r>
        <w:rPr>
          <w:rFonts w:ascii="Times New Roman" w:hAnsi="Times New Roman" w:eastAsia="宋体"/>
          <w:sz w:val="24"/>
        </w:rPr>
        <w:t>Justin Kruger, Simone D’Amico, and Soon S. Hwang, “Star­ ling Formation-Flying Optical Experiment: Initial Operations and Flight Results,” paper presented at the 38th Small Satellite Con­ ference, Logan, UT, August 8, 2024, https://digitalcommons.usu .edu/smallsat/2024/all2024/130/.</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10  SPACE</w:t>
      </w:r>
    </w:p>
    <w:p>
      <w:pPr>
        <w:pStyle w:val="DocBody"/>
        <w:ind w:left="765"/>
      </w:pPr>
      <w:r>
        <w:rPr>
          <w:rFonts w:ascii="Times New Roman" w:hAnsi="Times New Roman" w:eastAsia="宋体"/>
          <w:sz w:val="24"/>
        </w:rPr>
        <w:t>“In a First, Caltech’s Space Solar Power Demonstrator Wire­ lessly Transmits Power in Space,” California Institute of Tech­ nology, June 1, 2023, https://www.caltech.edu/about/news /in-a-first-caltechs-space-solar-power-demonstrator-wirelessly -transmits-power-in-space.</w:t>
      </w:r>
    </w:p>
    <w:p>
      <w:pPr>
        <w:pStyle w:val="DocBody"/>
        <w:ind w:left="765"/>
      </w:pPr>
      <w:r>
        <w:rPr>
          <w:rFonts w:ascii="Times New Roman" w:hAnsi="Times New Roman" w:eastAsia="宋体"/>
          <w:sz w:val="24"/>
        </w:rPr>
        <w:t>“ESA Space Environment Report 2025,” European Space Agency, January 4, 2025, https://www.esa.int/Space_Safety /Space_Debris/ESA_Space_Environment_Report_2025.</w:t>
      </w:r>
    </w:p>
    <w:p>
      <w:pPr>
        <w:pStyle w:val="DocBody"/>
        <w:ind w:left="765"/>
      </w:pPr>
      <w:r>
        <w:rPr>
          <w:rFonts w:ascii="Times New Roman" w:hAnsi="Times New Roman" w:eastAsia="宋体"/>
          <w:sz w:val="24"/>
        </w:rPr>
        <w:t>Abhijit Sen, Rupak Mukherjee, Sharad K. Yadav, Chris Crab- tree, and Gurudas Ganguli, “Electromagnetic Pinned Solutions for Space Debris Detection,” Physics of Plasmas 30, no. 1 (2023):</w:t>
      </w:r>
    </w:p>
    <w:p>
      <w:pPr>
        <w:pStyle w:val="DocBody"/>
      </w:pPr>
      <w:r>
        <w:rPr>
          <w:rFonts w:ascii="Times New Roman" w:hAnsi="Times New Roman" w:eastAsia="宋体"/>
          <w:sz w:val="24"/>
        </w:rPr>
        <w:t>012301, https://doi.org/10.1063/5.0099201.</w:t>
      </w:r>
    </w:p>
    <w:p>
      <w:pPr>
        <w:pStyle w:val="DocBody"/>
        <w:ind w:left="765"/>
      </w:pPr>
      <w:r>
        <w:rPr>
          <w:rFonts w:ascii="Times New Roman" w:hAnsi="Times New Roman" w:eastAsia="宋体"/>
          <w:sz w:val="24"/>
        </w:rPr>
        <w:t>“Space Commerce Highlights,” Offce of Space Com­ merce, US Department of Commerce, September 2024, https:// space.commerce.gov/wp-content/uploads/Space-Commerce -Highlights-OSC-Newsletter-September-2024.pdf.</w:t>
      </w:r>
    </w:p>
    <w:p>
      <w:pPr>
        <w:pStyle w:val="DocBody"/>
        <w:ind w:left="765"/>
      </w:pPr>
      <w:r>
        <w:rPr>
          <w:rFonts w:ascii="Times New Roman" w:hAnsi="Times New Roman" w:eastAsia="宋体"/>
          <w:sz w:val="24"/>
        </w:rPr>
        <w:t>Traffc Coordination System for Space (TraCSS), Offce of Space Commerce, Department of Commerce, September 2024, https:// space.commerce.gov/traffc-coordination-system-for-space-tracss/.</w:t>
      </w:r>
    </w:p>
    <w:p>
      <w:pPr>
        <w:pStyle w:val="DocBody"/>
        <w:ind w:left="765"/>
      </w:pPr>
      <w:r>
        <w:rPr>
          <w:rFonts w:ascii="Times New Roman" w:hAnsi="Times New Roman" w:eastAsia="宋体"/>
          <w:sz w:val="24"/>
        </w:rPr>
        <w:t>“White House Offce of Science and Technology Policy Unveils National In-Space Servicing, Assembly, and Manufac­ turing (ISAM) Implementation Plan,” news release, The White House, December 16, 2022, https://www.whitehouse.gov/ostp /news-updates/2022/12/16/white-house-office-of-science-and -technology-policy-unveils-national-in-space-servicing-assembly -and-manufacturing-isam-implementation-plan.</w:t>
      </w:r>
    </w:p>
    <w:p>
      <w:pPr>
        <w:pStyle w:val="DocBody"/>
        <w:ind w:left="765"/>
      </w:pPr>
      <w:r>
        <w:rPr>
          <w:rFonts w:ascii="Times New Roman" w:hAnsi="Times New Roman" w:eastAsia="宋体"/>
          <w:sz w:val="24"/>
        </w:rPr>
        <w:t>Beth Ridgeway, ed., “Space Nuclear Propulsion,” NASA, last modifed August 19, 2024, https://www.nasa.gov/tdm/space -nuclear-propulsion.</w:t>
      </w:r>
    </w:p>
    <w:p>
      <w:pPr>
        <w:pStyle w:val="DocBody"/>
        <w:ind w:left="765"/>
      </w:pPr>
      <w:r>
        <w:rPr>
          <w:rFonts w:ascii="Times New Roman" w:hAnsi="Times New Roman" w:eastAsia="宋体"/>
          <w:sz w:val="24"/>
        </w:rPr>
        <w:t>Mike Wall, “NASA Losing Nearly 4,000 Employees to Trump Administration’s ‘Deferred Resignation’ Program,” Space.com, July 25, 2025, https://www.space.com/space-exploration/nasa-losing -nearly-4-000-employees-to-trump-administrations-deferred -resignation-program.</w:t>
      </w:r>
    </w:p>
    <w:p>
      <w:pPr>
        <w:pStyle w:val="DocBody"/>
        <w:ind w:left="765"/>
      </w:pPr>
      <w:r>
        <w:rPr>
          <w:rFonts w:ascii="Times New Roman" w:hAnsi="Times New Roman" w:eastAsia="宋体"/>
          <w:sz w:val="24"/>
        </w:rPr>
        <w:t>Sophie Goguichvili, Alan Linenberger, Amber Gillette, and Alexandra Novak, “The Global Legal Landscape of Space: Who Writes the Rules on the Final Frontier?,” Wilson Center, October 1, 2021, https://www.wilsoncenter.org/article/global-legal-landscape -space-who-writes-rules-fnal-frontier.</w:t>
      </w:r>
    </w:p>
    <w:p>
      <w:pPr>
        <w:pStyle w:val="DocBody"/>
        <w:ind w:left="765"/>
      </w:pPr>
      <w:r>
        <w:rPr>
          <w:rFonts w:ascii="Times New Roman" w:hAnsi="Times New Roman" w:eastAsia="宋体"/>
          <w:sz w:val="24"/>
        </w:rPr>
        <w:t>“NASA’s Space Sustainability Strategy: Volume 1: Earth Orbit,” NASA, April 9, 2024, https://www.nasa.gov/wp-content /uploads/2024/04/nasa-space-sustainability-strategy-march-20 -2024-tagged3.pdf.</w:t>
      </w:r>
    </w:p>
    <w:p>
      <w:pPr>
        <w:pStyle w:val="DocBody"/>
        <w:ind w:left="765"/>
      </w:pPr>
      <w:r>
        <w:rPr>
          <w:rFonts w:ascii="Times New Roman" w:hAnsi="Times New Roman" w:eastAsia="宋体"/>
          <w:sz w:val="24"/>
        </w:rPr>
        <w:t>“FCC Takes First Space Debris Enforcement Action,” news release, Space Bureau, Enforcement Bureau, and Media Rela­ tions Bureau, Federal Communications Commission, October 2, 2023, https://www.fcc.gov/document/fcc-takes-frst-space-debris -enforcement-action.</w:t>
      </w:r>
    </w:p>
    <w:p>
      <w:pPr>
        <w:pStyle w:val="DocBody"/>
        <w:ind w:left="765"/>
      </w:pPr>
      <w:r>
        <w:rPr>
          <w:rFonts w:ascii="Times New Roman" w:hAnsi="Times New Roman" w:eastAsia="宋体"/>
          <w:sz w:val="24"/>
        </w:rPr>
        <w:t>“Space Debris by the Numbers,” Space Debris Offce, Euro­ pean Space Agency, last modifed August 15, 2024, https://www.esa .int/Space_Safety/Space_Debris/Space_debris_by_the_numbers.</w:t>
      </w:r>
    </w:p>
    <w:p>
      <w:pPr>
        <w:pStyle w:val="DocBody"/>
        <w:ind w:left="765"/>
      </w:pPr>
      <w:r>
        <w:rPr>
          <w:rFonts w:ascii="Times New Roman" w:hAnsi="Times New Roman" w:eastAsia="宋体"/>
          <w:sz w:val="24"/>
        </w:rPr>
        <w:t>Audrey Decker, “Russian Space Nuke Could Render Low-Earth Orbit Unusable for a Year, US Offcial Says,” Defense One, May 1, 2024, https://www.defenseone.com/threats/2024/05/russian-space -nuke-could-render-low-earth-orbit-unusable-year-us-official -says/396245/; Robert Wood, “Remarks at a UN General Assem­ bly Meeting on Russia’s Veto of the U.S. and Japan-drafted UNSC Resolution on Preventing Nuclear Weapons in Outer Space,” US Mission to the United Nations, May 6, 2024, https://usun.usmission .gov/remarks-at-a-un-general-assembly-meeting-on-russias-veto -of-the-u-s-and-japan-drafted-unsc-resolution-on-preventing -nuclear-weapons-in-outer-s/.</w:t>
      </w:r>
    </w:p>
    <w:p>
      <w:pPr>
        <w:pStyle w:val="DocBody"/>
        <w:ind w:left="765"/>
      </w:pPr>
      <w:r>
        <w:rPr>
          <w:rFonts w:ascii="Times New Roman" w:hAnsi="Times New Roman" w:eastAsia="宋体"/>
          <w:sz w:val="24"/>
        </w:rPr>
        <w:t>Global Space Economy, 3rd ed., Northern Sky Research, Janu­ ary 2023, https://www.nsr.com/?research=global-space-economy -3rd-edition.</w:t>
      </w:r>
    </w:p>
    <w:p>
      <w:pPr>
        <w:pStyle w:val="DocBody"/>
        <w:ind w:left="765"/>
      </w:pPr>
      <w:r>
        <w:rPr>
          <w:rFonts w:ascii="Times New Roman" w:hAnsi="Times New Roman" w:eastAsia="宋体"/>
          <w:sz w:val="24"/>
        </w:rPr>
        <w:t>“The Artemis Accords,” NASA, accessed September 13, 2024, https://www.nasa.gov/artemis-accords.</w:t>
      </w:r>
    </w:p>
    <w:p>
      <w:pPr>
        <w:pStyle w:val="DocBody"/>
        <w:ind w:left="765"/>
      </w:pPr>
      <w:r>
        <w:rPr>
          <w:rFonts w:ascii="Times New Roman" w:hAnsi="Times New Roman" w:eastAsia="宋体"/>
          <w:sz w:val="24"/>
        </w:rPr>
        <w:t>China has chosen to disregard the fndings of a tribunal con­ vened pursuant to the United Nations Convention on the Law of the Sea (UNCLOS) that ruled against Chinese claims regarding its land reclamation activities in the South China Sea, despite the fact that China is a formal signatory to UNCLOS. See In the Matter of the South China Sea Arbitration (Phil. v. China), Case No. 2013-19, Award of July 12, 2016, ITLOS Rep., https://pcacases.com/web /sendAttach/2086.</w:t>
      </w:r>
    </w:p>
    <w:p>
      <w:pPr>
        <w:pStyle w:val="DocBody"/>
        <w:ind w:left="765"/>
      </w:pPr>
      <w:r>
        <w:rPr>
          <w:rFonts w:ascii="Times New Roman" w:hAnsi="Times New Roman" w:eastAsia="宋体"/>
          <w:sz w:val="24"/>
        </w:rPr>
        <w:t>Wes J. Bryant, “When a CEO Plays President: Musk, Starlink, and the War in Ukraine,” Irregular Warfare Initiative, October 17, 2023, https://irregularwarfare.org/articles/when-a-ceo-plays-president -musk-starlink-and-the-war-in-ukraine/.</w:t>
      </w:r>
    </w:p>
    <w:p>
      <w:pPr>
        <w:pStyle w:val="DocBody"/>
      </w:pPr>
      <w:r>
        <w:rPr>
          <w:rFonts w:ascii="Times New Roman" w:hAnsi="Times New Roman" w:eastAsia="宋体"/>
          <w:sz w:val="24"/>
        </w:rPr>
        <w:t>STANFORD EXPERT CONTRIBUTORS Dr. Simone D’Amico SETR Faculty Council and Associate Professor of Aeronautics and Astronautics and, by courtesy, of Geophysics Dr. Sigrid Elschot Professor of Aeronautics and Astronautics Dr. Anton Ermakov Assistant Professor of Aeronautics and Astronautics and, by courtesy, of Geophysics and of Earth and Planetary Sciences Dr. Debbie Senesky Associate Professor of Aeronautics and Astronautics and of Electrical Engineering Walter J. Manuel SETR Fellow and PhD Candidate in Aeronautics and Astronautics Yuji Takubo SETR Fellow and PhD Candidate in Aeronautics and Astronautics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CROSSCUTTING THEMES AND COMMONALITIES None of the individual technology areas covered in chapters 1 through 10 operate in a vacuum. It is cru­ cial that policymakers consider broader, crosscutting themes that infuence how technology progresses over time as well as the key common drivers that can accelerate or hinder progress. By devoting an entire chapter to them, we wish to underline the impor­ tant similarities in how people and institutions make progress and emphasize that, when crafting policy for individual domains, it is essential to take a holistic view of the emerging tech landscape and the factors affecting it.</w:t>
      </w:r>
    </w:p>
    <w:p>
      <w:pPr>
        <w:pStyle w:val="DocBody"/>
      </w:pPr>
      <w:r>
        <w:rPr>
          <w:rFonts w:ascii="Times New Roman" w:hAnsi="Times New Roman" w:eastAsia="宋体"/>
          <w:sz w:val="24"/>
        </w:rPr>
        <w:t>This chapter organizes crosscutting themes into four categories:</w:t>
      </w:r>
    </w:p>
    <w:p>
      <w:pPr>
        <w:pStyle w:val="DocBody"/>
      </w:pPr>
      <w:r>
        <w:rPr>
          <w:rFonts w:ascii="Times New Roman" w:hAnsi="Times New Roman" w:eastAsia="宋体"/>
          <w:sz w:val="24"/>
        </w:rPr>
        <w:t>Governance and Geopolitics of Emerging ° Technology examines how governments and political systems shape global technological progress.</w:t>
      </w:r>
    </w:p>
    <w:p>
      <w:pPr>
        <w:pStyle w:val="DocBody"/>
      </w:pPr>
      <w:r>
        <w:rPr>
          <w:rFonts w:ascii="Times New Roman" w:hAnsi="Times New Roman" w:eastAsia="宋体"/>
          <w:sz w:val="24"/>
        </w:rPr>
        <w:t>Innovation Pathways and Patterns of Progress ° explores the diverse ways in which technological progress unfolds.</w:t>
      </w:r>
    </w:p>
    <w:p>
      <w:pPr>
        <w:pStyle w:val="DocBody"/>
      </w:pPr>
      <w:r>
        <w:rPr>
          <w:rFonts w:ascii="Times New Roman" w:hAnsi="Times New Roman" w:eastAsia="宋体"/>
          <w:sz w:val="24"/>
        </w:rPr>
        <w:t>Human Capital and Knowledge Ecosystems ° highlights the critical roles of people, universities, and funding structures in driving and sustaining innovation.</w:t>
      </w:r>
    </w:p>
    <w:p>
      <w:pPr>
        <w:pStyle w:val="DocBody"/>
      </w:pPr>
      <w:r>
        <w:rPr>
          <w:rFonts w:ascii="Times New Roman" w:hAnsi="Times New Roman" w:eastAsia="宋体"/>
          <w:sz w:val="24"/>
        </w:rPr>
        <w:t>Infrastructure for Innovation encompasses vital ° systems and structures that support innovation on a large scale.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Governance and Geopolitics of Emerging Technology KEY TAKEAWAYS Innovation that emerges too fast threatens the ° legitimate interests of those who might be neg­ atively affected, while innovation that moves too slowly increases the likelihood that a nation will lose frst-mover advantages.</w:t>
      </w:r>
    </w:p>
    <w:p>
      <w:pPr>
        <w:pStyle w:val="DocBody"/>
      </w:pPr>
      <w:r>
        <w:rPr>
          <w:rFonts w:ascii="Times New Roman" w:hAnsi="Times New Roman" w:eastAsia="宋体"/>
          <w:sz w:val="24"/>
        </w:rPr>
        <w:t>National monopolies on technology are increas­ ° ingly diffcult to maintain. Even innovations that are solely American born (an increasingly rare occurrence) are unlikely to remain in the exclusive control of American actors for long periods.</w:t>
      </w:r>
    </w:p>
    <w:p>
      <w:pPr>
        <w:pStyle w:val="DocBody"/>
      </w:pPr>
      <w:r>
        <w:rPr>
          <w:rFonts w:ascii="Times New Roman" w:hAnsi="Times New Roman" w:eastAsia="宋体"/>
          <w:sz w:val="24"/>
        </w:rPr>
        <w:t>The US government is no longer the primary ° driver of technological innovation or funder of research and development (R&amp;D).</w:t>
      </w:r>
    </w:p>
    <w:p>
      <w:pPr>
        <w:pStyle w:val="DocBody"/>
      </w:pPr>
      <w:r>
        <w:rPr>
          <w:rFonts w:ascii="Times New Roman" w:hAnsi="Times New Roman" w:eastAsia="宋体"/>
          <w:sz w:val="24"/>
        </w:rPr>
        <w:t>While democracies provide greater freedom for sci­ ° entifc exploration, authoritarian regimes can direct sustained funding towards—and maintain focus on—technologies they believe are most important.</w:t>
      </w:r>
    </w:p>
    <w:p>
      <w:pPr>
        <w:pStyle w:val="DocBody"/>
      </w:pPr>
      <w:r>
        <w:rPr>
          <w:rFonts w:ascii="Times New Roman" w:hAnsi="Times New Roman" w:eastAsia="宋体"/>
          <w:sz w:val="24"/>
        </w:rPr>
        <w:t>The Goldilocks Challenge: Moving Too Quickly, Moving Too Slowly Technological progress creates risks related to speed. Moving too quickly can disrupt understand­ ings, written or unwritten, that balance a variety of legitimate national, organizational, and personal interests. Rapid or accelerating change could also have a negative impact on safety, security, employ­ ment, ethical considerations, societal impacts, and geopolitics. The result could be a public backlash against a particular technology. For example, genet­ ically modifed organisms (GMOs) have faced public resistance in Europe due to safety concerns, the Concorde supersonic aircraft was retired over noise and cost issues, and calls for artifcial intelligence (AI)</w:t>
      </w:r>
    </w:p>
    <w:p>
      <w:pPr>
        <w:pStyle w:val="DocBody"/>
      </w:pPr>
      <w:r>
        <w:rPr>
          <w:rFonts w:ascii="Times New Roman" w:hAnsi="Times New Roman" w:eastAsia="宋体"/>
          <w:sz w:val="24"/>
        </w:rPr>
        <w:t>regulation refect fears of the technology’s societal impact.</w:t>
      </w:r>
    </w:p>
    <w:p>
      <w:pPr>
        <w:pStyle w:val="DocBody"/>
      </w:pPr>
      <w:r>
        <w:rPr>
          <w:rFonts w:ascii="Times New Roman" w:hAnsi="Times New Roman" w:eastAsia="宋体"/>
          <w:sz w:val="24"/>
        </w:rPr>
        <w:t>Conversely, innovation that is too slow increases the likelihood that a nation will lose the technical, eco­ nomic, and national security advantages that often accrue to frst movers in a feld. Such concerns are apparent in reports asserting that the United States is falling behind China in the development of key technologies considered critical to both national security and economic security, such as AI.1 To fully realize the benefts of innovation, policy mea­ sures must address both the risks of rapid change and the dangers of falling behind.</w:t>
      </w:r>
    </w:p>
    <w:p>
      <w:pPr>
        <w:pStyle w:val="DocBody"/>
      </w:pPr>
      <w:r>
        <w:rPr>
          <w:rFonts w:ascii="Times New Roman" w:hAnsi="Times New Roman" w:eastAsia="宋体"/>
          <w:sz w:val="24"/>
        </w:rPr>
        <w:t>Increasing Access to New Technologies Worldwide A fundamental reality of today’s technological envi­ ronment is that American-born innovations are unlikely to remain in the exclusive control of American actors for long. The diffusion of many of these tech­ nologies is, in part, driven by the long-term trend of decreasing information technology costs, but other factors play important roles as well.</w:t>
      </w:r>
    </w:p>
    <w:p>
      <w:pPr>
        <w:pStyle w:val="DocBody"/>
      </w:pPr>
      <w:r>
        <w:rPr>
          <w:rFonts w:ascii="Times New Roman" w:hAnsi="Times New Roman" w:eastAsia="宋体"/>
          <w:sz w:val="24"/>
        </w:rPr>
        <w:t>Access to and use of these technologies has spread beyond US borders because of global business models that have increased the potential customer base by leaps and bounds.2 Digital platforms and strong network effects have driven rapid, global user adoption.3 Open-source initiatives and col­ laborative research have accelerated diffusion of the underlying technologies by lowering entry bar­ riers and encouraging adaptation across borders.4 Offshore manufacturing of American-designed innovations and licensing of these innovations has brought technical know-how within the reach of potential overseas competitors.5 Foreign competi­ tors steal US intellectual property worth hundreds of billions of dollars per year.6 Technological knowl­ edge is often reverse-engineered or reimagined internationally.7 11  CROSSCUTTING THEMES AND COMMONALITIES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Several key implications arise from increasing access to new technologies:</w:t>
      </w:r>
    </w:p>
    <w:p>
      <w:pPr>
        <w:pStyle w:val="DocBody"/>
      </w:pPr>
      <w:r>
        <w:rPr>
          <w:rFonts w:ascii="Times New Roman" w:hAnsi="Times New Roman" w:eastAsia="宋体"/>
          <w:sz w:val="24"/>
        </w:rPr>
        <w:t>Winning isn’t winning anymore. The old model ° of achieving lasting national technological domi­ nance is being replaced by a paradigm of continu­ ous competition where technological advantages are rarely, if ever, sustained for long periods.</w:t>
      </w:r>
    </w:p>
    <w:p>
      <w:pPr>
        <w:pStyle w:val="DocBody"/>
      </w:pPr>
      <w:r>
        <w:rPr>
          <w:rFonts w:ascii="Times New Roman" w:hAnsi="Times New Roman" w:eastAsia="宋体"/>
          <w:sz w:val="24"/>
        </w:rPr>
        <w:t>More state and nonstate actors are obtaining ° access to advanced technologies, gaining new tools to challenge US interests. This makes for­ mulating policies even more complex.</w:t>
      </w:r>
    </w:p>
    <w:p>
      <w:pPr>
        <w:pStyle w:val="DocBody"/>
      </w:pPr>
      <w:r>
        <w:rPr>
          <w:rFonts w:ascii="Times New Roman" w:hAnsi="Times New Roman" w:eastAsia="宋体"/>
          <w:sz w:val="24"/>
        </w:rPr>
        <w:t>Technological advantages are narrowing, even ° on the frontier. Although the United States may possess the most technologically advanced capa­ bilities in certain domains, other actors with less sophisticated—but still effective—versions of advanced technologies can reduce frst-mover advantages the US previously enjoyed.</w:t>
      </w:r>
    </w:p>
    <w:p>
      <w:pPr>
        <w:pStyle w:val="DocBody"/>
      </w:pPr>
      <w:r>
        <w:rPr>
          <w:rFonts w:ascii="Times New Roman" w:hAnsi="Times New Roman" w:eastAsia="宋体"/>
          <w:sz w:val="24"/>
        </w:rPr>
        <w:t>There are more actors with different ethical thresh­ ° olds, constraints, and perspectives. Those with fewer bureaucratic and ethical constraints may exploit and adapt technology faster and more effec­ tively than those with more stringent regulations.</w:t>
      </w:r>
    </w:p>
    <w:p>
      <w:pPr>
        <w:pStyle w:val="DocBody"/>
      </w:pPr>
      <w:r>
        <w:rPr>
          <w:rFonts w:ascii="Times New Roman" w:hAnsi="Times New Roman" w:eastAsia="宋体"/>
          <w:sz w:val="24"/>
        </w:rPr>
        <w:t>To be sure, there are exceptions to this trend of faster and wider technological diffusion. Perhaps the most important of them are instances when scale is a critical aspect of widespread innovation and those in which actors lack access to the natu­ ral resources (such as rare-earth metals) or fnancial capital needed to support large-scale deployments.</w:t>
      </w:r>
    </w:p>
    <w:p>
      <w:pPr>
        <w:pStyle w:val="DocBody"/>
      </w:pPr>
      <w:r>
        <w:rPr>
          <w:rFonts w:ascii="Times New Roman" w:hAnsi="Times New Roman" w:eastAsia="宋体"/>
          <w:sz w:val="24"/>
        </w:rPr>
        <w:t>This has been true for much of the past with respect to nuclear weapons, where the major roadblock for nations seeking to acquire such weapons has been getting access to fssile materials rather than to nec­ essary knowledge. It is also true in AI today, where a small number of private-sector actors clearly dom­ inate the creation of large language models (LLMs).</w:t>
      </w:r>
    </w:p>
    <w:p>
      <w:pPr>
        <w:pStyle w:val="DocBody"/>
      </w:pPr>
      <w:r>
        <w:rPr>
          <w:rFonts w:ascii="Times New Roman" w:hAnsi="Times New Roman" w:eastAsia="宋体"/>
          <w:sz w:val="24"/>
        </w:rPr>
        <w:t>It may be possible to extend periods of American monopoly on certain technologies (e.g., through the application of export controls to key components of them), but these periods cannot be prolonged indefnitely. Extensions can help to buy time for US policymakers to better anticipate the consequences of a technology’s diffusion in the future. But all too often, buying time becomes an end unto itself, and actions to craft a better policy that could help sus­ tain US leadership in key domains—such as targeted immigration reform to attract more of the world’s best talent and create a “brain gain” for American universities and companies—are not taken.</w:t>
      </w:r>
    </w:p>
    <w:p>
      <w:pPr>
        <w:pStyle w:val="DocBody"/>
      </w:pPr>
      <w:r>
        <w:rPr>
          <w:rFonts w:ascii="Times New Roman" w:hAnsi="Times New Roman" w:eastAsia="宋体"/>
          <w:sz w:val="24"/>
        </w:rPr>
        <w:t>The Changing Role of Government in Technological Innovation Many technological innovations, including satel­ lites, jet engines, and semiconductors, have their roots in US government fnancial support and advo­ cacy. But in many felds today, the US government is no longer the primary driver of innovation. Private companies have taken up much of the slack. These businesses, however, may be under the jurisdiction of nations—or controlled by senior executives— whose interests are not aligned with those of the users of their services. For example, the Starlink sat­ ellite communications network has been an essen­ tial part of Ukrainian battlefeld communications;</w:t>
      </w:r>
    </w:p>
    <w:p>
      <w:pPr>
        <w:pStyle w:val="DocBody"/>
      </w:pPr>
      <w:r>
        <w:rPr>
          <w:rFonts w:ascii="Times New Roman" w:hAnsi="Times New Roman" w:eastAsia="宋体"/>
          <w:sz w:val="24"/>
        </w:rPr>
        <w:t>however, the CEO of Starlink has curtailed Ukrainian access on a number of occasions in ways that affected Ukraine’s battlefeld strategy.8 Such con­ cerns are most serious when there is only one—or just a small number—of private-sector providers of the services in question.</w:t>
      </w:r>
    </w:p>
    <w:p>
      <w:pPr>
        <w:pStyle w:val="DocBody"/>
      </w:pPr>
      <w:r>
        <w:rPr>
          <w:rFonts w:ascii="Times New Roman" w:hAnsi="Times New Roman" w:eastAsia="宋体"/>
          <w:sz w:val="24"/>
        </w:rPr>
        <w:t>No better example of private companies’ growing infuence in setting the R&amp;D agenda can be found than in the current scene for funding AI research.</w:t>
      </w:r>
    </w:p>
    <w:p>
      <w:pPr>
        <w:pStyle w:val="DocBody"/>
      </w:pPr>
      <w:r>
        <w:rPr>
          <w:rFonts w:ascii="Times New Roman" w:hAnsi="Times New Roman" w:eastAsia="宋体"/>
          <w:sz w:val="24"/>
        </w:rPr>
        <w:t>Whereas the federal government talks in terms of bil­ lions of dollars in federal support for AI research, the private sector talks in terms of amounts a hundred or more times larger. Similar trends seem to apply to biotechnology and synthetic biology research, though not quite as starkly. And, as chapter 10, on space, discusses, services related to space are increasingly being delivered by private companies.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 was widespread optimism about the triumph of lib­ eral democracy and free market capitalism. Much of US economic policy was characterized by efforts to support free trade, accelerate globalization, and promote China’s integration into the world economy as a way of facilitating the country’s transition to more democratic rule.</w:t>
      </w:r>
    </w:p>
    <w:p>
      <w:pPr>
        <w:pStyle w:val="DocBody"/>
      </w:pPr>
      <w:r>
        <w:rPr>
          <w:rFonts w:ascii="Times New Roman" w:hAnsi="Times New Roman" w:eastAsia="宋体"/>
          <w:sz w:val="24"/>
        </w:rPr>
        <w:t>During this time, the global manufacturing land­ scape for key technologies, particularly semicon­ ductors, underwent significant shifts. Over the past three decades, the US share of global semiconduc­ tor production dropped from 37 to 12 percent, as noted in chapter 9, on semiconductors. Meanwhile, Asian manufacturers, especially in South Korea and The growing influence of the private sector in critical technologies has led US officials to emphasize the need for closer public-private cooperation and gov­ ernment regulation. Even if the government does not lead in innovation, it still plays a crucial role in funding R&amp;D — and especially R&amp;D with lengthy time horizons — promoting key innovations, setting stan­ dards, and stimulating the formation of coalitions of private-sector actors domestically and internationally.</w:t>
      </w:r>
    </w:p>
    <w:p>
      <w:pPr>
        <w:pStyle w:val="DocBody"/>
      </w:pPr>
      <w:r>
        <w:rPr>
          <w:rFonts w:ascii="Times New Roman" w:hAnsi="Times New Roman" w:eastAsia="宋体"/>
          <w:sz w:val="24"/>
        </w:rPr>
        <w:t>The Relationship of Political Regime Type to Technological Progress National priorities can change with the evolution of the geopolitical environment. In the 1990s, there EXTREME ULTRAVIOLET AND ADVANCED CHIP FABRICATION Advanced chip fabrication is a domain of national technology policy in which developments appropriate thirty years ago may need reassessment today. The most advanced chips currently being made require light in the extreme ultraviolet (EUV) range (13.5 nanometers). The method used today for producing EUV light uses high-energy laser pulses to vaporize tiny droplets of tin to create a plasma that emits EUV light. This light is then precisely reflected and focused by some of the flattest mirrors in the world to etch the intricate patterns needed for advanced semiconductor chips. This technology is key to increasing circuit density on advanced chips, making them faster and more powerful.</w:t>
      </w:r>
    </w:p>
    <w:p>
      <w:pPr>
        <w:pStyle w:val="DocBody"/>
      </w:pPr>
      <w:r>
        <w:rPr>
          <w:rFonts w:ascii="Times New Roman" w:hAnsi="Times New Roman" w:eastAsia="宋体"/>
          <w:sz w:val="24"/>
        </w:rPr>
        <w:t>Major breakthroughs in this laser technology were developed by researchers at Lawrence Livermore National Laboratory, Lawrence Berkeley National Laboratory, and Sandia National Laboratory in the 1990s, and intellec­ tual property rights were owned by the US government but licensed under approval by Congress and the US Department of Energy. The Dutch company ASML applied for a license, and at the time no objections were raised.</w:t>
      </w:r>
    </w:p>
    <w:p>
      <w:pPr>
        <w:pStyle w:val="DocBody"/>
      </w:pPr>
      <w:r>
        <w:rPr>
          <w:rFonts w:ascii="Times New Roman" w:hAnsi="Times New Roman" w:eastAsia="宋体"/>
          <w:sz w:val="24"/>
        </w:rPr>
        <w:t>Today, ASML is the only company in the world that can manufacture and service the sophisticated machines using EUV technology. Regular EUV machines cost about $200 million each, but the newer high-numerical- aperture EUV systems cost closer to $370 million, and ASML can manufacture only a handful annually.a The future development of advanced semiconductor manufacturing equipment that will increase circuit density on chips even more — as well as the balancing of market access with the national security concerns of exporting to and servicing ASML equipment in China — are major geopolitical and economic concerns.b a. Mat Honan and James O’Donnell, “How ASML Took Over the Chipmaking Chessboard,” MIT Technology Review, April 1, 2024,  https:// www.technologyreview.com/2024/04/01/1090393/how-asml-took-over-the-chipmaking-chessboard/; Charlotte Trueman, “Intel Acquires ASML’s Entire 2024 Stock of High NA EUV Machines,” Data Center Dynamics, May 9, 2024, https://www.datacenterdynamics.com/en/news /intel-acquires-asmls-entire-2024-stock-of-high-na-euv-machines/.</w:t>
      </w:r>
    </w:p>
    <w:p>
      <w:pPr>
        <w:pStyle w:val="DocBody"/>
      </w:pPr>
      <w:r>
        <w:rPr>
          <w:rFonts w:ascii="Times New Roman" w:hAnsi="Times New Roman" w:eastAsia="宋体"/>
          <w:sz w:val="24"/>
        </w:rPr>
        <w:t>b. Arjun Kharpal, “Netherlands Takes On U.S. Export Controls, Controlling Shipments of Some ASML Machines,” CNBC, September 6, 2024, https://www.cnbc.com/2024/09/06/netherlands-expands-export-curbs-on-advanced-chip-tools.html.</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Taiwan, have emerged as major players, supported by government policies and regional demand shifts.</w:t>
      </w:r>
    </w:p>
    <w:p>
      <w:pPr>
        <w:pStyle w:val="DocBody"/>
      </w:pPr>
      <w:r>
        <w:rPr>
          <w:rFonts w:ascii="Times New Roman" w:hAnsi="Times New Roman" w:eastAsia="宋体"/>
          <w:sz w:val="24"/>
        </w:rPr>
        <w:t>Asia has become the dominant region for semicon­ ductor production, laying the groundwork for the current global supply chain.</w:t>
      </w:r>
    </w:p>
    <w:p>
      <w:pPr>
        <w:pStyle w:val="DocBody"/>
      </w:pPr>
      <w:r>
        <w:rPr>
          <w:rFonts w:ascii="Times New Roman" w:hAnsi="Times New Roman" w:eastAsia="宋体"/>
          <w:sz w:val="24"/>
        </w:rPr>
        <w:t>This shift in manufacturing capabilities, coupled with China’s economic and military rise, is a key ele­ ment of changes in the geopolitical environment, and it drives many Western concerns about tech­ nological dependencies in the twenty-frst century.</w:t>
      </w:r>
    </w:p>
    <w:p>
      <w:pPr>
        <w:pStyle w:val="DocBody"/>
      </w:pPr>
      <w:r>
        <w:rPr>
          <w:rFonts w:ascii="Times New Roman" w:hAnsi="Times New Roman" w:eastAsia="宋体"/>
          <w:sz w:val="24"/>
        </w:rPr>
        <w:t>Accordingly, national policies that were seen as useful and appropriate in the environment of thirty years ago may need reassessment today. (See the sidebar on extreme ultraviolet and advanced chip fabrication for an example.)</w:t>
      </w:r>
    </w:p>
    <w:p>
      <w:pPr>
        <w:pStyle w:val="DocBody"/>
      </w:pPr>
      <w:r>
        <w:rPr>
          <w:rFonts w:ascii="Times New Roman" w:hAnsi="Times New Roman" w:eastAsia="宋体"/>
          <w:sz w:val="24"/>
        </w:rPr>
        <w:t>Finally, although genuine technological innovation occurs in both democracies and autocracies, each regime type has different advantages and faces dif­ ferent challenges. Democracies beneft from the rule of law, a free fow of ideas and people, and greater freedom for individuals to pursue their own research interests. Perhaps most importantly, because fail­ ure in a democracy should not lead to persecution or professional ostracism, individuals are freer to experiment and explore. By contrast, authoritarian regimes are characterized by the rule of the state and sometimes impose dire consequences for fail­ ure, which can restrict the fow of ideas, force adher­ ence to state-approved research areas, and prompt scientists to focus only on what a government con­ siders safe topics.</w:t>
      </w:r>
    </w:p>
    <w:p>
      <w:pPr>
        <w:pStyle w:val="DocBody"/>
      </w:pPr>
      <w:r>
        <w:rPr>
          <w:rFonts w:ascii="Times New Roman" w:hAnsi="Times New Roman" w:eastAsia="宋体"/>
          <w:sz w:val="24"/>
        </w:rPr>
        <w:t>On the other hand, authoritarian regimes can direct sustained funding and attention to areas deemed crucial by the state more easily than democracies can; they can also maintain focus on these areas for extended periods, independent of short-term proft or political considerations. For example, it is widely accepted that Chinese AI efforts have access to the personal data of individuals on a far broader scale than such efforts in the West, which generally has stronger privacy protections against governmental intrusion than China does.</w:t>
      </w:r>
    </w:p>
    <w:p>
      <w:pPr>
        <w:pStyle w:val="DocBody"/>
      </w:pPr>
      <w:r>
        <w:rPr>
          <w:rFonts w:ascii="Times New Roman" w:hAnsi="Times New Roman" w:eastAsia="宋体"/>
          <w:sz w:val="24"/>
        </w:rPr>
        <w:t>Innovation Pathways and Paterns of Progress KEY TAKEAWAYS Technological progress is often unpredictable ° and nonlinear, with periods of slow development interrupted by sudden breakthroughs. While some felds, like semiconductors, have shown steady improvement, most technologies advance through cycles of experimentation, feedback, and convergence of multiple innovations.</w:t>
      </w:r>
    </w:p>
    <w:p>
      <w:pPr>
        <w:pStyle w:val="DocBody"/>
      </w:pPr>
      <w:r>
        <w:rPr>
          <w:rFonts w:ascii="Times New Roman" w:hAnsi="Times New Roman" w:eastAsia="宋体"/>
          <w:sz w:val="24"/>
        </w:rPr>
        <w:t>Nonscientifc factors, such as engineering feasibil­ ° ity, economic viability, manufacturing challenges, and societal acceptance, infuence the adoption of technology based on scientifc advances.</w:t>
      </w:r>
    </w:p>
    <w:p>
      <w:pPr>
        <w:pStyle w:val="DocBody"/>
      </w:pPr>
      <w:r>
        <w:rPr>
          <w:rFonts w:ascii="Times New Roman" w:hAnsi="Times New Roman" w:eastAsia="宋体"/>
          <w:sz w:val="24"/>
        </w:rPr>
        <w:t>Hype can distort perceptions, leading to infated ° expectations that outpace practical utility and distortions in resource allocation.</w:t>
      </w:r>
    </w:p>
    <w:p>
      <w:pPr>
        <w:pStyle w:val="DocBody"/>
      </w:pPr>
      <w:r>
        <w:rPr>
          <w:rFonts w:ascii="Times New Roman" w:hAnsi="Times New Roman" w:eastAsia="宋体"/>
          <w:sz w:val="24"/>
        </w:rPr>
        <w:t>Frontier bias causes overemphasis on new tech­ ° nologies and sometimes results in overlooking impactful uses of established ones.</w:t>
      </w:r>
    </w:p>
    <w:p>
      <w:pPr>
        <w:pStyle w:val="DocBody"/>
      </w:pPr>
      <w:r>
        <w:rPr>
          <w:rFonts w:ascii="Times New Roman" w:hAnsi="Times New Roman" w:eastAsia="宋体"/>
          <w:sz w:val="24"/>
        </w:rPr>
        <w:t>The synergies between different technologies are ° large and growing, which makes understanding the interactions between different felds all the more important.</w:t>
      </w:r>
    </w:p>
    <w:p>
      <w:pPr>
        <w:pStyle w:val="DocBody"/>
      </w:pPr>
      <w:r>
        <w:rPr>
          <w:rFonts w:ascii="Times New Roman" w:hAnsi="Times New Roman" w:eastAsia="宋体"/>
          <w:sz w:val="24"/>
        </w:rPr>
        <w:t>The Unpredictable and Nonlinear Nature of Technological Progress Technological progress exhibits a variety of patterns.</w:t>
      </w:r>
    </w:p>
    <w:p>
      <w:pPr>
        <w:pStyle w:val="DocBody"/>
      </w:pPr>
      <w:r>
        <w:rPr>
          <w:rFonts w:ascii="Times New Roman" w:hAnsi="Times New Roman" w:eastAsia="宋体"/>
          <w:sz w:val="24"/>
        </w:rPr>
        <w:t>For example, progress in semiconductors has been fairly predictable historically, progressing consis­ tently with Moore’s law, which predicts a continuing exponential decrease in the cost of computation over time. But, as noted in chapter 9 on semiconductors, this steady decline is coming to an end, if it hasn’t expired already. Solar cells and light-emitting diode (LED) lighting have followed similar cost-reduction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w:t>
      </w:r>
    </w:p>
    <w:p>
      <w:pPr>
        <w:pStyle w:val="DocBody"/>
      </w:pPr>
      <w:r>
        <w:rPr>
          <w:rFonts w:ascii="Times New Roman" w:hAnsi="Times New Roman" w:eastAsia="宋体"/>
          <w:sz w:val="24"/>
        </w:rPr>
        <w:t>FIGURE 11.1  Norman Ramsey’s hydrogen maser, made in 1959–60, known as the “most stable atomic clock,” displayed at the Smithsonian’s National Museum of American History Source: The Smithsonian’s National Museum of American History, https://americanhistory.si.edu/collections/object/nmah_714239 curves, except that these cost decreases are usually represented as a function of manufacturing experi­ ence and expertise rather than of time.9 Most other technologies have demonstrated much more uneven progress, characterized by extended phases of gradual development interrupted by sudden, transformative bursts of innovation. Some­ times, these bursts result from particular break­ throughs. For example:</w:t>
      </w:r>
    </w:p>
    <w:p>
      <w:pPr>
        <w:pStyle w:val="DocBody"/>
      </w:pPr>
      <w:r>
        <w:rPr>
          <w:rFonts w:ascii="Times New Roman" w:hAnsi="Times New Roman" w:eastAsia="宋体"/>
          <w:sz w:val="24"/>
        </w:rPr>
        <w:t>Timekeeping relied on devices such as sundi­ ° als and water clocks until the invention of the mechanical clock in the late Middle Ages provided the frst signifcant jump in accuracy.10 Following a prolonged period of incremental refnement, the introduction of electric clocks—with the frequency of alternating current (AC) from the wall providing a time base—further enhanced the accuracy and reliability of clocks. Subsequent innovations, including quartz and atomic clocks (see fgure 11.1), established today’s remarkable standards of precision.</w:t>
      </w:r>
    </w:p>
    <w:p>
      <w:pPr>
        <w:pStyle w:val="DocBody"/>
      </w:pPr>
      <w:r>
        <w:rPr>
          <w:rFonts w:ascii="Times New Roman" w:hAnsi="Times New Roman" w:eastAsia="宋体"/>
          <w:sz w:val="24"/>
        </w:rPr>
        <w:t>Crop yields have increased only incrementally ° over time, except during certain periods of rapid innovation associated with technological devel­ opments such as synthetic fertilizers, mecha­ nization, high-yield crop varieties, and the rise of biotechnology and precision agriculture.11 During these periods, crop yields jumped quite substantially, only to resume a pace of gradual improvements as these innovations spread more widely.</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The World Wide Web emerged in the 1990s ° as a signifcant development in global commu­ nication and information exchange.12 The web enabled users to access and navigate informa­ tion through interconnected hypertext links.</w:t>
      </w:r>
    </w:p>
    <w:p>
      <w:pPr>
        <w:pStyle w:val="DocBody"/>
      </w:pPr>
      <w:r>
        <w:rPr>
          <w:rFonts w:ascii="Times New Roman" w:hAnsi="Times New Roman" w:eastAsia="宋体"/>
          <w:sz w:val="24"/>
        </w:rPr>
        <w:t>Used with point-and-click interfaces (also known as browsers), it was rapidly adopted. This led to substantial growth in websites, online communi­ ties, and e-commerce and infuenced worldwide information accessibility and interaction.</w:t>
      </w:r>
    </w:p>
    <w:p>
      <w:pPr>
        <w:pStyle w:val="DocBody"/>
      </w:pPr>
      <w:r>
        <w:rPr>
          <w:rFonts w:ascii="Times New Roman" w:hAnsi="Times New Roman" w:eastAsia="宋体"/>
          <w:sz w:val="24"/>
        </w:rPr>
        <w:t>At other times, a surge in innovation is due to the simultaneous availability and maturity of several key technologies that are combined to achieve signifcant progress in some other technological domain—this is the convergence phenomenon, dis­ cussed later in this section.</w:t>
      </w:r>
    </w:p>
    <w:p>
      <w:pPr>
        <w:pStyle w:val="DocBody"/>
      </w:pPr>
      <w:r>
        <w:rPr>
          <w:rFonts w:ascii="Times New Roman" w:hAnsi="Times New Roman" w:eastAsia="宋体"/>
          <w:sz w:val="24"/>
        </w:rPr>
        <w:t>Predicting future progress can be challenging and misleading due to this pattern of punctuated inno­ vation. Even experts in a given feld can be surprised by the rapidity of progress. For instance, Geoffrey Hinton, a pioneer in AI and a winner of the 2024 Nobel Prize in Physics for his application of tools and concepts from statistical mechanics to machine learning, recently expressed astonishment at the swift progress in AI and predicted that it will surpass human intelligence in the future.</w:t>
      </w:r>
    </w:p>
    <w:p>
      <w:pPr>
        <w:pStyle w:val="DocBody"/>
      </w:pPr>
      <w:r>
        <w:rPr>
          <w:rFonts w:ascii="Times New Roman" w:hAnsi="Times New Roman" w:eastAsia="宋体"/>
          <w:sz w:val="24"/>
        </w:rPr>
        <w:t>His comments came after a long history of multiple “AI winters.”13 Enthusiasm for AI in the 1950s and 1960s subsequently led to the frst major AI winter (1974–80). The 1980s saw a revival of enthusiasm for AI involving rule-based expert systems, but unmet expectations triggered a second winter in the late 1980s and into the 1990s. Progress inspired by the machine learning approach in the 2000s led to a resurgence in the next two decades. This led to the new surge of enthusiasm and optimism we are wit­ nessing today, which is driven by advances in deep learning, very large datasets, and increases in com­ puting power.</w:t>
      </w:r>
    </w:p>
    <w:p>
      <w:pPr>
        <w:pStyle w:val="DocBody"/>
      </w:pPr>
      <w:r>
        <w:rPr>
          <w:rFonts w:ascii="Times New Roman" w:hAnsi="Times New Roman" w:eastAsia="宋体"/>
          <w:sz w:val="24"/>
        </w:rPr>
        <w:t>The punctuated nature of most technological change suggests that expectations of regular and rapid evolution in many felds are generally not real- ized,14 despite what headlines in the news might lead one to believe. This point is also relevant to another important observation: The traditional linear model of R&amp;D, which envisages smooth progress from basic research to applied research, leading to develop­ ment and then to marketable products, represents just one way in which societies derive value from technological investments.</w:t>
      </w:r>
    </w:p>
    <w:p>
      <w:pPr>
        <w:pStyle w:val="DocBody"/>
      </w:pPr>
      <w:r>
        <w:rPr>
          <w:rFonts w:ascii="Times New Roman" w:hAnsi="Times New Roman" w:eastAsia="宋体"/>
          <w:sz w:val="24"/>
        </w:rPr>
        <w:t>Progress also occurs in nonlinear ways that depend on feedback between the various stages of activity.</w:t>
      </w:r>
    </w:p>
    <w:p>
      <w:pPr>
        <w:pStyle w:val="DocBody"/>
      </w:pPr>
      <w:r>
        <w:rPr>
          <w:rFonts w:ascii="Times New Roman" w:hAnsi="Times New Roman" w:eastAsia="宋体"/>
          <w:sz w:val="24"/>
        </w:rPr>
        <w:t>For example, some challenging problems require a deeper fundamental scientifc understanding known as “use-inspired basic research,” which comes into play after innovations have already been deployed.</w:t>
      </w:r>
    </w:p>
    <w:p>
      <w:pPr>
        <w:pStyle w:val="DocBody"/>
      </w:pPr>
      <w:r>
        <w:rPr>
          <w:rFonts w:ascii="Times New Roman" w:hAnsi="Times New Roman" w:eastAsia="宋体"/>
          <w:sz w:val="24"/>
        </w:rPr>
        <w:t>Research in AI on LLM hallucinations (outputs of entirely false statements) fts into this category. The models are already broadly useful despite such errors occurring frequently. Nevertheless, these hal­ lucinations are problematic, and important research is underway to understand the mechanisms that lead LLMs to generate them.</w:t>
      </w:r>
    </w:p>
    <w:p>
      <w:pPr>
        <w:pStyle w:val="DocBody"/>
      </w:pPr>
      <w:r>
        <w:rPr>
          <w:rFonts w:ascii="Times New Roman" w:hAnsi="Times New Roman" w:eastAsia="宋体"/>
          <w:sz w:val="24"/>
        </w:rPr>
        <w:t>In other cases, technology convergence can have a big impact on synergy and innovation. Here, conver­ gence means that several distinct technologies have advanced to the point at which they can be inte­ grated to develop a useful innovation. For example, electric cars today are made possible by the con­ vergence of advances in battery technology, light­ weight materials, sensors, and computing power.</w:t>
      </w:r>
    </w:p>
    <w:p>
      <w:pPr>
        <w:pStyle w:val="DocBody"/>
      </w:pPr>
      <w:r>
        <w:rPr>
          <w:rFonts w:ascii="Times New Roman" w:hAnsi="Times New Roman" w:eastAsia="宋体"/>
          <w:sz w:val="24"/>
        </w:rPr>
        <w:t>Together, these advances have improved vehicle range, safety, and effciency and have enabled fea­ tures like autonomous driving and real-time diag­ nostics. Another example comes from chapter 6 in this report, on neuroscience, which discusses how effective neurological interventions depend not only on a fundamental theoretical understanding of brain function, but also on the development of neural probes that can be implanted into the brain without causing serious damage to brain tissue.</w:t>
      </w:r>
    </w:p>
    <w:p>
      <w:pPr>
        <w:pStyle w:val="DocBody"/>
      </w:pPr>
      <w:r>
        <w:rPr>
          <w:rFonts w:ascii="Times New Roman" w:hAnsi="Times New Roman" w:eastAsia="宋体"/>
          <w:sz w:val="24"/>
        </w:rPr>
        <w:t>In short, for most applications, true innovation requires repeated cycles of experimentation, learning, and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w:t>
      </w:r>
    </w:p>
    <w:p>
      <w:pPr>
        <w:pStyle w:val="DocBody"/>
      </w:pPr>
      <w:r>
        <w:rPr>
          <w:rFonts w:ascii="Times New Roman" w:hAnsi="Times New Roman" w:eastAsia="宋体"/>
          <w:sz w:val="24"/>
        </w:rPr>
        <w:t>adaptation rather than a single, direct path. Feedback, convergence, and iteration are the norm, not the exception.</w:t>
      </w:r>
    </w:p>
    <w:p>
      <w:pPr>
        <w:pStyle w:val="DocBody"/>
      </w:pPr>
      <w:r>
        <w:rPr>
          <w:rFonts w:ascii="Times New Roman" w:hAnsi="Times New Roman" w:eastAsia="宋体"/>
          <w:sz w:val="24"/>
        </w:rPr>
        <w:t>Nonscientifc Infuences on Innovation Scientifc advances are frequently highlighted for their promise to address societal challenges and enhance our quality of life. However, there is often a large gap between a demonstration of scientifc feasibility and the creation of an economically viable and societally useful product or service based on the technology.</w:t>
      </w:r>
    </w:p>
    <w:p>
      <w:pPr>
        <w:pStyle w:val="DocBody"/>
      </w:pPr>
      <w:r>
        <w:rPr>
          <w:rFonts w:ascii="Times New Roman" w:hAnsi="Times New Roman" w:eastAsia="宋体"/>
          <w:sz w:val="24"/>
        </w:rPr>
        <w:t>After achieving scientifc proof of concept, a given technology application based on that science must demonstrate engineering practicality. An example is the idea of a chemically fueled, single-stage-to­ orbit spacecraft launched from Earth. It is gener­ ally believed that launching a spacecraft using a single rocket stage, rather than multiple stages, is just barely possible using current rocket fuels and materials. However, not even a leading company like SpaceX has been able to demonstrate a feasible engineering design that could reliably accomplish this task.</w:t>
      </w:r>
    </w:p>
    <w:p>
      <w:pPr>
        <w:pStyle w:val="DocBody"/>
      </w:pPr>
      <w:r>
        <w:rPr>
          <w:rFonts w:ascii="Times New Roman" w:hAnsi="Times New Roman" w:eastAsia="宋体"/>
          <w:sz w:val="24"/>
        </w:rPr>
        <w:t>Economic viability and practicality come after engi­ neering feasibility, and these involve considerations such as cost and ease of use. Early attempts to build supercomputers with superconducting components demonstrated technical success but faced prac­ tical challenges due to the need for liquid helium for cooling. This requirement made the computers diffcult and costly to deploy, and the development of alternative technologies offering comparable per­ formance at lower cost doomed the approach in the marketplace.</w:t>
      </w:r>
    </w:p>
    <w:p>
      <w:pPr>
        <w:pStyle w:val="DocBody"/>
      </w:pPr>
      <w:r>
        <w:rPr>
          <w:rFonts w:ascii="Times New Roman" w:hAnsi="Times New Roman" w:eastAsia="宋体"/>
          <w:sz w:val="24"/>
        </w:rPr>
        <w:t>Manufacturing comes next. Even if engineering feasibility has been demonstrated, developing a viable manufacturing process to build a product or service based on the initial scientifc proof of con­ cept may still prove too diffcult. There may be other constraints as well: For instance, materials used to demonstrate engineering feasibility may be too expensive or rare to support large-scale production.</w:t>
      </w:r>
    </w:p>
    <w:p>
      <w:pPr>
        <w:pStyle w:val="DocBody"/>
      </w:pPr>
      <w:r>
        <w:rPr>
          <w:rFonts w:ascii="Times New Roman" w:hAnsi="Times New Roman" w:eastAsia="宋体"/>
          <w:sz w:val="24"/>
        </w:rPr>
        <w:t>(Manufacturing is discussed in more detail later in this chapter.)</w:t>
      </w:r>
    </w:p>
    <w:p>
      <w:pPr>
        <w:pStyle w:val="DocBody"/>
      </w:pPr>
      <w:r>
        <w:rPr>
          <w:rFonts w:ascii="Times New Roman" w:hAnsi="Times New Roman" w:eastAsia="宋体"/>
          <w:sz w:val="24"/>
        </w:rPr>
        <w:t>Another important factor is the availability of cheaper alternatives to a new technology, which can undermine the commercial viability of the innova­ tion. The competition between lithium-ion (Li-ion)</w:t>
      </w:r>
    </w:p>
    <w:p>
      <w:pPr>
        <w:pStyle w:val="DocBody"/>
      </w:pPr>
      <w:r>
        <w:rPr>
          <w:rFonts w:ascii="Times New Roman" w:hAnsi="Times New Roman" w:eastAsia="宋体"/>
          <w:sz w:val="24"/>
        </w:rPr>
        <w:t>and sodium-ion batteries illustrates this. Sodium-ion batteries have potential cost advantages over Li-ion ones because sodium is much more abundant than lithium. But Li-ion battery technology has a head start of a couple of decades, and work on produc­ ing these batteries has driven down their cost sign­ fcantly. Thus, the economics of procurement today favor Li-ion batteries in many common applications.</w:t>
      </w:r>
    </w:p>
    <w:p>
      <w:pPr>
        <w:pStyle w:val="DocBody"/>
      </w:pPr>
      <w:r>
        <w:rPr>
          <w:rFonts w:ascii="Times New Roman" w:hAnsi="Times New Roman" w:eastAsia="宋体"/>
          <w:sz w:val="24"/>
        </w:rPr>
        <w:t>However, any signifcant disruption of the lithium supply chain could make sodium-ion ones more competitive.</w:t>
      </w:r>
    </w:p>
    <w:p>
      <w:pPr>
        <w:pStyle w:val="DocBody"/>
      </w:pPr>
      <w:r>
        <w:rPr>
          <w:rFonts w:ascii="Times New Roman" w:hAnsi="Times New Roman" w:eastAsia="宋体"/>
          <w:sz w:val="24"/>
        </w:rPr>
        <w:t>Societal acceptability is yet another important non­ scientifc infuence on technological progress. The psychology of individuals, as well as the cultural practices and beliefs of a community or society, infu­ ence the adoption and use of any given application of an emerging technology. For instance, producing and consuming GMOs as food is highly controver­ sial in Europe, and concerns over their safety have prevented the uptake there of GMO foods that are consumed widely in the United States.</w:t>
      </w:r>
    </w:p>
    <w:p>
      <w:pPr>
        <w:pStyle w:val="DocBody"/>
      </w:pPr>
      <w:r>
        <w:rPr>
          <w:rFonts w:ascii="Times New Roman" w:hAnsi="Times New Roman" w:eastAsia="宋体"/>
          <w:sz w:val="24"/>
        </w:rPr>
        <w:t>Finally, the journey from scientifc breakthrough to practical, widespread application is often more diffcult than anticipated. Innovators may discover that fulflling promises to investors and customers requires greater resources and longer timelines and delivers fewer benefts or capabilities than expected.</w:t>
      </w:r>
    </w:p>
    <w:p>
      <w:pPr>
        <w:pStyle w:val="DocBody"/>
      </w:pPr>
      <w:r>
        <w:rPr>
          <w:rFonts w:ascii="Times New Roman" w:hAnsi="Times New Roman" w:eastAsia="宋体"/>
          <w:sz w:val="24"/>
        </w:rPr>
        <w:t>Obstacles such as raising adequate funding, navi­ gating environmental or social concerns, and man­ aging risks related to ethics, privacy, and public trust frequently surface only as products or services reach the market. Policymakers, therefore, face the com­ plex challenge of supporting promising advances while being mindful of their associated risks.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Striking the right balance requires acknowledging that disruptive technological progress brings both opportunity and uncertainty. While advocates may downplay early concerns as barriers to the inno­ vations that would beneft their businesses, unad­ dressed risks—especially ones that could impact society—can escalate as new technologies scale.</w:t>
      </w:r>
    </w:p>
    <w:p>
      <w:pPr>
        <w:pStyle w:val="DocBody"/>
      </w:pPr>
      <w:r>
        <w:rPr>
          <w:rFonts w:ascii="Times New Roman" w:hAnsi="Times New Roman" w:eastAsia="宋体"/>
          <w:sz w:val="24"/>
        </w:rPr>
        <w:t>Governments can mitigate these challenges by incorporating diverse and even critical perspectives early in the technology life cycle, fostering an envi­ ronment that encourages innovation while manag­ ing its potential downsides.</w:t>
      </w:r>
    </w:p>
    <w:p>
      <w:pPr>
        <w:pStyle w:val="DocBody"/>
      </w:pPr>
      <w:r>
        <w:rPr>
          <w:rFonts w:ascii="Times New Roman" w:hAnsi="Times New Roman" w:eastAsia="宋体"/>
          <w:sz w:val="24"/>
        </w:rPr>
        <w:t>Technological Optimism, Hyperbole, and Technical Reality This publication highlights ten signifcant emerging technologies. In preparing the latest edition of the Stanford Emerging Technology Review (SETR), fac­ ulty members from each of these felds expressed broad optimism about the societal and scientifc value of research in their respective domains. This optimism is hardly surprising: Those who dedicate their careers to advancing new technologies natu­ rally believe in their potential to address important challenges. Indeed, a conviction that progress will continue and yield solutions is almost a prerequisite for anyone deeply invested in innovation.</w:t>
      </w:r>
    </w:p>
    <w:p>
      <w:pPr>
        <w:pStyle w:val="DocBody"/>
      </w:pPr>
      <w:r>
        <w:rPr>
          <w:rFonts w:ascii="Times New Roman" w:hAnsi="Times New Roman" w:eastAsia="宋体"/>
          <w:sz w:val="24"/>
        </w:rPr>
        <w:t>However, the line between responsible optimism and irresponsible hype can be crossed easily, lead­ ing to an all-too-common pattern where media cov­ erage ignoring basic scientifc fundamentals leads to overinfated expectations among the public.</w:t>
      </w:r>
    </w:p>
    <w:p>
      <w:pPr>
        <w:pStyle w:val="DocBody"/>
      </w:pPr>
      <w:r>
        <w:rPr>
          <w:rFonts w:ascii="Times New Roman" w:hAnsi="Times New Roman" w:eastAsia="宋体"/>
          <w:sz w:val="24"/>
        </w:rPr>
        <w:t>Technological hype often begins with a breakthrough in an emerging technology area, quickly followed by grandiose promises of disruptive, even revolutionary impact. Such promises—in reality, overpromises— make claims that go far beyond what available knowledge and evidence support. They focus on potential rather than proven functionality and often rely on emotional appeal and ambiguous termi­ nology. They also imply that all social or economic challenges can be solved through technological innovation alone, ignoring implementation barriers, regulatory considerations, social acceptance, or the harms often caused by large-scale deployments of unproven technology.</w:t>
      </w:r>
    </w:p>
    <w:p>
      <w:pPr>
        <w:pStyle w:val="DocBody"/>
      </w:pPr>
      <w:r>
        <w:rPr>
          <w:rFonts w:ascii="Times New Roman" w:hAnsi="Times New Roman" w:eastAsia="宋体"/>
          <w:sz w:val="24"/>
        </w:rPr>
        <w:t>A prominent example of technological hyper­ bole comes from 1989, when two chemists at the University of Utah announced they had achieved cold fusion—that is, fusion reactions at low temperatures.</w:t>
      </w:r>
    </w:p>
    <w:p>
      <w:pPr>
        <w:pStyle w:val="DocBody"/>
      </w:pPr>
      <w:r>
        <w:rPr>
          <w:rFonts w:ascii="Times New Roman" w:hAnsi="Times New Roman" w:eastAsia="宋体"/>
          <w:sz w:val="24"/>
        </w:rPr>
        <w:t>This fnding, if true, would have challenged the sci­ entifc consensus that extremely high temperatures are required for such reactions. Rather than follow­ ing the standard scientifc process of peer review, the researchers revealed their fndings at a press conference, touting the potential for a clean, virtu­ ally inexhaustible energy source.15 National advisors emphasized the discovery’s importance, suggesting that it was too signifcant to leave solely to the sci­ entifc community.16 The implication was that factors other than science should play an important role in how the nation should proceed at that moment. This was despite the fact that the possibility being dis­ cussed (that cold fusion had actually been discov­ ered) was entirely a scientifc question.</w:t>
      </w:r>
    </w:p>
    <w:p>
      <w:pPr>
        <w:pStyle w:val="DocBody"/>
      </w:pPr>
      <w:r>
        <w:rPr>
          <w:rFonts w:ascii="Times New Roman" w:hAnsi="Times New Roman" w:eastAsia="宋体"/>
          <w:sz w:val="24"/>
        </w:rPr>
        <w:t>The scientists’ subsequent publication underwent expedited peer review and was widely criticized for lacking essential experimental details, which made independent verifcation diffcult. Their claims rested on observations of heat production that they attributed to fusion. However, later investigations identifed signifcant faws in their measurement techniques, undermining confdence in their overall fndings.</w:t>
      </w:r>
    </w:p>
    <w:p>
      <w:pPr>
        <w:pStyle w:val="DocBody"/>
      </w:pPr>
      <w:r>
        <w:rPr>
          <w:rFonts w:ascii="Times New Roman" w:hAnsi="Times New Roman" w:eastAsia="宋体"/>
          <w:sz w:val="24"/>
        </w:rPr>
        <w:t>This 1989 episode is widely regarded today as an object lesson in the perils of circumventing the normal processes of science. Some researchers are still working on low-temperature fusion as a plausi­ ble mechanism for generating energy, and the feld is supported at the level of around $10 million per year in research funding. However, this level of sup­ port—a very small fraction of the funding dedicated to more traditional fusion research—should not be regarded as vindication for the original cold fusion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w:t>
      </w:r>
    </w:p>
    <w:p>
      <w:pPr>
        <w:pStyle w:val="DocBody"/>
      </w:pPr>
      <w:r>
        <w:rPr>
          <w:rFonts w:ascii="Times New Roman" w:hAnsi="Times New Roman" w:eastAsia="宋体"/>
          <w:sz w:val="24"/>
        </w:rPr>
        <w:t>proponents. Rather, it refects the quite modest level of support appropriate for an approach to fusion that is regarded skeptically by most in the scientifc community but has not been shown to be categor­ ically false.</w:t>
      </w:r>
    </w:p>
    <w:p>
      <w:pPr>
        <w:pStyle w:val="DocBody"/>
      </w:pPr>
      <w:r>
        <w:rPr>
          <w:rFonts w:ascii="Times New Roman" w:hAnsi="Times New Roman" w:eastAsia="宋体"/>
          <w:sz w:val="24"/>
        </w:rPr>
        <w:t>Technological hype affects investors, consumers, policymakers, and other stakeholders—all of whom must navigate the complex interplay between marketing rhetoric and substantive advancement.</w:t>
      </w:r>
    </w:p>
    <w:p>
      <w:pPr>
        <w:pStyle w:val="DocBody"/>
      </w:pPr>
      <w:r>
        <w:rPr>
          <w:rFonts w:ascii="Times New Roman" w:hAnsi="Times New Roman" w:eastAsia="宋体"/>
          <w:sz w:val="24"/>
        </w:rPr>
        <w:t>Underlying any given instance of technological hype is often something genuine—some scientifc or technological development that is in fact new or noteworthy. But public stakeholders would be well advised to allow the scientifc review process to play out before jumping on a hyperbole-driven bandwagon.</w:t>
      </w:r>
    </w:p>
    <w:p>
      <w:pPr>
        <w:pStyle w:val="DocBody"/>
      </w:pPr>
      <w:r>
        <w:rPr>
          <w:rFonts w:ascii="Times New Roman" w:hAnsi="Times New Roman" w:eastAsia="宋体"/>
          <w:sz w:val="24"/>
        </w:rPr>
        <w:t>Frontier Bias Frontier bias is a tendency among analysts, com­ mentators, and policymakers to focus on the signif­ icance of the newest and most recent innovations.</w:t>
      </w:r>
    </w:p>
    <w:p>
      <w:pPr>
        <w:pStyle w:val="DocBody"/>
      </w:pPr>
      <w:r>
        <w:rPr>
          <w:rFonts w:ascii="Times New Roman" w:hAnsi="Times New Roman" w:eastAsia="宋体"/>
          <w:sz w:val="24"/>
        </w:rPr>
        <w:t>Such a trend has been apparent even in the uptake of earlier versions of this report—requests for brief­ ings arising from the publications have most often focused on what’s newest and most advanced in various felds. Frontier bias emerges from many sources, but one of the most prominent is the tech­ nology hype described in the previous section.</w:t>
      </w:r>
    </w:p>
    <w:p>
      <w:pPr>
        <w:pStyle w:val="DocBody"/>
      </w:pPr>
      <w:r>
        <w:rPr>
          <w:rFonts w:ascii="Times New Roman" w:hAnsi="Times New Roman" w:eastAsia="宋体"/>
          <w:sz w:val="24"/>
        </w:rPr>
        <w:t>Given humans’ predilection for novelty, this bias is understandable. But it carries with it the risk of overlooking “old” technologies that can be used in novel and impactful ways. Innovation using proven and known technologies is a powerful means of advancing national and societal interests and, by defnition, does not rely on fundamental scientifc or technological breakthroughs.</w:t>
      </w:r>
    </w:p>
    <w:p>
      <w:pPr>
        <w:pStyle w:val="DocBody"/>
      </w:pPr>
      <w:r>
        <w:rPr>
          <w:rFonts w:ascii="Times New Roman" w:hAnsi="Times New Roman" w:eastAsia="宋体"/>
          <w:sz w:val="24"/>
        </w:rPr>
        <w:t>One prominent example of older or known tech­ nologies being used in such ways can be seen in the present Russia-Ukraine war. Many of the drones having a signifcant effect on the battlefeld are a diverse mix of moderately sophisticated ones and off-the-shelf commercial drones. And, in response to US trade sanctions on advanced semiconductors, Russia is using chips designed for home and com­ mercial use to control its weapons.</w:t>
      </w:r>
    </w:p>
    <w:p>
      <w:pPr>
        <w:pStyle w:val="DocBody"/>
      </w:pPr>
      <w:r>
        <w:rPr>
          <w:rFonts w:ascii="Times New Roman" w:hAnsi="Times New Roman" w:eastAsia="宋体"/>
          <w:sz w:val="24"/>
        </w:rPr>
        <w:t>Another example is the widespread use of the AK-47 automatic rife. Unlike other popular guns, the AK-47 was deliberately designed to be low-tech—cheap, simple, and durable; easy to manufacture; and with few moving parts. It has since proliferated: Some seventy-fve million of these guns are in operation today, and they have been widely adopted by forces around the world,17 most notably insurgent groups and terrorists.18 The story in chapter 10 on sustainable energy in SETR 2025, about a second life for electric vehicle (EV) batteries, is also relevant. As EVs become more prevalent, batteries in them that are coming to the end of their useful life face being discarded. But they often still have signifcant capacity for power storage. Specialized battery-management systems tailored to these batteries’ unique characteristics can help them serve in stationary energy-storage applications (see fgure 11.2), such as by acting as [Frontier] bias is understandable. But it carries with it the risk of overlooking “old” technologies that can be used in novel and impactful ways.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11.2  Advanced battery­management systems being used as stationary storage capacity Source: Smartville backup power sources for the grid. Because of their age, they may not be at the cutting edge of battery technology when they are converted, but such sys­ tems can give a productive second life to batteries that would otherwise be thrown away.</w:t>
      </w:r>
    </w:p>
    <w:p>
      <w:pPr>
        <w:pStyle w:val="DocBody"/>
      </w:pPr>
      <w:r>
        <w:rPr>
          <w:rFonts w:ascii="Times New Roman" w:hAnsi="Times New Roman" w:eastAsia="宋体"/>
          <w:sz w:val="24"/>
        </w:rPr>
        <w:t>A second consequence of frontier bias is a mis­ understanding of the difference between scientifc or technological advances and adoption at scale— a phenomenon that was noted earlier under “non­ scientifc infuences on innovation.” For example, in the couple of decades after the frst generation of commercial nuclear power in October 1956, there was considerable optimism that further technolog­ ical advancements in the feld would bring about an era in which electrical energy was too cheap to meter. But, as discussed in chapter 10 in SETR 2025, nuclear fssion has not been widely adopted as a source of energy for a variety of technical, economic, and political reasons.</w:t>
      </w:r>
    </w:p>
    <w:p>
      <w:pPr>
        <w:pStyle w:val="DocBody"/>
      </w:pPr>
      <w:r>
        <w:rPr>
          <w:rFonts w:ascii="Times New Roman" w:hAnsi="Times New Roman" w:eastAsia="宋体"/>
          <w:sz w:val="24"/>
        </w:rPr>
        <w:t>For an innovation to have signifcant societal impact, it needs to be broadly available and widely used. At one extreme, some innovations can be acquired by individuals based on their own personal needs. The rapid spread of personal computers in the 1980s and of rooftop solar panels for home electricity gen­ eration in the past decade are examples of people willing to spend money out of their own pockets to derive the benefts of these innovations. The result was rapid uptake and adoption throughout society.</w:t>
      </w:r>
    </w:p>
    <w:p>
      <w:pPr>
        <w:pStyle w:val="DocBody"/>
      </w:pPr>
      <w:r>
        <w:rPr>
          <w:rFonts w:ascii="Times New Roman" w:hAnsi="Times New Roman" w:eastAsia="宋体"/>
          <w:sz w:val="24"/>
        </w:rPr>
        <w:t>At the other extreme, advanced technology that needs a signifcant degree of centralized planning or funding for realization is likely to require much longer timescales for widespread adoption. Nuclear energy requires the construction of nuclear reactors that cost billions of dollars. State-of-the-art semiconductor plants cost tens of billions of dollars. Medicines for treating neurodegeneration are available only at the end of a very expensive drug-approval and manufac­ turing process. Carbon capture and sequestration is too expensive to be widely adopted and is of marginal beneft to individuals, though it is of use to industrial facilities. For such innovations, it is unrealistic to expect rapid and widespread adoption throughout society.</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w:t>
      </w:r>
    </w:p>
    <w:p>
      <w:pPr>
        <w:pStyle w:val="DocBody"/>
      </w:pPr>
      <w:r>
        <w:rPr>
          <w:rFonts w:ascii="Times New Roman" w:hAnsi="Times New Roman" w:eastAsia="宋体"/>
          <w:sz w:val="24"/>
        </w:rPr>
        <w:t>Large and Growing Synergies Between Different Technologies The synergies between different technologies are both signifcant and expanding, as advances in one feld often enhance progress in others. For example:</w:t>
      </w:r>
    </w:p>
    <w:p>
      <w:pPr>
        <w:pStyle w:val="DocBody"/>
      </w:pPr>
      <w:r>
        <w:rPr>
          <w:rFonts w:ascii="Times New Roman" w:hAnsi="Times New Roman" w:eastAsia="宋体"/>
          <w:sz w:val="24"/>
        </w:rPr>
        <w:t>Artifcial intelligence (AI) contributes to advances ° in synthetic biology by predicting the structures of various biomolecules, such as proteins, nucleic acids, and small molecules singly or joined together in various complexes.19 AI helps to screen many candidate compounds to ° predict the ones most likely to exhibit desirable properties for materials science.20 Materials science is central to the identifcation of ° new semiconductors that may be useful in devel­ oping more energy-effcient chips, which in turn can reduce the cost of training AI models.21 Materials science is important in space research, ° where the creation of new materials may be needed for the construction of advanced space­ craft and satellites.22 It is also important in neu­ roscience, where it enables the development of neural probes that can send and receive electrical signals in neural tissue.23 Energy technologies help to improve the perfor­ ° mance of robotics and spacecraft.24 Synthetic biology can build organisms that pro­ ° duce certain specialized materials.25 Cheaper semiconductors have driven down the ° cost of DNA sequencing, which itself is a funda­ mental technology for synthetic biology.26 This point is more obvious when a feld such as AI or materials science is seen as a technology that impacts a variety of application domains. For exam­ ple, this report has discussed how AI has facilitated innovations in battery technology and in protein folding. Less obvious is that AI itself has benefted greatly from advances in semiconductor technology, which has itself benefted from developments in materials science.</w:t>
      </w:r>
    </w:p>
    <w:p>
      <w:pPr>
        <w:pStyle w:val="DocBody"/>
      </w:pPr>
      <w:r>
        <w:rPr>
          <w:rFonts w:ascii="Times New Roman" w:hAnsi="Times New Roman" w:eastAsia="宋体"/>
          <w:sz w:val="24"/>
        </w:rPr>
        <w:t>In certain instances, a useful technology becomes an enabling technology—a technology whose existence and characteristics enable applications that would not otherwise be feasible or affordable, especially across a number of different felds.27 (The sidebar on lasers as an enabling technology across multiple sec­ tors, drawn from SETR 2025, provides an example.)</w:t>
      </w:r>
    </w:p>
    <w:p>
      <w:pPr>
        <w:pStyle w:val="DocBody"/>
      </w:pPr>
      <w:r>
        <w:rPr>
          <w:rFonts w:ascii="Times New Roman" w:hAnsi="Times New Roman" w:eastAsia="宋体"/>
          <w:sz w:val="24"/>
        </w:rPr>
        <w:t>An enabling technology can evolve into a general- purpose technology if it becomes broadly useful across many domains. A general-purpose technol­ ogy is characterized by continuing improvement, wide applicability, and benefts that extend well beyond its original uses. Each advance in a general- purpose technology amplifes its overall impact.</w:t>
      </w:r>
    </w:p>
    <w:p>
      <w:pPr>
        <w:pStyle w:val="DocBody"/>
      </w:pPr>
      <w:r>
        <w:rPr>
          <w:rFonts w:ascii="Times New Roman" w:hAnsi="Times New Roman" w:eastAsia="宋体"/>
          <w:sz w:val="24"/>
        </w:rPr>
        <w:t>Historical examples—such as the steam engine, elec­ tricity, and information technology—have transformed economic growth, industry, and daily life. General- purpose technologies ultimately reshape how people, frms, and governments interact with a wide range of other technologies and with one another.</w:t>
      </w:r>
    </w:p>
    <w:p>
      <w:pPr>
        <w:pStyle w:val="DocBody"/>
      </w:pPr>
      <w:r>
        <w:rPr>
          <w:rFonts w:ascii="Times New Roman" w:hAnsi="Times New Roman" w:eastAsia="宋体"/>
          <w:sz w:val="24"/>
        </w:rPr>
        <w:t>° Human capital is the foundation of scientifc and technological progress. Sustained investment in it is the single most critical factor in ensuring long-term national competitiveness and scientifc advancement.</w:t>
      </w:r>
    </w:p>
    <w:p>
      <w:pPr>
        <w:pStyle w:val="DocBody"/>
      </w:pPr>
      <w:r>
        <w:rPr>
          <w:rFonts w:ascii="Times New Roman" w:hAnsi="Times New Roman" w:eastAsia="宋体"/>
          <w:sz w:val="24"/>
        </w:rPr>
        <w:t>° Universities are central both to high-risk research and to science, technology, engineering, and mathematics (STEM) education. Yet federal R&amp;D funding as a share of GDP has declined, and policy ambiguities hinder international collaboration.</w:t>
      </w:r>
    </w:p>
    <w:p>
      <w:pPr>
        <w:pStyle w:val="DocBody"/>
      </w:pPr>
      <w:r>
        <w:rPr>
          <w:rFonts w:ascii="Times New Roman" w:hAnsi="Times New Roman" w:eastAsia="宋体"/>
          <w:sz w:val="24"/>
        </w:rPr>
        <w:t>Human Capital and Knowledge Ecosystems KEY TAKEAWAYS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 LASERS: AN ENABLING TECHNOLOGY ACROSS MULTIPLE SECTORS Lasers, as highlighted in the 2025 edition of the Stanford Emerging Technology Review, are an enabling technol­ ogy for a wide array of scientific and industrial fields due to their precision, versatility, and efficiency.</w:t>
      </w:r>
    </w:p>
    <w:p>
      <w:pPr>
        <w:pStyle w:val="DocBody"/>
      </w:pPr>
      <w:r>
        <w:rPr>
          <w:rFonts w:ascii="Times New Roman" w:hAnsi="Times New Roman" w:eastAsia="宋体"/>
          <w:sz w:val="24"/>
        </w:rPr>
        <w:t>Medicine °   Surgical precision    Lasers are used to ablate, cut, or vaporize tissue and to clot bodily fluids. Unlike tradi­ tional tools such as saws or drills, lasers provide cleaner, more precise cuts, minimizing mechanical and ther­ mal damage to surrounding tissues.</w:t>
      </w:r>
    </w:p>
    <w:p>
      <w:pPr>
        <w:pStyle w:val="DocBody"/>
      </w:pPr>
      <w:r>
        <w:rPr>
          <w:rFonts w:ascii="Times New Roman" w:hAnsi="Times New Roman" w:eastAsia="宋体"/>
          <w:sz w:val="24"/>
        </w:rPr>
        <w:t>°   Cancer treatment    Lasers can target and destroy subsurface tumors with minimal harm to healthy tissue, offering less invasive alternatives for certain procedures.</w:t>
      </w:r>
    </w:p>
    <w:p>
      <w:pPr>
        <w:pStyle w:val="DocBody"/>
      </w:pPr>
      <w:r>
        <w:rPr>
          <w:rFonts w:ascii="Times New Roman" w:hAnsi="Times New Roman" w:eastAsia="宋体"/>
          <w:sz w:val="24"/>
        </w:rPr>
        <w:t>Military applications °   Directed-energy weapons    Lasers are being developed as weapons capable of disabling satellites and pro­ viding short-range air defense against drones, rockets, and artillery.</w:t>
      </w:r>
    </w:p>
    <w:p>
      <w:pPr>
        <w:pStyle w:val="DocBody"/>
      </w:pPr>
      <w:r>
        <w:rPr>
          <w:rFonts w:ascii="Times New Roman" w:hAnsi="Times New Roman" w:eastAsia="宋体"/>
          <w:sz w:val="24"/>
        </w:rPr>
        <w:t>°   Target designation    Lasers play a crucial role in guiding munitions by marking targets with beams of light, allowing for highly accurate strikes.</w:t>
      </w:r>
    </w:p>
    <w:p>
      <w:pPr>
        <w:pStyle w:val="DocBody"/>
      </w:pPr>
      <w:r>
        <w:rPr>
          <w:rFonts w:ascii="Times New Roman" w:hAnsi="Times New Roman" w:eastAsia="宋体"/>
          <w:sz w:val="24"/>
        </w:rPr>
        <w:t>Communications °   Fiber-optic data transmission    Lasers transmit vast amounts of data through fiber-optic cables. Advances now allow for much shorter laser pulses, maintaining data fidelity while potentially reducing power consumption.</w:t>
      </w:r>
    </w:p>
    <w:p>
      <w:pPr>
        <w:pStyle w:val="DocBody"/>
      </w:pPr>
      <w:r>
        <w:rPr>
          <w:rFonts w:ascii="Times New Roman" w:hAnsi="Times New Roman" w:eastAsia="宋体"/>
          <w:sz w:val="24"/>
        </w:rPr>
        <w:t>°   Satellite links    Lasers enable high-speed, long-range data transmission between satellites, supporting global communications infrastructure.</w:t>
      </w:r>
    </w:p>
    <w:p>
      <w:pPr>
        <w:pStyle w:val="DocBody"/>
      </w:pPr>
      <w:r>
        <w:rPr>
          <w:rFonts w:ascii="Times New Roman" w:hAnsi="Times New Roman" w:eastAsia="宋体"/>
          <w:sz w:val="24"/>
        </w:rPr>
        <w:t>Manufacturing °   3-D printing    Lasers are integral to additive manufacturing techniques such as stereolithography and selec­ tive laser sintering. In stereolithography, ultraviolet lasers cure photosensitive resin layer by layer, while in selective laser sintering, lasers fuse powdered materials like nylon or metal. These methods allow for rapid prototyping and the creation of complex structures from various materials.</w:t>
      </w:r>
    </w:p>
    <w:p>
      <w:pPr>
        <w:pStyle w:val="DocBody"/>
      </w:pPr>
      <w:r>
        <w:rPr>
          <w:rFonts w:ascii="Times New Roman" w:hAnsi="Times New Roman" w:eastAsia="宋体"/>
          <w:sz w:val="24"/>
        </w:rPr>
        <w:t>Imaging °   X-ray free-electron lasers (XFELs)    XFELs generate powerful X-ray pulses that penetrate materials, enabling high-resolution imaging and measurement of physical properties. Their short wavelengths provide superior spatial resolution compared to visible light, facilitating breakthroughs such as imaging new proteins, observ­ ing quantum material phase transitions, and tracking biomolecular movements in real time.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w:t>
      </w:r>
    </w:p>
    <w:p>
      <w:pPr>
        <w:pStyle w:val="DocBody"/>
      </w:pPr>
      <w:r>
        <w:rPr>
          <w:rFonts w:ascii="Times New Roman" w:hAnsi="Times New Roman" w:eastAsia="宋体"/>
          <w:sz w:val="24"/>
        </w:rPr>
        <w:t>The “valley of death” between research feasibility ° and commercial viability remains a major barrier to advancing innovations to market. New funding models are needed to bridge this gap and sustain America’s technological leadership.</w:t>
      </w:r>
    </w:p>
    <w:p>
      <w:pPr>
        <w:pStyle w:val="DocBody"/>
      </w:pPr>
      <w:r>
        <w:rPr>
          <w:rFonts w:ascii="Times New Roman" w:hAnsi="Times New Roman" w:eastAsia="宋体"/>
          <w:sz w:val="24"/>
        </w:rPr>
        <w:t>The Central Importance of Ideas and Human Talent in Science and Technology Scientifc progress thrives on new ideas, which are generated daily by the most talented individuals worldwide. But human talent capable of creating ideas in science and technology cannot be gen­ erated on demand. Such talent must be nurtured domestically or acquired from foreign sources.</w:t>
      </w:r>
    </w:p>
    <w:p>
      <w:pPr>
        <w:pStyle w:val="DocBody"/>
      </w:pPr>
      <w:r>
        <w:rPr>
          <w:rFonts w:ascii="Times New Roman" w:hAnsi="Times New Roman" w:eastAsia="宋体"/>
          <w:sz w:val="24"/>
        </w:rPr>
        <w:t>Workers of US origin still make up the majority of the US STEM workforce, although foreign-born talent accounts for an increasingly large fraction of it.</w:t>
      </w:r>
    </w:p>
    <w:p>
      <w:pPr>
        <w:pStyle w:val="DocBody"/>
      </w:pPr>
      <w:r>
        <w:rPr>
          <w:rFonts w:ascii="Times New Roman" w:hAnsi="Times New Roman" w:eastAsia="宋体"/>
          <w:sz w:val="24"/>
        </w:rPr>
        <w:t>Strengthening the domestic pipeline of STEM work­ ers is essential for several reasons.</w:t>
      </w:r>
    </w:p>
    <w:p>
      <w:pPr>
        <w:pStyle w:val="DocBody"/>
      </w:pPr>
      <w:r>
        <w:rPr>
          <w:rFonts w:ascii="Times New Roman" w:hAnsi="Times New Roman" w:eastAsia="宋体"/>
          <w:sz w:val="24"/>
        </w:rPr>
        <w:t>First, a number of studies indicate a strong cor­ ° relation between a nation’s STEM education and economic growth and productivity.28 Correlation is not causation, but the connection is unlikely to be accidental or spurious.</w:t>
      </w:r>
    </w:p>
    <w:p>
      <w:pPr>
        <w:pStyle w:val="DocBody"/>
      </w:pPr>
      <w:r>
        <w:rPr>
          <w:rFonts w:ascii="Times New Roman" w:hAnsi="Times New Roman" w:eastAsia="宋体"/>
          <w:sz w:val="24"/>
        </w:rPr>
        <w:t>Second, other nations—such as China and India, ° from which signifcant numbers of STEM students in the United States originate—are investing more heavily in scientifc R&amp;D. Individuals who have previously chosen to work and study in the United States may well take advantage of oppor­ tunities at home created by such investment in greater numbers. Foreign-born individuals work­ ing in the US STEM workforce may have family or personal ties in their nations of origin that tempt them to return. Foreign countries may also take steps that explicitly discourage their scientists and engineers from studying or working in the United States.</w:t>
      </w:r>
    </w:p>
    <w:p>
      <w:pPr>
        <w:pStyle w:val="DocBody"/>
      </w:pPr>
      <w:r>
        <w:rPr>
          <w:rFonts w:ascii="Times New Roman" w:hAnsi="Times New Roman" w:eastAsia="宋体"/>
          <w:sz w:val="24"/>
        </w:rPr>
        <w:t>Third, many security-sensitive jobs depend ° on US citizens. In 2021, the US Department of Defense (DOD) noted that improving the capac­ ity and resilience of the defense industrial base requires more workers trained in STEM.29 It also observed that the dearth of trained software engineers working on classifed projects was in part because of the requirement that they are US citizens. In 2025, the aerospace and defense sector continued to face a severe talent short­ fall, with industry analysts estimating that about ffty thousand software and technology positions remain unflled.30 According to analysts from the National Defense Industrial Association’s Emerging Technologies Institute and the Institute for Progress,31 the US defense industrial base relies on roughly 110,000 foreign-born STEM graduates at any given time; of this number, 85 percent are naturalized citizens. As they conclude, “[US] Defense Department projects are disproportionately likely to turn to international talent [i.e., talent from foreign sources] for advanced STEM skills.”</w:t>
      </w:r>
    </w:p>
    <w:p>
      <w:pPr>
        <w:pStyle w:val="DocBody"/>
      </w:pPr>
      <w:r>
        <w:rPr>
          <w:rFonts w:ascii="Times New Roman" w:hAnsi="Times New Roman" w:eastAsia="宋体"/>
          <w:sz w:val="24"/>
        </w:rPr>
        <w:t>In promoting a more robust domestic contribution to building STEM expertise in America, it is sober­ ing to realize that the United States is also facing a decades-long decline in K–12 (kindergarten to twelfth grade) STEM profciency,32 with standard­ ized testing revealing declining scores in fourth- and eighth-grade mathematics.33 While COVID-19 disruptions account for some of the decline,34 the 2024 National Assessment of Educational Progress (released in January 2025) shows that US math scores remain below pre-pandemic levels (as seen in fgure 11.3): Fourth-grade math scores have risen since 2022 but were still below their 2019 level, while eighth-grade math scores dropped compared with 2019. Reading scores fell from 2019 levels for both grades.35 This follows a twenty-year trend of diminishing US K–12 STEM profciency.36 Another data point is found in the fve-year trend from the national ACT (American College Testing) test, a curriculum-based assessment of high school seniors tracking the mastery of college-readiness standards.37</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FIGURE 11.3  National Assessment of Educational Progress scores over time 85% 80% 75% 70% 65% 60% 55% 2022 2024 4th-grade 8th-grade 4th-grade 8th-grade math math reading reading Source: National Assessment of Educational Progress Since 2020, scores on the college-readiness bench­ marks for mathematics and science have dropped monotonically. In 2024, only 29 percent of seniors met the readiness standard for mathematics, and only 30 percent met the standard for science, highlighting a critical educational challenge for the nation’s eco­ nomic and technological competitiveness.</w:t>
      </w:r>
    </w:p>
    <w:p>
      <w:pPr>
        <w:pStyle w:val="DocBody"/>
      </w:pPr>
      <w:r>
        <w:rPr>
          <w:rFonts w:ascii="Times New Roman" w:hAnsi="Times New Roman" w:eastAsia="宋体"/>
          <w:sz w:val="24"/>
        </w:rPr>
        <w:t>Of particular concern is that only 7 percent of American teens scored in the highest level of math profciency as measured in 2022 by the Program for International Student Assessment, a test to assess student ability to apply knowledge in real-world situations, administered by the Organisation for Economic Co-operation and Development. This is compared to 12 percent of Canadians and 41 percent of Singaporean teens scoring in the top category.38 Adding to the challenge is a shortage of quali­ fed STEM educators in the United States. Even as early as 2012, about 30 percent of math teachers, 26 percent of biology teachers, and 54 percent of physical science teachers lacked a major or degree relevant to their teaching assignment,39 and there is no reason to believe that the situation has improved since then. Further, one study from 2021 estimates the shortage of qualifed STEM teachers in middle and high school at between 180,000 and 350,000.40 Simultaneously, the annual production of new STEM teachers in America has declined, falling from about 31,000 a decade ago to roughly 20,000 today.41 When considering foreign sources of STEM talent, immigration policies affecting the labor force can make it harder to meet recruitment goals in industries like semiconductors, biotechnology, and sustainable energy. Foreign talent makes critical contributions to US STEM.</w:t>
      </w:r>
    </w:p>
    <w:p>
      <w:pPr>
        <w:pStyle w:val="DocBody"/>
      </w:pPr>
      <w:r>
        <w:rPr>
          <w:rFonts w:ascii="Times New Roman" w:hAnsi="Times New Roman" w:eastAsia="宋体"/>
          <w:sz w:val="24"/>
        </w:rPr>
        <w:t>R&amp;D funding levels are also changing. Although America remains the single most prominent con­ tributor to global R&amp;D, other nations—most notably China—are rapidly increasing their investments in this area. Geographic concentration of R&amp;D expen­ diture continues its shift from the United States and Europe to East, Southeast, and South Asia.</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w:t>
      </w:r>
    </w:p>
    <w:p>
      <w:pPr>
        <w:pStyle w:val="DocBody"/>
      </w:pPr>
      <w:r>
        <w:rPr>
          <w:rFonts w:ascii="Times New Roman" w:hAnsi="Times New Roman" w:eastAsia="宋体"/>
          <w:sz w:val="24"/>
        </w:rPr>
        <w:t>This trend highlights the increasing importance of international collaboration. US researchers ben­ eft from ideas developed abroad when they read scientifc literature from other countries, but direct interactions with foreign researchers are often more valuable because they provide more comprehen­ sive and expansive insights. Such interactions help American researchers acquire tacit knowledge that is not captured in published papers, including research directions that appeared promising but did not ultimately bear fruit. They also offer a deeper understanding of foreign scientifc progress. (See the sidebar on the importance of tacit knowledge for more information.)</w:t>
      </w:r>
    </w:p>
    <w:p>
      <w:pPr>
        <w:pStyle w:val="DocBody"/>
      </w:pPr>
      <w:r>
        <w:rPr>
          <w:rFonts w:ascii="Times New Roman" w:hAnsi="Times New Roman" w:eastAsia="宋体"/>
          <w:sz w:val="24"/>
        </w:rPr>
        <w:t>This point about the importance of tacit knowledge in scientifc advancement has been made by many THE IMPORTANCE OF TACIT KNOWLEDGE scholars,42 and it was expressed particularly strongly in a multitude of interviews with Stanford faculty work­ ing in the technology areas addressed in this report.</w:t>
      </w:r>
    </w:p>
    <w:p>
      <w:pPr>
        <w:pStyle w:val="DocBody"/>
      </w:pPr>
      <w:r>
        <w:rPr>
          <w:rFonts w:ascii="Times New Roman" w:hAnsi="Times New Roman" w:eastAsia="宋体"/>
          <w:sz w:val="24"/>
        </w:rPr>
        <w:t>America’s ability to attract and retain foreign talent is essential for maintaining its innovation edge, and domestic innovation is hindered when limitations are imposed on interactions with foreign scientists and their research. Skilled immigrants play a crucial role in American innovation, with immigrant col­ lege graduates receiving patents at twice the rate of native-born Americans.43 More generally, drawing from a broader pool of people will yield higher qual­ ity talent than digging more deeply into an existing pool simply because the broader pool is more likely to have a greater number of individuals at the high end of the talent distribution.</w:t>
      </w:r>
    </w:p>
    <w:p>
      <w:pPr>
        <w:pStyle w:val="DocBody"/>
      </w:pPr>
      <w:r>
        <w:rPr>
          <w:rFonts w:ascii="Times New Roman" w:hAnsi="Times New Roman" w:eastAsia="宋体"/>
          <w:sz w:val="24"/>
        </w:rPr>
        <w:t>Tacit knowledge is almost always found at the frontiers of new technologies. Unlike explicit knowledge, which can be codifed and shared in documents, tacit knowledge consists of personal, intuitive skills and insights gained through experience and practice that are hard to articulate. Such knowledge allows practitioners to interpret results, troubleshoot equipment, and apply theories effectively—skills that cannot be fully acquired from published papers alone. Instead, these abilities often require working alongside experienced professionals and absorbing problem-solving habits through direct interaction.</w:t>
      </w:r>
    </w:p>
    <w:p>
      <w:pPr>
        <w:pStyle w:val="DocBody"/>
      </w:pPr>
      <w:r>
        <w:rPr>
          <w:rFonts w:ascii="Times New Roman" w:hAnsi="Times New Roman" w:eastAsia="宋体"/>
          <w:sz w:val="24"/>
        </w:rPr>
        <w:t>The signifcance of tacit knowledge is clear even outside the laboratory. For example, in the semiconductor sector, close on-site collaboration between chip buyers and manufacturers helps minimize production downtime since diagnosing problems often depends on hands-on familiarity with complex equipment. Some semiconduc­ tor companies even embed technicians with their customers worldwide because the technicians’ subtle skills at equipment calibration cannot be captured in manuals; rather, they must be conveyed through mentorship and direct, hands-on involvement.</w:t>
      </w:r>
    </w:p>
    <w:p>
      <w:pPr>
        <w:pStyle w:val="DocBody"/>
      </w:pPr>
      <w:r>
        <w:rPr>
          <w:rFonts w:ascii="Times New Roman" w:hAnsi="Times New Roman" w:eastAsia="宋体"/>
          <w:sz w:val="24"/>
        </w:rPr>
        <w:t>As a technology matures, the tacit knowledge of experts in the feld becomes more explicit. This shift signals progress: For any technology to be integrated into a society’s infrastructure, informal know-how must be docu­ mented and standardized. Turning these unspoken practices into clear procedures and guidance supports wider adoption and also ensures that a technology can be taught, replicated, and relied upon by a broader group of practitioners. This transformation—from personal mastery to public instruction—marks the transition from a niche innovation to a stable, essential technology.</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US policies that discourage immigration can reduce the infux of skilled workers, impacting the coun­ try’s capacity for innovation.44 They also shift skilled talent and multinational R&amp;D investment to other countries, including strategic competitors such as China and also close allies such as Canada.45 This shift can sometimes force US companies to relocate abroad due to worker shortages.46 Finally, many academic researchers are immigrants on student visas. STEM workers educated in the United States are more likely to have personal and, in many cases, citizenship loyalties to America and can fairly be regarded as more likely to remain in the country than to leave after completing their studies. But without offering them a clear route to permanent residence, the United States loses key teaching and research talent in vital STEM domains.</w:t>
      </w:r>
    </w:p>
    <w:p>
      <w:pPr>
        <w:pStyle w:val="DocBody"/>
      </w:pPr>
      <w:r>
        <w:rPr>
          <w:rFonts w:ascii="Times New Roman" w:hAnsi="Times New Roman" w:eastAsia="宋体"/>
          <w:sz w:val="24"/>
        </w:rPr>
        <w:t>Today, both domestic and foreign paths to grow­ ing the requisite talent base to sustain and grow US innovation face serious and rising challenges. The global competition for talent means that the United States must adopt a more strategic approach to leveraging international expertise, as connections between American science and technology efforts and those of the rest of the world will accelerate the nation’s progress in critical technology felds. To maintain and enhance its innovation capacity, the United States urgently needs to improve its own STEM education across all demographic groups, provide better pathways for skilled immigrants to remain in the United States, and invest more in human capital.</w:t>
      </w:r>
    </w:p>
    <w:p>
      <w:pPr>
        <w:pStyle w:val="DocBody"/>
      </w:pPr>
      <w:r>
        <w:rPr>
          <w:rFonts w:ascii="Times New Roman" w:hAnsi="Times New Roman" w:eastAsia="宋体"/>
          <w:sz w:val="24"/>
        </w:rPr>
        <w:t>Concerns about foreign appropriation of American intellectual efforts are not without foundation. But using a meat axe to make blunt, widespread cuts in opportunities for collaboration with foreign sci­ entists when a surgical scalpel could be used to address only the issues warranting serious concern is a sure way to undermine the effectiveness of US scientifc endeavors.</w:t>
      </w:r>
    </w:p>
    <w:p>
      <w:pPr>
        <w:pStyle w:val="DocBody"/>
      </w:pPr>
      <w:r>
        <w:rPr>
          <w:rFonts w:ascii="Times New Roman" w:hAnsi="Times New Roman" w:eastAsia="宋体"/>
          <w:sz w:val="24"/>
        </w:rPr>
        <w:t>Role of Universities in Technological Innovation Within the innovation ecosystem, universities play two unique and pivotal roles that are often underappreci­ ated. First, they have the mission of pursuing high-risk research openly that may not pay off in commercial or societal applications for a long time, if ever.47 (See the sidebar on the long-term reach of university research for some examples.) This openness accelerates dis­ covery by making study details, data, and results accessible to others. Private companies contribute to the innovation process, but universities and other research institutions are key to many advancements.</w:t>
      </w:r>
    </w:p>
    <w:p>
      <w:pPr>
        <w:pStyle w:val="DocBody"/>
      </w:pPr>
      <w:r>
        <w:rPr>
          <w:rFonts w:ascii="Times New Roman" w:hAnsi="Times New Roman" w:eastAsia="宋体"/>
          <w:sz w:val="24"/>
        </w:rPr>
        <w:t>One signifcant data point is that more than 80 percent of the algorithms used today—not just in AI but in all kinds of information technology—originated from sources other than industrial research.48 University openness magnifes educational and societal benefts by enabling other researchers to build on prior work, thus driving innovation forward.</w:t>
      </w:r>
    </w:p>
    <w:p>
      <w:pPr>
        <w:pStyle w:val="DocBody"/>
      </w:pPr>
      <w:r>
        <w:rPr>
          <w:rFonts w:ascii="Times New Roman" w:hAnsi="Times New Roman" w:eastAsia="宋体"/>
          <w:sz w:val="24"/>
        </w:rPr>
        <w:t>Second, as educational institutions, universities play the central role in developing STEM expertise within the next generation. Any long-term plan for STEM leadership globally must include efforts to sustain advantages that the United States has. For example, US higher education in STEM is still the best in the world. This leadership is reinforced by the strength of America’s university-based research enterprise:</w:t>
      </w:r>
    </w:p>
    <w:p>
      <w:pPr>
        <w:pStyle w:val="DocBody"/>
      </w:pPr>
      <w:r>
        <w:rPr>
          <w:rFonts w:ascii="Times New Roman" w:hAnsi="Times New Roman" w:eastAsia="宋体"/>
          <w:sz w:val="24"/>
        </w:rPr>
        <w:t>There is no better way to learn how to do state-of­ the-art research in STEM than to actively participate in such work. By providing students with hands-on research experiences, access to cutting-edge facil­ ities, and mentorship from leading experts, US uni­ versities can create an environment where the next generation of STEM leaders will fourish.</w:t>
      </w:r>
    </w:p>
    <w:p>
      <w:pPr>
        <w:pStyle w:val="DocBody"/>
      </w:pPr>
      <w:r>
        <w:rPr>
          <w:rFonts w:ascii="Times New Roman" w:hAnsi="Times New Roman" w:eastAsia="宋体"/>
          <w:sz w:val="24"/>
        </w:rPr>
        <w:t>Throughout history, government-supported univer­ sity research has played a key role in technologi­ cal advancements, from radar and proximity fuses during World War II to modern developments like AI and mRNA vaccines. It has generated knowledge whose exploitation has created new industries and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w:t>
      </w:r>
    </w:p>
    <w:p>
      <w:pPr>
        <w:pStyle w:val="DocBody"/>
      </w:pPr>
      <w:r>
        <w:rPr>
          <w:rFonts w:ascii="Times New Roman" w:hAnsi="Times New Roman" w:eastAsia="宋体"/>
          <w:sz w:val="24"/>
        </w:rPr>
        <w:t>jobs, spurred economic growth, and supported a high standard of living while also achieving national goals for defense, health, and energy.49 It has also been a rich source of new ideas, particularly for the longer term, and universities are the primary source of graduates with advanced science and technology skills.</w:t>
      </w:r>
    </w:p>
    <w:p>
      <w:pPr>
        <w:pStyle w:val="DocBody"/>
      </w:pPr>
      <w:r>
        <w:rPr>
          <w:rFonts w:ascii="Times New Roman" w:hAnsi="Times New Roman" w:eastAsia="宋体"/>
          <w:sz w:val="24"/>
        </w:rPr>
        <w:t>University R&amp;D funding from all sources grew signif­ cantly in 2023, reaching $108.8 billion—an 11.2 per­ cent increase from 202250 (though it is likely to now be signifcantly lower given recent funding cuts).</w:t>
      </w:r>
    </w:p>
    <w:p>
      <w:pPr>
        <w:pStyle w:val="DocBody"/>
      </w:pPr>
      <w:r>
        <w:rPr>
          <w:rFonts w:ascii="Times New Roman" w:hAnsi="Times New Roman" w:eastAsia="宋体"/>
          <w:sz w:val="24"/>
        </w:rPr>
        <w:t>While private-sector investment in technology and university research has increased, it cannot replace federal funding, which supports R&amp;D focused on national and public issues rather than on commer­ cial viability.51 The US government remains uniquely capable of making large investments year after year in basic science at universities and national labo­ ratories, which is essential for future applications.</w:t>
      </w:r>
    </w:p>
    <w:p>
      <w:pPr>
        <w:pStyle w:val="DocBody"/>
      </w:pPr>
      <w:r>
        <w:rPr>
          <w:rFonts w:ascii="Times New Roman" w:hAnsi="Times New Roman" w:eastAsia="宋体"/>
          <w:sz w:val="24"/>
        </w:rPr>
        <w:t>Nevertheless, the proportion of academic R&amp;D fund­ ing supported by the US government declined over the past decade, standing at 55 percent of total sup­ port for academic R&amp;D in 2023, the most recent year with available data.52 As a percentage of GDP, funding trends have also been negative. The fraction of GDP that goes to R&amp;D could fairly be regarded as a seed corn investment in the future, yet federal R&amp;D funding has fallen from 1.86 percent of GDP in 1964 to just 0.63 percent of GDP in 2022.53 Until 2025, a constrained budget environment was the primary driver of these negative funding trends.</w:t>
      </w:r>
    </w:p>
    <w:p>
      <w:pPr>
        <w:pStyle w:val="DocBody"/>
      </w:pPr>
      <w:r>
        <w:rPr>
          <w:rFonts w:ascii="Times New Roman" w:hAnsi="Times New Roman" w:eastAsia="宋体"/>
          <w:sz w:val="24"/>
        </w:rPr>
        <w:t>For example, the Creating Helpful Incentives to Produce Semiconductors (CHIPS) and Science Act of 2022 authorized dramatically increased funding for basic research—about $53 billion—but Congress provided only $39 billion in the corresponding appropriation.54 The United States still funds more basic research than China, but Chinese investment is rising much more rapidly and will likely overtake that of the United States within a decade.55 THE LONG­TERM REACH OF UNIVERSITY RESEARCH Research in number theory—a branch of pure mathematics—was undertaken for decades before it became foundational to modern cryptography.</w:t>
      </w:r>
    </w:p>
    <w:p>
      <w:pPr>
        <w:pStyle w:val="DocBody"/>
      </w:pPr>
      <w:r>
        <w:rPr>
          <w:rFonts w:ascii="Times New Roman" w:hAnsi="Times New Roman" w:eastAsia="宋体"/>
          <w:sz w:val="24"/>
        </w:rPr>
        <w:t>In the 1960s, academic research on perceptrons sought to develop a computational basis for under­ standing the activity of the human brain. (A percep­ tron is the simplest form of neural network; it has one layer of artifcial neurons.) Although this line of research was abandoned after a decade or so, it ultimately gave rise to the work on deep learning in artifcial intelligence several decades later.</w:t>
      </w:r>
    </w:p>
    <w:p>
      <w:pPr>
        <w:pStyle w:val="DocBody"/>
      </w:pPr>
      <w:r>
        <w:rPr>
          <w:rFonts w:ascii="Times New Roman" w:hAnsi="Times New Roman" w:eastAsia="宋体"/>
          <w:sz w:val="24"/>
        </w:rPr>
        <w:t>The term mRNA vaccines entered the public lexicon in 2021 when COVID-19 vaccines were released.a Yet development of these vaccines was built on uni­ versity research with a thirty-year history.</w:t>
      </w:r>
    </w:p>
    <w:p>
      <w:pPr>
        <w:pStyle w:val="DocBody"/>
      </w:pPr>
      <w:r>
        <w:rPr>
          <w:rFonts w:ascii="Times New Roman" w:hAnsi="Times New Roman" w:eastAsia="宋体"/>
          <w:sz w:val="24"/>
        </w:rPr>
        <w:t>Magnetic resonance imaging (MRI) was frst discov­ ered in university studies in the 1940s, but it took another three decades of research, much of it uni­ versity based, for the frst medical MRI imagers to emerge.</w:t>
      </w:r>
    </w:p>
    <w:p>
      <w:pPr>
        <w:pStyle w:val="DocBody"/>
      </w:pPr>
      <w:r>
        <w:rPr>
          <w:rFonts w:ascii="Times New Roman" w:hAnsi="Times New Roman" w:eastAsia="宋体"/>
          <w:sz w:val="24"/>
        </w:rPr>
        <w:t>a. Elie Dolgin, “The Tangled History of mRNA Vaccines,”</w:t>
      </w:r>
    </w:p>
    <w:p>
      <w:pPr>
        <w:pStyle w:val="DocBody"/>
      </w:pPr>
      <w:r>
        <w:rPr>
          <w:rFonts w:ascii="Times New Roman" w:hAnsi="Times New Roman" w:eastAsia="宋体"/>
          <w:sz w:val="24"/>
        </w:rPr>
        <w:t>Nature, October 22, 2021, https://www.nature.com/articles /d41586-021-02483-w.</w:t>
      </w:r>
    </w:p>
    <w:p>
      <w:pPr>
        <w:pStyle w:val="DocBody"/>
      </w:pPr>
      <w:r>
        <w:rPr>
          <w:rFonts w:ascii="Times New Roman" w:hAnsi="Times New Roman" w:eastAsia="宋体"/>
          <w:sz w:val="24"/>
        </w:rPr>
        <w:t>Moreover, despite their vital contributions, universi­ ties face challenges due to the blurring line between fundamental and export-controlled research, which complicates international collaboration in felds such as semiconductors, nanotechnology, AI, and neuroscience. For example, some researchers worry that fundamental research, which should be a less sensitive area, could now be considered export con­ trolled, and they may shy away from foreign collab­ oration out of an abundance of caution. While well intended, these kinds of expanding restrictions may backfre in the long term, holding back US progress in key technological domains. Restrictions are not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the only challenge; policy ambiguity is also harm­ ful because it can discourage or deter collaboration with non-American researchers wishing to contribute to work in the United States.</w:t>
      </w:r>
    </w:p>
    <w:p>
      <w:pPr>
        <w:pStyle w:val="DocBody"/>
      </w:pPr>
      <w:r>
        <w:rPr>
          <w:rFonts w:ascii="Times New Roman" w:hAnsi="Times New Roman" w:eastAsia="宋体"/>
          <w:sz w:val="24"/>
        </w:rPr>
        <w:t>All of these policy issues, widely recognized among the research community and apparent in interviews with Stanford faculty for this publication, under­ score the urgent need for clarifcation and reform to advance research and promote effective interna­ tional collaborations.</w:t>
      </w:r>
    </w:p>
    <w:p>
      <w:pPr>
        <w:pStyle w:val="DocBody"/>
      </w:pPr>
      <w:r>
        <w:rPr>
          <w:rFonts w:ascii="Times New Roman" w:hAnsi="Times New Roman" w:eastAsia="宋体"/>
          <w:sz w:val="24"/>
        </w:rPr>
        <w:t>Finally, it is true that the US R&amp;D landscape is vast, with major contributions from both private industry and the federal government. Historically, private research centers like Bell Labs and IBM’s Thomas J.</w:t>
      </w:r>
    </w:p>
    <w:p>
      <w:pPr>
        <w:pStyle w:val="DocBody"/>
      </w:pPr>
      <w:r>
        <w:rPr>
          <w:rFonts w:ascii="Times New Roman" w:hAnsi="Times New Roman" w:eastAsia="宋体"/>
          <w:sz w:val="24"/>
        </w:rPr>
        <w:t>Watson Research Center advanced foundational sci­ ence. However, most corporate R&amp;D today is focused on applied, proprietary work with limited accessi­ bility. Federal labs and other government-backed research facilities, such as those run by the US Department of Energy (DOE), DOD, and NASA, tackle complex, mission-specifc challenges. But the research undertaken in the private sector and fed­ eral laboratories does not substitute for university research: Unlike mission-driven federal labs, uni­ versities pursue a broad range of research topics, and unlike the private sector, they emphasize open, transparent research that fosters accountability, col­ laboration, and wide-reaching impact.</w:t>
      </w:r>
    </w:p>
    <w:p>
      <w:pPr>
        <w:pStyle w:val="DocBody"/>
      </w:pPr>
      <w:r>
        <w:rPr>
          <w:rFonts w:ascii="Times New Roman" w:hAnsi="Times New Roman" w:eastAsia="宋体"/>
          <w:sz w:val="24"/>
        </w:rPr>
        <w:t>The Structure of Research and Development Funding The scale of investment that nations make in R&amp;D matters, but it is also critical how that money is allo­ cated. First, the government plays an important role in funding long-term precompetitive research that industry is not structured to support. Second, frequent shifts in funding levels, which are becom­ ing increasingly common in government funding, undermine systematic R&amp;D efforts and drive away scientifc talent that opts to fnd employment else­ where. Third, the so-called valley of death, a period after the engineering feasibility of an innovation has been demonstrated but before large-scale adoption and commercial viability has been achieved, is a sig­ nifcant problem.</w:t>
      </w:r>
    </w:p>
    <w:p>
      <w:pPr>
        <w:pStyle w:val="DocBody"/>
      </w:pPr>
      <w:r>
        <w:rPr>
          <w:rFonts w:ascii="Times New Roman" w:hAnsi="Times New Roman" w:eastAsia="宋体"/>
          <w:sz w:val="24"/>
        </w:rPr>
        <w:t>That valley exists because when a new innovation is frst offered to customers, its cost relative to what it is capable of can be a deterrent to adoption. High initial costs can put off the public from purchasing or using the innovation, potentially leading to a frm’s commercial failure in the absence of external funding.</w:t>
      </w:r>
    </w:p>
    <w:p>
      <w:pPr>
        <w:pStyle w:val="DocBody"/>
      </w:pPr>
      <w:r>
        <w:rPr>
          <w:rFonts w:ascii="Times New Roman" w:hAnsi="Times New Roman" w:eastAsia="宋体"/>
          <w:sz w:val="24"/>
        </w:rPr>
        <w:t>However, as production volume increases, per-unit costs typically decrease due to the learning curve in manufacturing. This cost reduction is critical, espe­ cially in sectors like energy production, where large- scale deployment offers signifcant societal benefts.</w:t>
      </w:r>
    </w:p>
    <w:p>
      <w:pPr>
        <w:pStyle w:val="DocBody"/>
      </w:pPr>
      <w:r>
        <w:rPr>
          <w:rFonts w:ascii="Times New Roman" w:hAnsi="Times New Roman" w:eastAsia="宋体"/>
          <w:sz w:val="24"/>
        </w:rPr>
        <w:t>The problem is that researchers and young compa­ nies trying to reach this point must frst fnd ways to scale their activities to demonstrate their innova­ tions’ capabilities at scale—and raising money to do this can be challenging. Research funding typically ceases once the feasibility of a technology has been demonstrated. If no alternative sources of money are found—or if those available are not suffcient to get projects to critical scale—then those projects may have to stop or progress much more slowly. In some cases, innovations never scale beyond the ini­ tial stages of development, regardless of their tech­ nical sophistication or desirability.</w:t>
      </w:r>
    </w:p>
    <w:p>
      <w:pPr>
        <w:pStyle w:val="DocBody"/>
      </w:pPr>
      <w:r>
        <w:rPr>
          <w:rFonts w:ascii="Times New Roman" w:hAnsi="Times New Roman" w:eastAsia="宋体"/>
          <w:sz w:val="24"/>
        </w:rPr>
        <w:t>For a frm to get through this valley of death, it must either secure investors who believe in the innova­ tion’s potential or attract enough customers to sus­ tain operations. True commercial viability typically requires reducing per-unit costs to an affordable level for most customers. This can be particularly challenging for projects that require very large cap­ ital investments.</w:t>
      </w:r>
    </w:p>
    <w:p>
      <w:pPr>
        <w:pStyle w:val="DocBody"/>
      </w:pPr>
      <w:r>
        <w:rPr>
          <w:rFonts w:ascii="Times New Roman" w:hAnsi="Times New Roman" w:eastAsia="宋体"/>
          <w:sz w:val="24"/>
        </w:rPr>
        <w:t>Bridge funding, which could come from government entities, banks, or other sources, may help to estab­ lish commercial viability, but it is an ongoing chal­ lenge to distinguish between genuinely promising innovations and those that appear to be innovative but are not commercially viable. Firms failing to</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w:t>
      </w:r>
    </w:p>
    <w:p>
      <w:pPr>
        <w:pStyle w:val="DocBody"/>
      </w:pPr>
      <w:r>
        <w:rPr>
          <w:rFonts w:ascii="Times New Roman" w:hAnsi="Times New Roman" w:eastAsia="宋体"/>
          <w:sz w:val="24"/>
        </w:rPr>
        <w:t>cross the valley of death could be acquired by for­ eign competitors from China and other nations with a greater willingness to invest in a technology not yet proven in the marketplace.</w:t>
      </w:r>
    </w:p>
    <w:p>
      <w:pPr>
        <w:pStyle w:val="DocBody"/>
      </w:pPr>
      <w:r>
        <w:rPr>
          <w:rFonts w:ascii="Times New Roman" w:hAnsi="Times New Roman" w:eastAsia="宋体"/>
          <w:sz w:val="24"/>
        </w:rPr>
        <w:t>Focused research organizations (FROs) are a new nonproft funding model designed to bridge the valley of death by providing fnancial support to teams of scientists and engineers for rapid proto­ typing and testing of technologies that advance the public good. Convergent Research, a nonproft established in 2021 to support FROs, received $50 million in philanthropic donations in March 2023 to start two new FROs.56 Infrastructure for Innovation KEY TAKEAWAYS Standards enable interoperability, lower costs, ° and support global trade, but they can also stife innovation and be manipulated for market control or geopolitical advantage.</w:t>
      </w:r>
    </w:p>
    <w:p>
      <w:pPr>
        <w:pStyle w:val="DocBody"/>
      </w:pPr>
      <w:r>
        <w:rPr>
          <w:rFonts w:ascii="Times New Roman" w:hAnsi="Times New Roman" w:eastAsia="宋体"/>
          <w:sz w:val="24"/>
        </w:rPr>
        <w:t>Manufacturing is vital for economic resilience and ° security, especially amid global supply chain dis­ ruptions and strategic competition with China and other nations. Technological advances like robot­ ics and AI are reshaping production, while policies such as the CHIPS and Science Act of 2022 aim to boost domestic capacity.</w:t>
      </w:r>
    </w:p>
    <w:p>
      <w:pPr>
        <w:pStyle w:val="DocBody"/>
      </w:pPr>
      <w:r>
        <w:rPr>
          <w:rFonts w:ascii="Times New Roman" w:hAnsi="Times New Roman" w:eastAsia="宋体"/>
          <w:sz w:val="24"/>
        </w:rPr>
        <w:t>Cybersecurity protects data, systems, and intel­ ° lectual property from threats, ensuring research integrity and confdentiality. However, maintain­ ing robust security can confict with the open cul­ ture of research environments.</w:t>
      </w:r>
    </w:p>
    <w:p>
      <w:pPr>
        <w:pStyle w:val="DocBody"/>
      </w:pPr>
      <w:r>
        <w:rPr>
          <w:rFonts w:ascii="Times New Roman" w:hAnsi="Times New Roman" w:eastAsia="宋体"/>
          <w:sz w:val="24"/>
        </w:rPr>
        <w:t>Standards Standards are agreements—often formal ones—that specify technical or other requirements for products, processes, or services. Their primary function is to ensure that different systems and components are interoperable (i.e., they can work together effec­ tively). Examples include standardized shipping containers, which revolutionized global logistics, and universal information technology protocols, like Universal Serial Bus (USB) and internet-related stan­ dards, which facilitate a high degree of compatibility across devices and networks.</w:t>
      </w:r>
    </w:p>
    <w:p>
      <w:pPr>
        <w:pStyle w:val="DocBody"/>
      </w:pPr>
      <w:r>
        <w:rPr>
          <w:rFonts w:ascii="Times New Roman" w:hAnsi="Times New Roman" w:eastAsia="宋体"/>
          <w:sz w:val="24"/>
        </w:rPr>
        <w:t>Standards play a key role in enabling the diffusion of new technologies and are a foundational ele­ ment of modern economies. They provide common frameworks that facilitate interoperability, compat­ ibility, and safety, which are essential for scaling innovations from isolated prototypes to widespread adoption. However, while standards offer signifcant benefts, they also present challenges, including potential constraints on innovation, market power imbalances, and geopolitical complexities.</w:t>
      </w:r>
    </w:p>
    <w:p>
      <w:pPr>
        <w:pStyle w:val="DocBody"/>
      </w:pPr>
      <w:r>
        <w:rPr>
          <w:rFonts w:ascii="Times New Roman" w:hAnsi="Times New Roman" w:eastAsia="宋体"/>
          <w:sz w:val="24"/>
        </w:rPr>
        <w:t>Research has shown that standards lower transaction costs, reduce uncertainty for producers and consum­ ers, and enable the creation of large, interconnected markets.57 Also, by codifying knowledge and best practices through consensus-based processes, they often play an important role in transforming scientifc discoveries into commercial technologies, products, and services.58 Standards streamline coordination by minimizing ambiguity in performance expectations and by supporting interoperability, which in turn accelerates market uptake.</w:t>
      </w:r>
    </w:p>
    <w:p>
      <w:pPr>
        <w:pStyle w:val="DocBody"/>
      </w:pPr>
      <w:r>
        <w:rPr>
          <w:rFonts w:ascii="Times New Roman" w:hAnsi="Times New Roman" w:eastAsia="宋体"/>
          <w:sz w:val="24"/>
        </w:rPr>
        <w:t>Another key function of standards is to foster trust.</w:t>
      </w:r>
    </w:p>
    <w:p>
      <w:pPr>
        <w:pStyle w:val="DocBody"/>
      </w:pPr>
      <w:r>
        <w:rPr>
          <w:rFonts w:ascii="Times New Roman" w:hAnsi="Times New Roman" w:eastAsia="宋体"/>
          <w:sz w:val="24"/>
        </w:rPr>
        <w:t>Quality and safety standards mitigate the risks asso­ ciated with innovative products, reducing uncertainty and bridging information gaps between develop­ ers and users.59 Such trust facilitates early adoption and can contribute to the success of new technolo­ gies in the marketplace. For example, in the 1980s and 1990s, Europe’s early adoption of the Global System for Mobile Communications (GSM) standard enabled rapid technical development, swift deploy­ ment, and seamless cross-border roaming, helping Europe quickly become a global telecom leader.</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Overall, the economic impact of standards is sub­ stantial. Empirical studies across countries such as Germany, France, Australia, the United Kingdom, and Canada estimate that standards contribute between 0.2 and 0.9 percent to annual GDP growth.60 They can also play a strategic role in national competi­ tiveness. Countries that actively participate in inter­ national standard-setting bodies can infuence the direction of technological development and ensure that their domestic industries are well positioned in global markets.</w:t>
      </w:r>
    </w:p>
    <w:p>
      <w:pPr>
        <w:pStyle w:val="DocBody"/>
      </w:pPr>
      <w:r>
        <w:rPr>
          <w:rFonts w:ascii="Times New Roman" w:hAnsi="Times New Roman" w:eastAsia="宋体"/>
          <w:sz w:val="24"/>
        </w:rPr>
        <w:t>While they provide many benefts, standards also present challenges, including potential constraints on innovation, market power imbalances, and geopoliti­ cal complexities. One often-expressed concern is that prematurely deploying a set of standards may stife innovation by locking in a particular technology or approach, making it diffcult for newer, radically differ­ ent, and potentially superior solutions to gain traction.</w:t>
      </w:r>
    </w:p>
    <w:p>
      <w:pPr>
        <w:pStyle w:val="DocBody"/>
      </w:pPr>
      <w:r>
        <w:rPr>
          <w:rFonts w:ascii="Times New Roman" w:hAnsi="Times New Roman" w:eastAsia="宋体"/>
          <w:sz w:val="24"/>
        </w:rPr>
        <w:t>For example, the widespread use of the QWERTY keyboard—originally designed for mechanical type­ writers in the nineteenth century—continues despite well-documented evidence that alternative layouts are signifcantly easier to learn and allow faster typing. The main reason the QWERTY layout remains dominant is that switching to another layout is seen as too costly for individuals and organizations.</w:t>
      </w:r>
    </w:p>
    <w:p>
      <w:pPr>
        <w:pStyle w:val="DocBody"/>
      </w:pPr>
      <w:r>
        <w:rPr>
          <w:rFonts w:ascii="Times New Roman" w:hAnsi="Times New Roman" w:eastAsia="宋体"/>
          <w:sz w:val="24"/>
        </w:rPr>
        <w:t>Furthermore, the standardization process is often time and resource intensive, and dominant frms may use their infuence to ensure standards favor their proprietary technologies, raising rivals’ costs and creating barriers to entry. This can lead to market concentration, reduced competition, and the risk of industries becoming locked into aging solutions.</w:t>
      </w:r>
    </w:p>
    <w:p>
      <w:pPr>
        <w:pStyle w:val="DocBody"/>
      </w:pPr>
      <w:r>
        <w:rPr>
          <w:rFonts w:ascii="Times New Roman" w:hAnsi="Times New Roman" w:eastAsia="宋体"/>
          <w:sz w:val="24"/>
        </w:rPr>
        <w:t>This history of “standards wars” between incompati­ ble technologies illustrates how, when no clear stan­ dard prevails, competing standards can fragment markets and slow global diffusion.61 The videotape format war between VHS (Video Home System) and Betamax in the late 1970s into the 1980s is a clas­ sic example. Betamax had better picture quality but shorter recording times, higher costs, and restrictive licensing. VHS offered longer recording times, lower prices, and open licensing, attracting more manu­ facturers and broader studio support. For years, both formats coexisted, forcing consumers and retailers into incompatible ecosystems. VHS’s advan­ tages eventually secured dominance, thus forcing Betamax users to convert to VHS and to lose their original investments.62 Finally, standardization is increasingly entangled with global geopolitical competition, as countries vie for infuence in international standards bodies to shape rules that favor domestic frms. This can lead to the emergence of competing standards regimes, under­ mining global interoperability and raising the com­ plexity and cost of doing business internationally.</w:t>
      </w:r>
    </w:p>
    <w:p>
      <w:pPr>
        <w:pStyle w:val="DocBody"/>
      </w:pPr>
      <w:r>
        <w:rPr>
          <w:rFonts w:ascii="Times New Roman" w:hAnsi="Times New Roman" w:eastAsia="宋体"/>
          <w:sz w:val="24"/>
        </w:rPr>
        <w:t>Manufacturing Manufacturing plays an increasingly critical role in the US economy and national security, driven by a rap­ idly evolving geopolitical landscape and the growing recognition of vulnerabilities in global supply chains.</w:t>
      </w:r>
    </w:p>
    <w:p>
      <w:pPr>
        <w:pStyle w:val="DocBody"/>
      </w:pPr>
      <w:r>
        <w:rPr>
          <w:rFonts w:ascii="Times New Roman" w:hAnsi="Times New Roman" w:eastAsia="宋体"/>
          <w:sz w:val="24"/>
        </w:rPr>
        <w:t>Strategic competition with China has intensifed US This history of “standards wars” between incompatible technologies illustrates how . . . competing standards can fragment markets and slow global diffusion.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w:t>
      </w:r>
    </w:p>
    <w:p>
      <w:pPr>
        <w:pStyle w:val="DocBody"/>
      </w:pPr>
      <w:r>
        <w:rPr>
          <w:rFonts w:ascii="Times New Roman" w:hAnsi="Times New Roman" w:eastAsia="宋体"/>
          <w:sz w:val="24"/>
        </w:rPr>
        <w:t>concerns over economic security and technological leadership, especially as China advances in semicon­ ductors, AI, and clean energy. Partly in response, the United States is prioritizing domestic manufacturing to reduce reliance on foreign sources and to better protect critical technologies.63 Recent global events, such as the COVID-19 pan­ demic and increased use of export restrictions, have exposed the fragility of international supply chains and revealed how disruptions abroad can have immediate and severe impacts on the avail­ ability of essential goods in the United States. This has led policymakers and industry leaders to focus on expanding domestic production capacity and achieving greater technological self-suffciency.</w:t>
      </w:r>
    </w:p>
    <w:p>
      <w:pPr>
        <w:pStyle w:val="DocBody"/>
      </w:pPr>
      <w:r>
        <w:rPr>
          <w:rFonts w:ascii="Times New Roman" w:hAnsi="Times New Roman" w:eastAsia="宋体"/>
          <w:sz w:val="24"/>
        </w:rPr>
        <w:t>On the supply side, technology innovation is driving a manufacturing renaissance. Advances in robotics, AI, additive manufacturing (3-D printing), advanced materials (see chapter 5, on materials science), and big data analytics are transforming how goods are designed, produced, and delivered. These technol­ ogies enable greater customization, faster prototyp­ ing, and more effcient production. Automation and AI may also offset labor cost advantages that previ­ ously favored offshoring.</w:t>
      </w:r>
    </w:p>
    <w:p>
      <w:pPr>
        <w:pStyle w:val="DocBody"/>
      </w:pPr>
      <w:r>
        <w:rPr>
          <w:rFonts w:ascii="Times New Roman" w:hAnsi="Times New Roman" w:eastAsia="宋体"/>
          <w:sz w:val="24"/>
        </w:rPr>
        <w:t>Manufacturing is closely linked to national security. A strong domestic manufacturing base would ensure that the United States can produce critical defense systems at signifcant scale, maintain technologi­ cal superiority, and respond to emerging threats.</w:t>
      </w:r>
    </w:p>
    <w:p>
      <w:pPr>
        <w:pStyle w:val="DocBody"/>
      </w:pPr>
      <w:r>
        <w:rPr>
          <w:rFonts w:ascii="Times New Roman" w:hAnsi="Times New Roman" w:eastAsia="宋体"/>
          <w:sz w:val="24"/>
        </w:rPr>
        <w:t>It would also reduce risks such as espionage, intel­ lectual property theft, and supply chain subversion that are often associated with foreign manufactur­ ers. Additionally, manufacturing supports millions of jobs, drives innovation, and stabilizes supply chains across the economy.</w:t>
      </w:r>
    </w:p>
    <w:p>
      <w:pPr>
        <w:pStyle w:val="DocBody"/>
      </w:pPr>
      <w:r>
        <w:rPr>
          <w:rFonts w:ascii="Times New Roman" w:hAnsi="Times New Roman" w:eastAsia="宋体"/>
          <w:sz w:val="24"/>
        </w:rPr>
        <w:t>Revitalizing US manufacturing is a prospect that enjoys bipartisan support. For example, under the Biden administration, the CHIPS and Science Act was passed in 2022. It was intended to return a signifcant amount of chip fabrication to American shores. Similarly, the Trump administration’s Made in America Manufacturing Initiative is intended to encourage and enable domestic manufacturers— especially small and midsize frms—to become pre­ ferred suppliers for government contracts, particu­ larly in critical sectors like aerospace, defense, and energy.</w:t>
      </w:r>
    </w:p>
    <w:p>
      <w:pPr>
        <w:pStyle w:val="DocBody"/>
      </w:pPr>
      <w:r>
        <w:rPr>
          <w:rFonts w:ascii="Times New Roman" w:hAnsi="Times New Roman" w:eastAsia="宋体"/>
          <w:sz w:val="24"/>
        </w:rPr>
        <w:t>Cybersecurity Cybersecurity encompasses the technologies, pro­ cesses, and policies that protect computer systems, networks, and the information they contain from malicious activities by adversaries or unscrupulous actors. The feld centers on the protection of three core principles: confdentiality, integrity, and avail­ ability. Confdentiality ensures data privacy, prevent­ ing unauthorized disclosure. Integrity maintains data and program accuracy, guarding against unautho­ rized alterations. Availability ensures data and com­ puting resources are accessible to authorized users, especially during critical times.</w:t>
      </w:r>
    </w:p>
    <w:p>
      <w:pPr>
        <w:pStyle w:val="DocBody"/>
      </w:pPr>
      <w:r>
        <w:rPr>
          <w:rFonts w:ascii="Times New Roman" w:hAnsi="Times New Roman" w:eastAsia="宋体"/>
          <w:sz w:val="24"/>
        </w:rPr>
        <w:t>Initially, cybersecurity as a technical discipline focused on secure programming languages and robust soft­ ware architectures, which created systems more resistant to threats like malware and advanced cyber­ attacks. As the internet expanded, and networked devices proliferated, the scope of cybersecurity broadened to include the protection of infrastructure that supports data transmission and storage. The feld has since evolved to address new challenges, including social engineering attacks, digital misinfor­ mation, information warfare, and the risks posed by AI at both the human and system levels. (The devel­ opment and use of foundational AI models introduce additional cybersecurity risks, as discussed in chap­ ter 3, on cryptography and computer security.)</w:t>
      </w:r>
    </w:p>
    <w:p>
      <w:pPr>
        <w:pStyle w:val="DocBody"/>
      </w:pPr>
      <w:r>
        <w:rPr>
          <w:rFonts w:ascii="Times New Roman" w:hAnsi="Times New Roman" w:eastAsia="宋体"/>
          <w:sz w:val="24"/>
        </w:rPr>
        <w:t>As a national-level issue, cybersecurity policy mea­ sures are often associated with private-sector busi­ nesses and government. But cybersecurity is also a critical concern for R&amp;D in academia and industry.</w:t>
      </w:r>
    </w:p>
    <w:p>
      <w:pPr>
        <w:pStyle w:val="DocBody"/>
      </w:pPr>
      <w:r>
        <w:rPr>
          <w:rFonts w:ascii="Times New Roman" w:hAnsi="Times New Roman" w:eastAsia="宋体"/>
          <w:sz w:val="24"/>
        </w:rPr>
        <w:t>In research settings, one major concern is ensur­ ing the integrity of scientifc data. The deletion,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destruction, or subtle alteration of research data can undermine scientifc progress by wasting resources or undermining the validity of results. Computer programs used in research are similarly vulnerable;</w:t>
      </w:r>
    </w:p>
    <w:p>
      <w:pPr>
        <w:pStyle w:val="DocBody"/>
      </w:pPr>
      <w:r>
        <w:rPr>
          <w:rFonts w:ascii="Times New Roman" w:hAnsi="Times New Roman" w:eastAsia="宋体"/>
          <w:sz w:val="24"/>
        </w:rPr>
        <w:t>minor, undetected changes in them can call into question the accuracy of previously collected or analyzed data.</w:t>
      </w:r>
    </w:p>
    <w:p>
      <w:pPr>
        <w:pStyle w:val="DocBody"/>
      </w:pPr>
      <w:r>
        <w:rPr>
          <w:rFonts w:ascii="Times New Roman" w:hAnsi="Times New Roman" w:eastAsia="宋体"/>
          <w:sz w:val="24"/>
        </w:rPr>
        <w:t>Protecting the confdentiality of work prod- ucts—such as datasets and draft working papers—is equally important. Unauthorized access to confden­ tial datasets can breach agreements and compro­ mise academic integrity, while premature disclosure of draft research can undermine claims of priority and reveal incomplete or inconsistent fndings.</w:t>
      </w:r>
    </w:p>
    <w:p>
      <w:pPr>
        <w:pStyle w:val="DocBody"/>
      </w:pPr>
      <w:r>
        <w:rPr>
          <w:rFonts w:ascii="Times New Roman" w:hAnsi="Times New Roman" w:eastAsia="宋体"/>
          <w:sz w:val="24"/>
        </w:rPr>
        <w:t>Computers that manage laboratory data collec­ tion are susceptible to attacks that could disrupt research continuity by corrupting data or damaging equipment.</w:t>
      </w:r>
    </w:p>
    <w:p>
      <w:pPr>
        <w:pStyle w:val="DocBody"/>
      </w:pPr>
      <w:r>
        <w:rPr>
          <w:rFonts w:ascii="Times New Roman" w:hAnsi="Times New Roman" w:eastAsia="宋体"/>
          <w:sz w:val="24"/>
        </w:rPr>
        <w:t>While technical safeguards exist to address these cybersecurity challenges, maintaining them in aca­ demic settings requires substantial management effort. The informal, collegial, and fexible culture common in research labs often views rigorous secu­ rity practices as disruptive, which can lead to resis­ tance to them or to inconsistent implementation.</w:t>
      </w:r>
    </w:p>
    <w:p>
      <w:pPr>
        <w:pStyle w:val="DocBody"/>
      </w:pPr>
      <w:r>
        <w:rPr>
          <w:rFonts w:ascii="Times New Roman" w:hAnsi="Times New Roman" w:eastAsia="宋体"/>
          <w:sz w:val="24"/>
        </w:rPr>
        <w:t>Another growing threat involves the selective target­ ing of personnel working on key research projects.</w:t>
      </w:r>
    </w:p>
    <w:p>
      <w:pPr>
        <w:pStyle w:val="DocBody"/>
      </w:pPr>
      <w:r>
        <w:rPr>
          <w:rFonts w:ascii="Times New Roman" w:hAnsi="Times New Roman" w:eastAsia="宋体"/>
          <w:sz w:val="24"/>
        </w:rPr>
        <w:t>Researchers may face cyber harassment, fnancial compromise, or threats to family members. Attacks on professional ethics through social media or online forums can damage reputations, cause personal dis­ tress, and reduce productivity.</w:t>
      </w:r>
    </w:p>
    <w:p>
      <w:pPr>
        <w:pStyle w:val="DocBody"/>
      </w:pPr>
      <w:r>
        <w:rPr>
          <w:rFonts w:ascii="Times New Roman" w:hAnsi="Times New Roman" w:eastAsia="宋体"/>
          <w:sz w:val="24"/>
        </w:rPr>
        <w:t>Addressing these multifaceted cybersecurity chal­ lenges requires a careful balance between robust protection and the need for open, collaborative research environments. Effective cybersecurity pol­ icies and practices must be adaptable, recognizing the unique risks and cultural dynamics present in academic and research settings while ensuring the integrity, confdentiality, and availability of critical information and systems.</w:t>
      </w:r>
    </w:p>
    <w:p>
      <w:pPr>
        <w:pStyle w:val="DocBody"/>
      </w:pPr>
      <w:r>
        <w:rPr>
          <w:rFonts w:ascii="Times New Roman" w:hAnsi="Times New Roman" w:eastAsia="宋体"/>
          <w:sz w:val="24"/>
        </w:rPr>
        <w:t>NOTES</w:t>
      </w:r>
    </w:p>
    <w:p>
      <w:pPr>
        <w:pStyle w:val="DocBody"/>
        <w:ind w:left="765"/>
      </w:pPr>
      <w:r>
        <w:rPr>
          <w:rFonts w:ascii="Times New Roman" w:hAnsi="Times New Roman" w:eastAsia="宋体"/>
          <w:sz w:val="24"/>
        </w:rPr>
        <w:t>See, for example, Josh Luckenbaugh, “Just In: U.S. Falling Behind China in Critical Tech Race, Report Finds,” National Defense, July 17, 2023, https://www.nationaldefensemagazine .org/articles/2023/7/17/us-falling-behind-china-in-critical-tech -race-report-fnds; Jeremy Neufeld, STEM Immigration Is Critical to American National Security (Institute for Progress, 2022), https://ifp .org/stem-immigration-is-critical-to-american-national-security/;</w:t>
      </w:r>
    </w:p>
    <w:p>
      <w:pPr>
        <w:pStyle w:val="DocBody"/>
      </w:pPr>
      <w:r>
        <w:rPr>
          <w:rFonts w:ascii="Times New Roman" w:hAnsi="Times New Roman" w:eastAsia="宋体"/>
          <w:sz w:val="24"/>
        </w:rPr>
        <w:t>Craig Cohen and Alexander Kisling, eds., “Part II: Winning the Economic and Tech Race,” in 2024 Global Forecast: A World Dividing (Center for Strategic and International Studies, 2024), https://csis-website-prod.s3.amazonaws.com/s3fs-public/2024-01 /240130_GlobalForecast_2024_WinningEconomic_TechRace.pdf.</w:t>
      </w:r>
    </w:p>
    <w:p>
      <w:pPr>
        <w:pStyle w:val="DocBody"/>
        <w:ind w:left="765"/>
      </w:pPr>
      <w:r>
        <w:rPr>
          <w:rFonts w:ascii="Times New Roman" w:hAnsi="Times New Roman" w:eastAsia="宋体"/>
          <w:sz w:val="24"/>
        </w:rPr>
        <w:t>International Monetary Fund, “Is Productivity Growth Shared in a Globalized Economy?,” chap. 4 in World Economic Out­ look 2018: Cyclical Upswing, Structural Change (April 2018), https://www.imf.org/en/Publications/WEO/Issues/2018/03/20 /world-economic-outlook-april-2018.</w:t>
      </w:r>
    </w:p>
    <w:p>
      <w:pPr>
        <w:pStyle w:val="DocBody"/>
        <w:ind w:left="765"/>
      </w:pPr>
      <w:r>
        <w:rPr>
          <w:rFonts w:ascii="Times New Roman" w:hAnsi="Times New Roman" w:eastAsia="宋体"/>
          <w:sz w:val="24"/>
        </w:rPr>
        <w:t>Catherine Tucker, “Network Effects and Market Power: What Have We Learned in the Last Decade?,” Antitrust, 2018, 72–9.</w:t>
      </w:r>
    </w:p>
    <w:p>
      <w:pPr>
        <w:pStyle w:val="DocBody"/>
        <w:ind w:left="765"/>
      </w:pPr>
      <w:r>
        <w:rPr>
          <w:rFonts w:ascii="Times New Roman" w:hAnsi="Times New Roman" w:eastAsia="宋体"/>
          <w:sz w:val="24"/>
        </w:rPr>
        <w:t>See, for example, Manuel Hoffmann, Frank Nagle, and Yanuo Zhou, “The Value of Open Source Software,” Harvard Business School Strategy Unit Working Paper no. 24-038, https://doi .org/10.2139/ssrn.4693148.</w:t>
      </w:r>
    </w:p>
    <w:p>
      <w:pPr>
        <w:pStyle w:val="DocBody"/>
        <w:ind w:left="765"/>
      </w:pPr>
      <w:r>
        <w:rPr>
          <w:rFonts w:ascii="Times New Roman" w:hAnsi="Times New Roman" w:eastAsia="宋体"/>
          <w:sz w:val="24"/>
        </w:rPr>
        <w:t>Davide Rigo, “Global Value Chains and Technology Transfer:</w:t>
      </w:r>
    </w:p>
    <w:p>
      <w:pPr>
        <w:pStyle w:val="DocBody"/>
      </w:pPr>
      <w:r>
        <w:rPr>
          <w:rFonts w:ascii="Times New Roman" w:hAnsi="Times New Roman" w:eastAsia="宋体"/>
          <w:sz w:val="24"/>
        </w:rPr>
        <w:t>New Evidence From Developing Countries,” Review of World Economics 157 (2021): 271–94, https://doi.org/10.1007/s10290 -020-00398-8.</w:t>
      </w:r>
    </w:p>
    <w:p>
      <w:pPr>
        <w:pStyle w:val="DocBody"/>
        <w:ind w:left="765"/>
      </w:pPr>
      <w:r>
        <w:rPr>
          <w:rFonts w:ascii="Times New Roman" w:hAnsi="Times New Roman" w:eastAsia="宋体"/>
          <w:sz w:val="24"/>
        </w:rPr>
        <w:t>Commission on the Theft of American Intellectual Property, “IP Commission 2021 Review: Updated Recommendations” (2021), https://www.nbr.org/wp-content/uploads/pdfs/publications/ip _commission_2021_recommendations_mar2021.pdf.</w:t>
      </w:r>
    </w:p>
    <w:p>
      <w:pPr>
        <w:pStyle w:val="DocBody"/>
        <w:ind w:left="765"/>
      </w:pPr>
      <w:r>
        <w:rPr>
          <w:rFonts w:ascii="Times New Roman" w:hAnsi="Times New Roman" w:eastAsia="宋体"/>
          <w:sz w:val="24"/>
        </w:rPr>
        <w:t>Pamela Samuelson and Suzanne Scotchmer, “The Law and Economics of Reverse Engineering,” Yale Law Journal 111, no. 7 (2002):1575–1663, https://www.yalelawjournal.org/article/the-law -and-economics-of-reverse-engineering.</w:t>
      </w:r>
    </w:p>
    <w:p>
      <w:pPr>
        <w:pStyle w:val="DocBody"/>
        <w:ind w:left="765"/>
      </w:pPr>
      <w:r>
        <w:rPr>
          <w:rFonts w:ascii="Times New Roman" w:hAnsi="Times New Roman" w:eastAsia="宋体"/>
          <w:sz w:val="24"/>
        </w:rPr>
        <w:t>Adam Satariano et al., “Elon Musk’s Unmatched Power in the Stars,” New York Times, July 28, 2023, https://www.nytimes.com /interactive/2023/07/28/business/starlink.html.</w:t>
      </w:r>
    </w:p>
    <w:p>
      <w:pPr>
        <w:pStyle w:val="DocBody"/>
        <w:ind w:left="765"/>
      </w:pPr>
      <w:r>
        <w:rPr>
          <w:rFonts w:ascii="Times New Roman" w:hAnsi="Times New Roman" w:eastAsia="宋体"/>
          <w:sz w:val="24"/>
        </w:rPr>
        <w:t>On solar panels, see François Lafond, Aimee Gotway Bailey, Jan David Bakker, et al., “How Well Do Experience Curves Predict Technological Progress? A Method for Making Distributional Fore­ casts,” Technological Forecasting and Social Change 128 (2018):</w:t>
      </w:r>
    </w:p>
    <w:p>
      <w:pPr>
        <w:pStyle w:val="DocBody"/>
      </w:pPr>
      <w:r>
        <w:rPr>
          <w:rFonts w:ascii="Times New Roman" w:hAnsi="Times New Roman" w:eastAsia="宋体"/>
          <w:sz w:val="24"/>
        </w:rPr>
        <w:t>104–17, https://doi.org/10.1016/j.techfore.2017.11.001. On LEDs, see Brian F. Gerke, Allison T. Ngo, Andrea L. Alstone, and Kibret S. Fisseha, The Evolving Price of Household LED Lamps: Recent Trends and Historical Comparisons for the US Market, Offce of Sci­ ence and Technical Information (US Department of Energy, 2014), https://doi.org/10.2172/1163956.</w:t>
      </w:r>
    </w:p>
    <w:p>
      <w:pPr>
        <w:pStyle w:val="DocBody"/>
        <w:ind w:left="765"/>
      </w:pPr>
      <w:r>
        <w:rPr>
          <w:rFonts w:ascii="Times New Roman" w:hAnsi="Times New Roman" w:eastAsia="宋体"/>
          <w:sz w:val="24"/>
        </w:rPr>
        <w:t>“A Walk Through Time—A Revolution in Timekeeping,”</w:t>
      </w:r>
    </w:p>
    <w:p>
      <w:pPr>
        <w:pStyle w:val="DocBody"/>
      </w:pPr>
      <w:r>
        <w:rPr>
          <w:rFonts w:ascii="Times New Roman" w:hAnsi="Times New Roman" w:eastAsia="宋体"/>
          <w:sz w:val="24"/>
        </w:rPr>
        <w:t>National Institute of Standards and Technology, August 12, 2009, https://www.nist.gov/pml/time-and-frequency-division/popular -links/walk-through-time/walk-through-time-revolution.</w:t>
      </w:r>
    </w:p>
    <w:p>
      <w:pPr>
        <w:pStyle w:val="DocBody"/>
        <w:ind w:left="765"/>
      </w:pPr>
      <w:r>
        <w:rPr>
          <w:rFonts w:ascii="Times New Roman" w:hAnsi="Times New Roman" w:eastAsia="宋体"/>
          <w:sz w:val="24"/>
        </w:rPr>
        <w:t>Keith Fuglie, Madhur Gautam, Aparajita Goyal, and William F. Maloney, Harvesting Prosperity: Technology and Productivity Growth in Agriculture (World Bank, 2020), https://openknowledge .worldbank.org/bitstreams/3621191c-15f3-5ede-a89c-f7190d7 e1dba/download.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w:t>
      </w:r>
    </w:p>
    <w:p>
      <w:pPr>
        <w:pStyle w:val="DocBody"/>
        <w:ind w:left="765"/>
      </w:pPr>
      <w:r>
        <w:rPr>
          <w:rFonts w:ascii="Times New Roman" w:hAnsi="Times New Roman" w:eastAsia="宋体"/>
          <w:sz w:val="24"/>
        </w:rPr>
        <w:t>“History of the Web,” World Wide Web Foundation, Octo­ ber 18, 2009, https://webfoundation.org/about/vision/history-of -the-web/.</w:t>
      </w:r>
    </w:p>
    <w:p>
      <w:pPr>
        <w:pStyle w:val="DocBody"/>
        <w:ind w:left="765"/>
      </w:pPr>
      <w:r>
        <w:rPr>
          <w:rFonts w:ascii="Times New Roman" w:hAnsi="Times New Roman" w:eastAsia="宋体"/>
          <w:sz w:val="24"/>
        </w:rPr>
        <w:t>Amirhosein Toosi, Andrea Bottino, Babak Saboury, Eliot Siegel, and Arman Rahmim, “A Brief History of AI: How to Prevent Another Winter (a Critical Review),” PET Clinics 16, no. 4 (2021):</w:t>
      </w:r>
    </w:p>
    <w:p>
      <w:pPr>
        <w:pStyle w:val="DocBody"/>
      </w:pPr>
      <w:r>
        <w:rPr>
          <w:rFonts w:ascii="Times New Roman" w:hAnsi="Times New Roman" w:eastAsia="宋体"/>
          <w:sz w:val="24"/>
        </w:rPr>
        <w:t>449–69, https://doi.org/10.1016/j.cpet.2021.07.001.</w:t>
      </w:r>
    </w:p>
    <w:p>
      <w:pPr>
        <w:pStyle w:val="DocBody"/>
        <w:ind w:left="765"/>
      </w:pPr>
      <w:r>
        <w:rPr>
          <w:rFonts w:ascii="Times New Roman" w:hAnsi="Times New Roman" w:eastAsia="宋体"/>
          <w:sz w:val="24"/>
        </w:rPr>
        <w:t>See, for example, Vaclav Smil, “Techno-Optimism, Exagger­ ations and Realistic Expectations,” in Invention and Innovation: A Brief History of Hype and Failure (MIT Press, 2023).</w:t>
      </w:r>
    </w:p>
    <w:p>
      <w:pPr>
        <w:pStyle w:val="DocBody"/>
        <w:ind w:left="765"/>
      </w:pPr>
      <w:r>
        <w:rPr>
          <w:rFonts w:ascii="Times New Roman" w:hAnsi="Times New Roman" w:eastAsia="宋体"/>
          <w:sz w:val="24"/>
        </w:rPr>
        <w:t>University of Utah, “‘Simple Experiment’ Results in Sustained N-Fusion at Room Temperature for First Time,” news release, March 23, 1989, archived at https://newenergytimes.com/v2 /archives/UofUtah/19890323-Univ-Utah-Press-Release.pdf.</w:t>
      </w:r>
    </w:p>
    <w:p>
      <w:pPr>
        <w:pStyle w:val="DocBody"/>
        <w:ind w:left="765"/>
      </w:pPr>
      <w:r>
        <w:rPr>
          <w:rFonts w:ascii="Times New Roman" w:hAnsi="Times New Roman" w:eastAsia="宋体"/>
          <w:sz w:val="24"/>
        </w:rPr>
        <w:t>For example, Ira Magaziner, paraphrased by author Gary Taubes in Gary Taubes, Bad Science: The Short Life and Weird Times of Cold Fusion (Random House, 1993).</w:t>
      </w:r>
    </w:p>
    <w:p>
      <w:pPr>
        <w:pStyle w:val="DocBody"/>
        <w:ind w:left="765"/>
      </w:pPr>
      <w:r>
        <w:rPr>
          <w:rFonts w:ascii="Times New Roman" w:hAnsi="Times New Roman" w:eastAsia="宋体"/>
          <w:sz w:val="24"/>
        </w:rPr>
        <w:t>Stephan Wilkinson, “How the AK-47 Became the ‘Weapon of the Century,” Military Times, December 12, 2017, https:// www.militarytimes.com/off-duty/gearscout/2017/12/12/how-the -ak-47-became-the-weapon-of-the-century/.</w:t>
      </w:r>
    </w:p>
    <w:p>
      <w:pPr>
        <w:pStyle w:val="DocBody"/>
        <w:ind w:left="765"/>
      </w:pPr>
      <w:r>
        <w:rPr>
          <w:rFonts w:ascii="Times New Roman" w:hAnsi="Times New Roman" w:eastAsia="宋体"/>
          <w:sz w:val="24"/>
        </w:rPr>
        <w:t>Audrey Cronin, Power to the People: How Open Technolog­ ical Innovation Is Arming Tomorrow’s Terrorists (Oxford University Press, 2020).</w:t>
      </w:r>
    </w:p>
    <w:p>
      <w:pPr>
        <w:pStyle w:val="DocBody"/>
        <w:ind w:left="765"/>
      </w:pPr>
      <w:r>
        <w:rPr>
          <w:rFonts w:ascii="Times New Roman" w:hAnsi="Times New Roman" w:eastAsia="宋体"/>
          <w:sz w:val="24"/>
        </w:rPr>
        <w:t>Josh Abramson, Jonas Adler, Jack Dunger, et al., “Accurate Structure Prediction of Biomolecular Interactions with Alpha- Fold 3,” Nature 630 (2024): 493–500, https://doi.org/10.1038 /s41586-024-07487-w.</w:t>
      </w:r>
    </w:p>
    <w:p>
      <w:pPr>
        <w:pStyle w:val="DocBody"/>
        <w:ind w:left="765"/>
      </w:pPr>
      <w:r>
        <w:rPr>
          <w:rFonts w:ascii="Times New Roman" w:hAnsi="Times New Roman" w:eastAsia="宋体"/>
          <w:sz w:val="24"/>
        </w:rPr>
        <w:t>This report, chapter 5, on materials science.</w:t>
      </w:r>
    </w:p>
    <w:p>
      <w:pPr>
        <w:pStyle w:val="DocBody"/>
        <w:ind w:left="765"/>
      </w:pPr>
      <w:r>
        <w:rPr>
          <w:rFonts w:ascii="Times New Roman" w:hAnsi="Times New Roman" w:eastAsia="宋体"/>
          <w:sz w:val="24"/>
        </w:rPr>
        <w:t>Po-Wen Chan and Balaji Chandrasekaran, “Materials Engi­ neering: The True Hero of Energy-Effcient Chip Performance,”</w:t>
      </w:r>
    </w:p>
    <w:p>
      <w:pPr>
        <w:pStyle w:val="DocBody"/>
      </w:pPr>
      <w:r>
        <w:rPr>
          <w:rFonts w:ascii="Times New Roman" w:hAnsi="Times New Roman" w:eastAsia="宋体"/>
          <w:sz w:val="24"/>
        </w:rPr>
        <w:t>Applied Materials, August 1, 2024, https://www.appliedmaterials .com/us/en/blog/blog-posts/the-true-hero-of-energy-efficient -chip-performance.html.</w:t>
      </w:r>
    </w:p>
    <w:p>
      <w:pPr>
        <w:pStyle w:val="DocBody"/>
        <w:ind w:left="765"/>
      </w:pPr>
      <w:r>
        <w:rPr>
          <w:rFonts w:ascii="Times New Roman" w:hAnsi="Times New Roman" w:eastAsia="宋体"/>
          <w:sz w:val="24"/>
        </w:rPr>
        <w:t>Frontiers in Space Technology, “Next Generation of Materials for Space Applications,”Frontiers, research topic, accessed Septem­ ber 18, 2024, https://www.frontiersin.org/research-topics/55679 /next-generation-of-materials-for-space-applications.</w:t>
      </w:r>
    </w:p>
    <w:p>
      <w:pPr>
        <w:pStyle w:val="DocBody"/>
        <w:ind w:left="765"/>
      </w:pPr>
      <w:r>
        <w:rPr>
          <w:rFonts w:ascii="Times New Roman" w:hAnsi="Times New Roman" w:eastAsia="宋体"/>
          <w:sz w:val="24"/>
        </w:rPr>
        <w:t>Yongli Qi, Seung-Kyun Kang, and Hui Fang, “Advanced Mate­ rials for Implantable Neuroelectronics,” MRS Bulletin 48 (2023):</w:t>
      </w:r>
    </w:p>
    <w:p>
      <w:pPr>
        <w:pStyle w:val="DocBody"/>
      </w:pPr>
      <w:r>
        <w:rPr>
          <w:rFonts w:ascii="Times New Roman" w:hAnsi="Times New Roman" w:eastAsia="宋体"/>
          <w:sz w:val="24"/>
        </w:rPr>
        <w:t>475–83, https://doi.org/10.1557/s43577-023-00540-5.</w:t>
      </w:r>
    </w:p>
    <w:p>
      <w:pPr>
        <w:pStyle w:val="DocBody"/>
        <w:ind w:left="765"/>
      </w:pPr>
      <w:r>
        <w:rPr>
          <w:rFonts w:ascii="Times New Roman" w:hAnsi="Times New Roman" w:eastAsia="宋体"/>
          <w:sz w:val="24"/>
        </w:rPr>
        <w:t>Anil D. Pathak, Shalakha Saha, Vikram Kishore Bharti, et al., “A Review on Battery Technology for Space Application,” Journal of Energy Storage 61 (2023): 106792, https://doi.org/10.1016/j .est.2023.106792.</w:t>
      </w:r>
    </w:p>
    <w:p>
      <w:pPr>
        <w:pStyle w:val="DocBody"/>
        <w:ind w:left="765"/>
      </w:pPr>
      <w:r>
        <w:rPr>
          <w:rFonts w:ascii="Times New Roman" w:hAnsi="Times New Roman" w:eastAsia="宋体"/>
          <w:sz w:val="24"/>
        </w:rPr>
        <w:t>Orlando Burgos-Morales, M. Gueye, Laurie Lacombe, et al., “Synthetic Biology as Driver for the Biologization of Materials Sci­ ences,” Materials Today Bio 11 (2021): 100115, https://doi.org /10.1016/j.mtbio.2021.100115.</w:t>
      </w:r>
    </w:p>
    <w:p>
      <w:pPr>
        <w:pStyle w:val="DocBody"/>
        <w:ind w:left="765"/>
      </w:pPr>
      <w:r>
        <w:rPr>
          <w:rFonts w:ascii="Times New Roman" w:hAnsi="Times New Roman" w:eastAsia="宋体"/>
          <w:sz w:val="24"/>
        </w:rPr>
        <w:t>James M. Heather and Benjamin Chain, “The Sequence of Sequencers: The History of Sequencing DNA,” Genomics 107, no. 1 (2016): 1–8, https://doi.org/10.1016/j.ygeno.2015.11.003.</w:t>
      </w:r>
    </w:p>
    <w:p>
      <w:pPr>
        <w:pStyle w:val="DocBody"/>
        <w:ind w:left="765"/>
      </w:pPr>
      <w:r>
        <w:rPr>
          <w:rFonts w:ascii="Times New Roman" w:hAnsi="Times New Roman" w:eastAsia="宋体"/>
          <w:sz w:val="24"/>
        </w:rPr>
        <w:t>A report from the National Research Council of the US National Academies of Sciences, Engineering, and Medicine addresses this distinction in more detail, drawing distinctions between “foundational technologies” and “technology applications,”</w:t>
      </w:r>
    </w:p>
    <w:p>
      <w:pPr>
        <w:pStyle w:val="DocBody"/>
      </w:pPr>
      <w:r>
        <w:rPr>
          <w:rFonts w:ascii="Times New Roman" w:hAnsi="Times New Roman" w:eastAsia="宋体"/>
          <w:sz w:val="24"/>
        </w:rPr>
        <w:t>with the latter focusing on solving specifc problems through an artful blend of technologies. Space and robotics are examples of technology applications that build on foundational advances in many felds. See Jean-Lou Chameau, William F. Ballhaus, and Herbert Lin, eds., Emerging and Readily Available Technologies and National Security: A Framework for Addressing Ethical, Legal, and Societal Issues (National Academies Press, 2014), https://doi .org/10.17226/18512.</w:t>
      </w:r>
    </w:p>
    <w:p>
      <w:pPr>
        <w:pStyle w:val="DocBody"/>
        <w:ind w:left="765"/>
      </w:pPr>
      <w:r>
        <w:rPr>
          <w:rFonts w:ascii="Times New Roman" w:hAnsi="Times New Roman" w:eastAsia="宋体"/>
          <w:sz w:val="24"/>
        </w:rPr>
        <w:t>See, for example, Maja Bacovic, Zivko Andrijasevic, and Bojan Pejovic, “STEM Education and Growth in Europe,” Jour­ nal of the Knowledge Economy 13 (2022): 2348–71, https://doi .org/10.1007/s13132-021-00817-7.</w:t>
      </w:r>
    </w:p>
    <w:p>
      <w:pPr>
        <w:pStyle w:val="DocBody"/>
        <w:ind w:left="765"/>
      </w:pPr>
      <w:r>
        <w:rPr>
          <w:rFonts w:ascii="Times New Roman" w:hAnsi="Times New Roman" w:eastAsia="宋体"/>
          <w:sz w:val="24"/>
        </w:rPr>
        <w:t>US Department of Defense, Industrial Capabilities Report to Congress: 2020 Annual Report (January 2021), https://www .businessdefense.gov/docs/resources/USA002573-20_ICR_2020 _Web.pdf.</w:t>
      </w:r>
    </w:p>
    <w:p>
      <w:pPr>
        <w:pStyle w:val="DocBody"/>
        <w:ind w:left="765"/>
      </w:pPr>
      <w:r>
        <w:rPr>
          <w:rFonts w:ascii="Times New Roman" w:hAnsi="Times New Roman" w:eastAsia="宋体"/>
          <w:sz w:val="24"/>
        </w:rPr>
        <w:t>Eric Chewning, Matt Schrimper, Andy Voelker, and Brooke Weddle, “Debugging the Software Talent Gap in Aerospace and Defense,” McKinsey &amp; Company, July 11, 2022, https://www .mckinsey.com/industries/aerospace-and-defense/our-insights /debugging-the-software-talent-gap-in-aerospace-and-defense.</w:t>
      </w:r>
    </w:p>
    <w:p>
      <w:pPr>
        <w:pStyle w:val="DocBody"/>
        <w:ind w:left="765"/>
      </w:pPr>
      <w:r>
        <w:rPr>
          <w:rFonts w:ascii="Times New Roman" w:hAnsi="Times New Roman" w:eastAsia="宋体"/>
          <w:sz w:val="24"/>
        </w:rPr>
        <w:t>Wilson Miles and Jeremy Neufeld, “U.S. Needs Interna­ tional Talent to Maintain Tech Leadership,” National Defense Magazine, April 14, 2025, https://www.nationaldefensemagazine .org/articles/2025/4/14/us-needs-international-talent-to-maintain -tech-leadership.</w:t>
      </w:r>
    </w:p>
    <w:p>
      <w:pPr>
        <w:pStyle w:val="DocBody"/>
        <w:ind w:left="765"/>
      </w:pPr>
      <w:r>
        <w:rPr>
          <w:rFonts w:ascii="Times New Roman" w:hAnsi="Times New Roman" w:eastAsia="宋体"/>
          <w:sz w:val="24"/>
        </w:rPr>
        <w:t>Gabrielle Athanasia and Jillian Cota, “The U.S. Should Strengthen STEM Education to Remain Globally Competitive,”</w:t>
      </w:r>
    </w:p>
    <w:p>
      <w:pPr>
        <w:pStyle w:val="DocBody"/>
      </w:pPr>
      <w:r>
        <w:rPr>
          <w:rFonts w:ascii="Times New Roman" w:hAnsi="Times New Roman" w:eastAsia="宋体"/>
          <w:sz w:val="24"/>
        </w:rPr>
        <w:t>Center for Strategic and International Studies, April 1, 2022, https:// www.csis.org/blogs/perspectives-innovation/us-should-strengthen -stem-education-remain-globally-competitive; Darrell M. West, “Improving Workforce Development and STEM Education to Preserve America’s Innovation Edge,” Brookings Institution, July 26, 2023, https://www.brookings.edu/articles/improving-workforce-devel opment-and-stem-education-to-preserve-americas-innovation -edge/; Julia Yoon, “Innovation Lightbulb: Strengthening K–12 STEM Education for a Robust U.S. Technology Workforce,”</w:t>
      </w:r>
    </w:p>
    <w:p>
      <w:pPr>
        <w:pStyle w:val="DocBody"/>
      </w:pPr>
      <w:r>
        <w:rPr>
          <w:rFonts w:ascii="Times New Roman" w:hAnsi="Times New Roman" w:eastAsia="宋体"/>
          <w:sz w:val="24"/>
        </w:rPr>
        <w:t>Center for Strategic and International Studies, June 28, 2024, https://www.csis.org/analysis/innovation-lightbulb-strengthening -k-12-stem-education-robust-us-technology-workforce.</w:t>
      </w:r>
    </w:p>
    <w:p>
      <w:pPr>
        <w:pStyle w:val="DocBody"/>
        <w:ind w:left="765"/>
      </w:pPr>
      <w:r>
        <w:rPr>
          <w:rFonts w:ascii="Times New Roman" w:hAnsi="Times New Roman" w:eastAsia="宋体"/>
          <w:sz w:val="24"/>
        </w:rPr>
        <w:t>National Science Board, Talent Is the Treasure: Who Are We Leaving on the Bench?, report no. NSB-2024-11 (March 2024), https://www.nsf.gov/nsb/publications/2024/2024_policy_brief.pdf.</w:t>
      </w:r>
    </w:p>
    <w:p>
      <w:pPr>
        <w:pStyle w:val="DocBody"/>
        <w:ind w:left="765"/>
      </w:pPr>
      <w:r>
        <w:rPr>
          <w:rFonts w:ascii="Times New Roman" w:hAnsi="Times New Roman" w:eastAsia="宋体"/>
          <w:sz w:val="24"/>
        </w:rPr>
        <w:t>National Science Board, Talent Is the Treasure; Yoon, “Inno­ vation Lightbulb.”</w:t>
      </w:r>
    </w:p>
    <w:p>
      <w:pPr>
        <w:pStyle w:val="DocBody"/>
        <w:ind w:left="765"/>
      </w:pPr>
      <w:r>
        <w:rPr>
          <w:rFonts w:ascii="Times New Roman" w:hAnsi="Times New Roman" w:eastAsia="宋体"/>
          <w:sz w:val="24"/>
        </w:rPr>
        <w:t>Grace Zichelli, “New Issue Brief: 2024 NAEP Results Are a Wake-up Call for American Education,” Manhattan Institute, news release, May 15, 2025, https://manhattan.institute/article/new -issue-brief-2024-naep-results-are-a-wake-up-call-for-american -education.</w:t>
      </w:r>
    </w:p>
    <w:p>
      <w:pPr>
        <w:pStyle w:val="DocBody"/>
        <w:ind w:left="765"/>
      </w:pPr>
      <w:r>
        <w:rPr>
          <w:rFonts w:ascii="Times New Roman" w:hAnsi="Times New Roman" w:eastAsia="宋体"/>
          <w:sz w:val="24"/>
        </w:rPr>
        <w:t>Athanasia and Cota, “The U.S. Should Strengthen STEM Edu­ cation”; Steven Deitz and Christina Freyman, The State of U.S.</w:t>
      </w:r>
    </w:p>
    <w:p>
      <w:pPr>
        <w:pStyle w:val="DocBody"/>
      </w:pPr>
      <w:r>
        <w:rPr>
          <w:rFonts w:ascii="Times New Roman" w:hAnsi="Times New Roman" w:eastAsia="宋体"/>
          <w:sz w:val="24"/>
        </w:rPr>
        <w:t>Science and Engineering 2024, National Science Board, Science and Engineering Indicators (National Science Foundation, 2024), https://ncses.nsf.gov/pubs/nsb20243/; Yoon, “Innovation Light- bulb”; National Science Board, Talent Is the Treasure.</w:t>
      </w:r>
    </w:p>
    <w:p>
      <w:pPr>
        <w:pStyle w:val="DocBody"/>
        <w:ind w:left="765"/>
      </w:pPr>
      <w:r>
        <w:rPr>
          <w:rFonts w:ascii="Times New Roman" w:hAnsi="Times New Roman" w:eastAsia="宋体"/>
          <w:sz w:val="24"/>
        </w:rPr>
        <w:t>Table 1.1 in The ACT: Profle Report—National, Graduating Class 2024, ACT, https://www.act.org/content/dam/act/unsecured /documents/2024-act-national-graduating-class-profle-report.pdf.</w:t>
      </w:r>
    </w:p>
    <w:p>
      <w:pPr>
        <w:pStyle w:val="DocBody"/>
        <w:ind w:left="765"/>
      </w:pPr>
      <w:r>
        <w:rPr>
          <w:rFonts w:ascii="Times New Roman" w:hAnsi="Times New Roman" w:eastAsia="宋体"/>
          <w:sz w:val="24"/>
        </w:rPr>
        <w:t>Program for International Student Assessment, “PISA 2022 Mathematics Literacy Results,” Institute of Education Sciences,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National Center for Education Statistics, accessed September 18, 2024, https://nces.ed.gov/surveys/pisa/pisa2022/mathematics /international-comparisons/.</w:t>
      </w:r>
    </w:p>
    <w:p>
      <w:pPr>
        <w:pStyle w:val="DocBody"/>
        <w:ind w:left="765"/>
      </w:pPr>
      <w:r>
        <w:rPr>
          <w:rFonts w:ascii="Times New Roman" w:hAnsi="Times New Roman" w:eastAsia="宋体"/>
          <w:sz w:val="24"/>
        </w:rPr>
        <w:t>Tuan D. Nguyen, “The Supply and Quality of STEM Teachers,”</w:t>
      </w:r>
    </w:p>
    <w:p>
      <w:pPr>
        <w:pStyle w:val="DocBody"/>
      </w:pPr>
      <w:r>
        <w:rPr>
          <w:rFonts w:ascii="Times New Roman" w:hAnsi="Times New Roman" w:eastAsia="宋体"/>
          <w:sz w:val="24"/>
        </w:rPr>
        <w:t>Humanities and Social Sciences Communications 12, no. 1 (2025), https://doi.org/10.1057/s41599-025-04648-8. Though published in 2025, this paper cites other work whose original data prove­ nance dates to 2011–12.</w:t>
      </w:r>
    </w:p>
    <w:p>
      <w:pPr>
        <w:pStyle w:val="DocBody"/>
        <w:ind w:left="765"/>
      </w:pPr>
      <w:r>
        <w:rPr>
          <w:rFonts w:ascii="Times New Roman" w:hAnsi="Times New Roman" w:eastAsia="宋体"/>
          <w:sz w:val="24"/>
        </w:rPr>
        <w:t>Michael Marder, “How Bad Is the U.S. STEM Teacher Short­ age?” Medium, December 8, 2021, https://uteachinstitute.medium .com/u-s-stem-teacher-shortages-in-2017-2018-1d8314a93ba1.</w:t>
      </w:r>
    </w:p>
    <w:p>
      <w:pPr>
        <w:pStyle w:val="DocBody"/>
        <w:ind w:left="765"/>
      </w:pPr>
      <w:r>
        <w:rPr>
          <w:rFonts w:ascii="Times New Roman" w:hAnsi="Times New Roman" w:eastAsia="宋体"/>
          <w:sz w:val="24"/>
        </w:rPr>
        <w:t>Marder, “How Bad Is the U.S. STEM Teacher Shortage?”</w:t>
      </w:r>
    </w:p>
    <w:p>
      <w:pPr>
        <w:pStyle w:val="DocBody"/>
        <w:ind w:left="765"/>
      </w:pPr>
      <w:r>
        <w:rPr>
          <w:rFonts w:ascii="Times New Roman" w:hAnsi="Times New Roman" w:eastAsia="宋体"/>
          <w:sz w:val="24"/>
        </w:rPr>
        <w:t>Michael Polyani, Personal Knowledge (University of Chicago Press, 1962); Thomas S. Kuhn, Structure of Scientifc Revolutions, 2nd ed. (University of Chicago Press, 1970); for more recent dis­ cussions, see: Vincent-Wayne Mitchell, William S. Harvey, and Geoffrey Wood, “Where Does All the ‘Know How’ Go? The Role of Tacit Knowledge in Research Impact,” Higher Education Research &amp; Development 41, no. 5 (2022): 1664–78, https://doi.org/10.1080 /07294360.2021.1937066; Tim Thornton, “Tacit Knowledge as the Unifying Factor in Evidence Based Medicine and Clinical Judge­ ment,” Philosophy, Ethics, and Humanities in Medicine 1, no. 2 (2006), https://doi.org/10.1186/1747-5341-1-2.</w:t>
      </w:r>
    </w:p>
    <w:p>
      <w:pPr>
        <w:pStyle w:val="DocBody"/>
        <w:ind w:left="765"/>
      </w:pPr>
      <w:r>
        <w:rPr>
          <w:rFonts w:ascii="Times New Roman" w:hAnsi="Times New Roman" w:eastAsia="宋体"/>
          <w:sz w:val="24"/>
        </w:rPr>
        <w:t>Shai Bernstein, Rebecca Diamond, Abhisit Jiranaphawiboon, Beatriz Pousada, and Timothy McQuade, “The Contribution of High-Skilled Immigrants to Innovation in the United States,”</w:t>
      </w:r>
    </w:p>
    <w:p>
      <w:pPr>
        <w:pStyle w:val="DocBody"/>
      </w:pPr>
      <w:r>
        <w:rPr>
          <w:rFonts w:ascii="Times New Roman" w:hAnsi="Times New Roman" w:eastAsia="宋体"/>
          <w:sz w:val="24"/>
        </w:rPr>
        <w:t>Research Briefs in Economic Policy no. 350, Cato Institute, Sep­ tember 20, 2023, https://www.cato.org/research-briefs-economic -policy/contribution-high-skilled-immigrants-innovation-united -states; Jennifer Hunt and Marjolaine Gauthier-Loiselle, “How Much Does Immigration Boost Innovation?,” American Economic Journal: Macroeconomics 2, no. 2 (2010): 31–56, https://doi .org/10.1257/mac.2.2.31.</w:t>
      </w:r>
    </w:p>
    <w:p>
      <w:pPr>
        <w:pStyle w:val="DocBody"/>
        <w:ind w:left="765"/>
      </w:pPr>
      <w:r>
        <w:rPr>
          <w:rFonts w:ascii="Times New Roman" w:hAnsi="Times New Roman" w:eastAsia="宋体"/>
          <w:sz w:val="24"/>
        </w:rPr>
        <w:t>Dany Bahar et al., “Talent Flows and the Geography of Knowl­ edge Production: Causal Evidence from Multinational Firms,”</w:t>
      </w:r>
    </w:p>
    <w:p>
      <w:pPr>
        <w:pStyle w:val="DocBody"/>
      </w:pPr>
      <w:r>
        <w:rPr>
          <w:rFonts w:ascii="Times New Roman" w:hAnsi="Times New Roman" w:eastAsia="宋体"/>
          <w:sz w:val="24"/>
        </w:rPr>
        <w:t>Harvard Business School Technology and Operations Mgmt. Unit Working Paper no. 22-047 (December 2022), https://papers.ssrn .com/sol3/papers.cfm?abstract_id=4005693.</w:t>
      </w:r>
    </w:p>
    <w:p>
      <w:pPr>
        <w:pStyle w:val="DocBody"/>
        <w:ind w:left="765"/>
      </w:pPr>
      <w:r>
        <w:rPr>
          <w:rFonts w:ascii="Times New Roman" w:hAnsi="Times New Roman" w:eastAsia="宋体"/>
          <w:sz w:val="24"/>
        </w:rPr>
        <w:t>Immigration, Refugees, and Citizenship Canada, “Canada’s Tech Talent Strategy,” Government of Canada, last modifed June 27, 2023, https://www.canada.ca/en/immigration-refugees-citizenship /news/2023/06/canadas-tech-talent-strategy.html.</w:t>
      </w:r>
    </w:p>
    <w:p>
      <w:pPr>
        <w:pStyle w:val="DocBody"/>
        <w:ind w:left="765"/>
      </w:pPr>
      <w:r>
        <w:rPr>
          <w:rFonts w:ascii="Times New Roman" w:hAnsi="Times New Roman" w:eastAsia="宋体"/>
          <w:sz w:val="24"/>
        </w:rPr>
        <w:t>Britta Glennon and David R. Dollar, Dollar &amp; Sense, podcast, “What’s Behind the Globalization of R&amp;D?,” Brookings Institution, April 26, 2021, MP3 Audio, 25:02, https://www.brookings.edu /articles/whats-behind-the-globalization-of-rd.</w:t>
      </w:r>
    </w:p>
    <w:p>
      <w:pPr>
        <w:pStyle w:val="DocBody"/>
        <w:ind w:left="765"/>
      </w:pPr>
      <w:r>
        <w:rPr>
          <w:rFonts w:ascii="Times New Roman" w:hAnsi="Times New Roman" w:eastAsia="宋体"/>
          <w:sz w:val="24"/>
        </w:rPr>
        <w:t>National Academies of Sciences, Engineering, and Medicine, Information Technology Innovation: Resurgence, Confuence, and Continuing Impact (National Academies Press, 2020), https://doi .org/10.17226/25961.</w:t>
      </w:r>
    </w:p>
    <w:p>
      <w:pPr>
        <w:pStyle w:val="DocBody"/>
        <w:ind w:left="765"/>
      </w:pPr>
      <w:r>
        <w:rPr>
          <w:rFonts w:ascii="Times New Roman" w:hAnsi="Times New Roman" w:eastAsia="宋体"/>
          <w:sz w:val="24"/>
        </w:rPr>
        <w:t>Neil C. Thompson, Shuning Ge, and Yash M. Sherry, “Building the Algorithm Commons: Who Discovered the Algorithms That Underpin Computing in the Modern Enterprise?,” Global Strategy Journal 11, no. 1 (2021): 17–33, https://doi.org/10.1002/gsj.1393.</w:t>
      </w:r>
    </w:p>
    <w:p>
      <w:pPr>
        <w:pStyle w:val="DocBody"/>
        <w:ind w:left="765"/>
      </w:pPr>
      <w:r>
        <w:rPr>
          <w:rFonts w:ascii="Times New Roman" w:hAnsi="Times New Roman" w:eastAsia="宋体"/>
          <w:sz w:val="24"/>
        </w:rPr>
        <w:t>National Research Council, Research Universities and the Future of America: Ten Breakthrough Actions Vital to Our Nation’s Prosperity and Security (National Academies Press, 2012), https:// doi.org/10.17226/13396.</w:t>
      </w:r>
    </w:p>
    <w:p>
      <w:pPr>
        <w:pStyle w:val="DocBody"/>
        <w:ind w:left="765"/>
      </w:pPr>
      <w:r>
        <w:rPr>
          <w:rFonts w:ascii="Times New Roman" w:hAnsi="Times New Roman" w:eastAsia="宋体"/>
          <w:sz w:val="24"/>
        </w:rPr>
        <w:t>Graham Andrews, “New Data Show Universities Are Increasing R&amp;D Activity,” Association of American Universities, December 6, 2024, https://www.aau.edu/newsroom/leading -research-universities-reportnew-data-show-universities-are -increasing-rd-activity.</w:t>
      </w:r>
    </w:p>
    <w:p>
      <w:pPr>
        <w:pStyle w:val="DocBody"/>
        <w:ind w:left="765"/>
      </w:pPr>
      <w:r>
        <w:rPr>
          <w:rFonts w:ascii="Times New Roman" w:hAnsi="Times New Roman" w:eastAsia="宋体"/>
          <w:sz w:val="24"/>
        </w:rPr>
        <w:t>James Manyika and William McRaven, Innovation and National Security: Keeping Our Edge, Independent Task Force Report, no. 77 (Council on Foreign Relations, 2019), 21, https://www.cfr.org /report/keeping-our-edge/pdf/TFR_Innovation_Strategy.pdf.</w:t>
      </w:r>
    </w:p>
    <w:p>
      <w:pPr>
        <w:pStyle w:val="DocBody"/>
        <w:ind w:left="765"/>
      </w:pPr>
      <w:r>
        <w:rPr>
          <w:rFonts w:ascii="Times New Roman" w:hAnsi="Times New Roman" w:eastAsia="宋体"/>
          <w:sz w:val="24"/>
        </w:rPr>
        <w:t>Andrews, “New Data Show Universities Are Increasing R&amp;D Activity.”</w:t>
      </w:r>
    </w:p>
    <w:p>
      <w:pPr>
        <w:pStyle w:val="DocBody"/>
        <w:ind w:left="765"/>
      </w:pPr>
      <w:r>
        <w:rPr>
          <w:rFonts w:ascii="Times New Roman" w:hAnsi="Times New Roman" w:eastAsia="宋体"/>
          <w:sz w:val="24"/>
        </w:rPr>
        <w:t>National Center for Science and Engineering Statistics, “Long-Term Trends Show Decline in Federally Funded R&amp;D as a Share of GDP While Business-Funded R&amp;D Increases as a Share of GDP,” NSF 25-334 (US National Science Foundation, 2025), https://ncses.nsf.gov/pubs/nsf25334.</w:t>
      </w:r>
    </w:p>
    <w:p>
      <w:pPr>
        <w:pStyle w:val="DocBody"/>
        <w:ind w:left="765"/>
      </w:pPr>
      <w:r>
        <w:rPr>
          <w:rFonts w:ascii="Times New Roman" w:hAnsi="Times New Roman" w:eastAsia="宋体"/>
          <w:sz w:val="24"/>
        </w:rPr>
        <w:t>James Pethokoukis, “Broken Promises: CHIPS Act Funding for Science Research Falls Short,” Faster, Please!, American Enterprise Institute, March 13, 2024, https://www.aei.org/articles/broken -promises-chips-act-funding-for-science-research-falls-short/.</w:t>
      </w:r>
    </w:p>
    <w:p>
      <w:pPr>
        <w:pStyle w:val="DocBody"/>
        <w:ind w:left="765"/>
      </w:pPr>
      <w:r>
        <w:rPr>
          <w:rFonts w:ascii="Times New Roman" w:hAnsi="Times New Roman" w:eastAsia="宋体"/>
          <w:sz w:val="24"/>
        </w:rPr>
        <w:t>Organisation for Economic Co-operation and Development, “OECD Data Explorer: Gross Domestic Expenditure on R&amp;D by Sector of Performance and Type of R&amp;D,” 2024,  https://data -explorer.oecd.org/vis?fs[0]=Topic%2C1%7CScience%252C%20 technology%20and%20innovation%23INT%23%7CResearch%20 and%20development%20%28R%26D%29%23INT_RD%23&amp;pg =0&amp;fc=Topic&amp;bp=true&amp;snb=18&amp;vw=tb&amp;df[ds]=dsDisseminate FinalDMZ&amp;df[id]=DSD_RDS_GERD%40DF_GERD_TORD &amp;df[ag]=OECD.STI.STP&amp;df[vs]=1.0&amp;dq=CHN%2BUSA.A .._T...BR...USD_PPP.Q&amp;pd=2012%2C2021&amp;to[TIME_PERIOD] =false. Analysis conducted by comparing two methods of measur­ ing annual increases of US and China spending on basic research and projecting rates into future.</w:t>
      </w:r>
    </w:p>
    <w:p>
      <w:pPr>
        <w:pStyle w:val="DocBody"/>
        <w:ind w:left="765"/>
      </w:pPr>
      <w:r>
        <w:rPr>
          <w:rFonts w:ascii="Times New Roman" w:hAnsi="Times New Roman" w:eastAsia="宋体"/>
          <w:sz w:val="24"/>
        </w:rPr>
        <w:t>Alex Knapp, “Why Billionaires Ken Griffng and Eric Schmidt Are Spending $50 Million on a New Kind of Scientifc Research,”</w:t>
      </w:r>
    </w:p>
    <w:p>
      <w:pPr>
        <w:pStyle w:val="DocBody"/>
      </w:pPr>
      <w:r>
        <w:rPr>
          <w:rFonts w:ascii="Times New Roman" w:hAnsi="Times New Roman" w:eastAsia="宋体"/>
          <w:sz w:val="24"/>
        </w:rPr>
        <w:t>Forbes, March 17, 2023, https://www.forbes.com/sites/alexknapp /2023/03/17/why-billionaires-ken-griffin-and-eric-schmidt-are -spending-50-million-on-a-new-kind-of-scientifc-research.</w:t>
      </w:r>
    </w:p>
    <w:p>
      <w:pPr>
        <w:pStyle w:val="DocBody"/>
        <w:ind w:left="765"/>
      </w:pPr>
      <w:r>
        <w:rPr>
          <w:rFonts w:ascii="Times New Roman" w:hAnsi="Times New Roman" w:eastAsia="宋体"/>
          <w:sz w:val="24"/>
        </w:rPr>
        <w:t>G. M. Peter Swann, The Economics of Standardization: An Update, report for the UK Department of Business, Innovation and Skills (Innovative Economics Limited, 2010), https://assets .publishing.service.gov.uk/media/5a790abd40f0b679c0a0812d /10-1135-economics-of-standardization-update.pdf.</w:t>
      </w:r>
    </w:p>
    <w:p>
      <w:pPr>
        <w:pStyle w:val="DocBody"/>
        <w:ind w:left="765"/>
      </w:pPr>
      <w:r>
        <w:rPr>
          <w:rFonts w:ascii="Times New Roman" w:hAnsi="Times New Roman" w:eastAsia="宋体"/>
          <w:sz w:val="24"/>
        </w:rPr>
        <w:t>European Commission, “A strategic vision for European stan­ dards: Moving forward to enhance and accelerate the sustainable growth of the European economy by 2020” (Communication)</w:t>
      </w:r>
    </w:p>
    <w:p>
      <w:pPr>
        <w:pStyle w:val="DocBody"/>
      </w:pPr>
      <w:r>
        <w:rPr>
          <w:rFonts w:ascii="Times New Roman" w:hAnsi="Times New Roman" w:eastAsia="宋体"/>
          <w:sz w:val="24"/>
        </w:rPr>
        <w:t>COM (2011) 0311 fnal, https://eur-lex.europa.eu/LexUriServ /LexUriServ.do?uri=COM:2011:0311:FIN:en:PDF.</w:t>
      </w:r>
    </w:p>
    <w:p>
      <w:pPr>
        <w:pStyle w:val="DocBody"/>
        <w:ind w:left="765"/>
      </w:pPr>
      <w:r>
        <w:rPr>
          <w:rFonts w:ascii="Times New Roman" w:hAnsi="Times New Roman" w:eastAsia="宋体"/>
          <w:sz w:val="24"/>
        </w:rPr>
        <w:t>Building Trust: The Conformity Assessment Toolbox, Interna­ tional Organization for Standards, 2023, https://www.iso.org/fles /live/sites/isoorg/fles/archive/pdf/en/casco_building-trust.pdf.</w:t>
      </w:r>
    </w:p>
    <w:p>
      <w:pPr>
        <w:pStyle w:val="DocBody"/>
        <w:ind w:left="765"/>
      </w:pPr>
      <w:r>
        <w:rPr>
          <w:rFonts w:ascii="Times New Roman" w:hAnsi="Times New Roman" w:eastAsia="宋体"/>
          <w:sz w:val="24"/>
        </w:rPr>
        <w:t>Andre Jungmittag and Axel Mangelsdorf, The Economic Benefts of Standardization, DIN German Institute for Standard­ ization, 2011, https://www.din.de/resource/blob/89552/68849fab 0eeeaafb56c5a3ffee9959c5/economic-benefts-of-standardization -en-data.pdf.</w:t>
      </w:r>
    </w:p>
    <w:p>
      <w:pPr>
        <w:pStyle w:val="DocBody"/>
        <w:ind w:left="765"/>
      </w:pPr>
      <w:r>
        <w:rPr>
          <w:rFonts w:ascii="Times New Roman" w:hAnsi="Times New Roman" w:eastAsia="宋体"/>
          <w:sz w:val="24"/>
        </w:rPr>
        <w:t>Carl Shapiro and Hal R. Varian, “The Art of Standards Wars,”</w:t>
      </w:r>
    </w:p>
    <w:p>
      <w:pPr>
        <w:pStyle w:val="DocBody"/>
      </w:pPr>
      <w:r>
        <w:rPr>
          <w:rFonts w:ascii="Times New Roman" w:hAnsi="Times New Roman" w:eastAsia="宋体"/>
          <w:sz w:val="24"/>
        </w:rPr>
        <w:t>California Management Review 41, no. 2 (1999): 8–32, https://doi .org/10.2307/41165984.</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11  CROSSCUTTING THEMES AND COMMONALITIES</w:t>
      </w:r>
    </w:p>
    <w:p>
      <w:pPr>
        <w:pStyle w:val="DocBody"/>
        <w:ind w:left="765"/>
      </w:pPr>
      <w:r>
        <w:rPr>
          <w:rFonts w:ascii="Times New Roman" w:hAnsi="Times New Roman" w:eastAsia="宋体"/>
          <w:sz w:val="24"/>
        </w:rPr>
        <w:t>Brad Kelechava, “VHS vs Betamax: Standard Format War,”</w:t>
      </w:r>
    </w:p>
    <w:p>
      <w:pPr>
        <w:pStyle w:val="DocBody"/>
      </w:pPr>
      <w:r>
        <w:rPr>
          <w:rFonts w:ascii="Times New Roman" w:hAnsi="Times New Roman" w:eastAsia="宋体"/>
          <w:sz w:val="24"/>
        </w:rPr>
        <w:t>The ANSI Blog, May 5, 2016, https://blog.ansi.org/ansi/vhs-vs -betamax-standard-format-war/.</w:t>
      </w:r>
    </w:p>
    <w:p>
      <w:pPr>
        <w:pStyle w:val="DocBody"/>
        <w:ind w:left="765"/>
      </w:pPr>
      <w:r>
        <w:rPr>
          <w:rFonts w:ascii="Times New Roman" w:hAnsi="Times New Roman" w:eastAsia="宋体"/>
          <w:sz w:val="24"/>
        </w:rPr>
        <w:t>“The CHIPS Act: What It Means for the Semiconductor Eco­ system,” PricewaterhouseCoopers, n.d., https://www.pwc.com/us /en/library/chips-act.html.</w:t>
      </w:r>
    </w:p>
    <w:p>
      <w:pPr>
        <w:pStyle w:val="DocBody"/>
      </w:pPr>
      <w:r>
        <w:rPr>
          <w:rFonts w:ascii="Times New Roman" w:hAnsi="Times New Roman" w:eastAsia="宋体"/>
          <w:sz w:val="24"/>
        </w:rPr>
        <w:t>STANFORD EXPERT CONTRIBUTOR Dr. Herbert S. Lin SETR Director and Editor in Chief, Research Fellow at the Hoover Institution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TECHNOLOGY APPLICATIONS BY POLICY AREA This chapter explores applications from each tech­ nology feld described in the report as they relate to fve important policy themes: economic growth, national security, environmental and energy sustain­ ability, health and medicine, and civil society.</w:t>
      </w:r>
    </w:p>
    <w:p>
      <w:pPr>
        <w:pStyle w:val="DocBody"/>
      </w:pPr>
      <w:r>
        <w:rPr>
          <w:rFonts w:ascii="Times New Roman" w:hAnsi="Times New Roman" w:eastAsia="宋体"/>
          <w:sz w:val="24"/>
        </w:rPr>
        <w:t>Economic Growth Artifcial intelligence (AI) AI may signifcantly boost productivity across many sectors of the econ­ omy. Large language models such as ChatGPT have already demonstrated how they can be used in a variety of diverse felds, including law, customer support, computer programming, and journalism.</w:t>
      </w:r>
    </w:p>
    <w:p>
      <w:pPr>
        <w:pStyle w:val="DocBody"/>
      </w:pPr>
      <w:r>
        <w:rPr>
          <w:rFonts w:ascii="Times New Roman" w:hAnsi="Times New Roman" w:eastAsia="宋体"/>
          <w:sz w:val="24"/>
        </w:rPr>
        <w:t>Generative AI, a form of AI that creates new text, images, and other content, is expected to raise global GDP by $7 trillion and lift productivity growth by 1.5 percent over a ten-year period, if adopted widely.</w:t>
      </w:r>
    </w:p>
    <w:p>
      <w:pPr>
        <w:pStyle w:val="DocBody"/>
      </w:pPr>
      <w:r>
        <w:rPr>
          <w:rFonts w:ascii="Times New Roman" w:hAnsi="Times New Roman" w:eastAsia="宋体"/>
          <w:sz w:val="24"/>
        </w:rPr>
        <w:t>Biotechnology and synthetic biology Biotech­ nology is poised to emerge as a general-purpose technology that can be applied broadly, with the capacity to revolutionize areas such as healthcare and manufacturing. Biological processes could ultimately produce as much as 60 percent of the physical inputs to the global economy. Already, bio­ technology and synthetic biology are enablers for advances in medicine and healthcare (e.g., vaccines and cancer treatments), agriculture (e.g., drought- resistant crops), food (e.g., nutritionally enriched vegetables), and energy production (e.g., biofuels).</w:t>
      </w:r>
    </w:p>
    <w:p>
      <w:pPr>
        <w:pStyle w:val="DocBody"/>
      </w:pPr>
      <w:r>
        <w:rPr>
          <w:rFonts w:ascii="Times New Roman" w:hAnsi="Times New Roman" w:eastAsia="宋体"/>
          <w:sz w:val="24"/>
        </w:rPr>
        <w:t>Potential applications also include biotic semicon­ ductors, magnets, fber optics, and data storage.</w:t>
      </w:r>
    </w:p>
    <w:p>
      <w:pPr>
        <w:pStyle w:val="DocBody"/>
      </w:pPr>
      <w:r>
        <w:rPr>
          <w:rFonts w:ascii="Times New Roman" w:hAnsi="Times New Roman" w:eastAsia="宋体"/>
          <w:sz w:val="24"/>
        </w:rPr>
        <w:t>Cryptography and computer security Blockchain technologies can effectively provide provenance in supply chains as well as personal identity manage­ ment that curbs fraud and identity theft, leading to more secure and effcient transactions. Blockchain technology also underpins cryptocurrencies. A US central bank digital currency, or CBDC, a form</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of digital currency that does not necessarily use blockchains, could help reduce ineffciencies in US deposit markets, promoting broader participation in the fnancial system.</w:t>
      </w:r>
    </w:p>
    <w:p>
      <w:pPr>
        <w:pStyle w:val="DocBody"/>
      </w:pPr>
      <w:r>
        <w:rPr>
          <w:rFonts w:ascii="Times New Roman" w:hAnsi="Times New Roman" w:eastAsia="宋体"/>
          <w:sz w:val="24"/>
        </w:rPr>
        <w:t>Energy technologies The Accelerating Deployment of Versatile, Advanced Nuclear for Clean Energy (ADVANCE) Act of 2024 sought to strengthen US global leadership on nuclear energy by directing the Nuclear Regulatory Commission (NRC) to coor­ dinate international nuclear export licensing and to establish an International Nuclear Reactor Export and Innovation Branch of the NRC’s International Programs offce. With growing demand around the world for nuclear power, there are many opportuni­ ties expected for the US reactor industry to export its products.</w:t>
      </w:r>
    </w:p>
    <w:p>
      <w:pPr>
        <w:pStyle w:val="DocBody"/>
      </w:pPr>
      <w:r>
        <w:rPr>
          <w:rFonts w:ascii="Times New Roman" w:hAnsi="Times New Roman" w:eastAsia="宋体"/>
          <w:sz w:val="24"/>
        </w:rPr>
        <w:t>Materials science Lighter and stronger materials will increase the energy effciency of vehicles used to trans­ port people and cargo. New semiconductor materials enable new types of chips and other information pro­ cessing hardware. Technological innovations are also offering new ways to produce low-carbon steel and cement.</w:t>
      </w:r>
    </w:p>
    <w:p>
      <w:pPr>
        <w:pStyle w:val="DocBody"/>
      </w:pPr>
      <w:r>
        <w:rPr>
          <w:rFonts w:ascii="Times New Roman" w:hAnsi="Times New Roman" w:eastAsia="宋体"/>
          <w:sz w:val="24"/>
        </w:rPr>
        <w:t>Neuroscience Interventions for those with neural disorders include pharmaceuticals that curb, treat, or reverse neurodegenerative conditions; diagnos­ tics to identify early onset of such conditions; and rehabilitation therapies that help people suffering from them engage in the activities of daily living. By helping to address neurogenerative diseases more effectively, research in the feld could allow people to remain in the workforce longer and be more pro­ ductive, as well as reduce the burden on caregivers, who often need to take time off work to look after relatives and friends.</w:t>
      </w:r>
    </w:p>
    <w:p>
      <w:pPr>
        <w:pStyle w:val="DocBody"/>
      </w:pPr>
      <w:r>
        <w:rPr>
          <w:rFonts w:ascii="Times New Roman" w:hAnsi="Times New Roman" w:eastAsia="宋体"/>
          <w:sz w:val="24"/>
        </w:rPr>
        <w:t>Quantum technologies Quantum computing can address problems in portfolio optimization, mod­ eling for drug discovery, and the improvement of delivery routes. Quantum sensing may be important for subsurface exploration for oil and minerals and quality control in semiconductor manufacture.</w:t>
      </w:r>
    </w:p>
    <w:p>
      <w:pPr>
        <w:pStyle w:val="DocBody"/>
      </w:pPr>
      <w:r>
        <w:rPr>
          <w:rFonts w:ascii="Times New Roman" w:hAnsi="Times New Roman" w:eastAsia="宋体"/>
          <w:sz w:val="24"/>
        </w:rPr>
        <w:t>Robotics Robots are used widely today, includ­ ing in manufacturing; on-demand delivery services;</w:t>
      </w:r>
    </w:p>
    <w:p>
      <w:pPr>
        <w:pStyle w:val="DocBody"/>
      </w:pPr>
      <w:r>
        <w:rPr>
          <w:rFonts w:ascii="Times New Roman" w:hAnsi="Times New Roman" w:eastAsia="宋体"/>
          <w:sz w:val="24"/>
        </w:rPr>
        <w:t>surgery; science and exploration; food production;</w:t>
      </w:r>
    </w:p>
    <w:p>
      <w:pPr>
        <w:pStyle w:val="DocBody"/>
      </w:pPr>
      <w:r>
        <w:rPr>
          <w:rFonts w:ascii="Times New Roman" w:hAnsi="Times New Roman" w:eastAsia="宋体"/>
          <w:sz w:val="24"/>
        </w:rPr>
        <w:t>disaster assistance; security and military services;</w:t>
      </w:r>
    </w:p>
    <w:p>
      <w:pPr>
        <w:pStyle w:val="DocBody"/>
      </w:pPr>
      <w:r>
        <w:rPr>
          <w:rFonts w:ascii="Times New Roman" w:hAnsi="Times New Roman" w:eastAsia="宋体"/>
          <w:sz w:val="24"/>
        </w:rPr>
        <w:t>and transportation. Innovations in robotics have enormous potential to increase productivity in many felds and perhaps to create new types of jobs. But robots that involve physical labor and presence may also eliminate some jobs and change others, creat­ ing the need for retraining people and other mea­ sures to address short-term impacts.</w:t>
      </w:r>
    </w:p>
    <w:p>
      <w:pPr>
        <w:pStyle w:val="DocBody"/>
      </w:pPr>
      <w:r>
        <w:rPr>
          <w:rFonts w:ascii="Times New Roman" w:hAnsi="Times New Roman" w:eastAsia="宋体"/>
          <w:sz w:val="24"/>
        </w:rPr>
        <w:t>Semiconductors Semiconductors are an enabling technology for any application that can be improved through the use of information. They provide the computing capabilities that many sectors of the economy rely on. As such, they are key drivers of economic activity and growth. However, reductions in the cost of semiconductors and increases in pro­ cessing power are likely to become less frequent or regular in the future—and predictions about future economic growth attributable to improvements in semiconductor technology may prove to be overly optimistic.</w:t>
      </w:r>
    </w:p>
    <w:p>
      <w:pPr>
        <w:pStyle w:val="DocBody"/>
      </w:pPr>
      <w:r>
        <w:rPr>
          <w:rFonts w:ascii="Times New Roman" w:hAnsi="Times New Roman" w:eastAsia="宋体"/>
          <w:sz w:val="24"/>
        </w:rPr>
        <w:t>Space Space activities play critical roles in our daily lives and the economy, from enabling global naviga­ tion systems to providing precise time information for fnancial transactions. Expanding commercial activities are expected to drive high growth in the space sector. In the future, through things such as asteroid mining and space-based power production, space activities could become even bigger drivers of economic growth on Earth.</w:t>
      </w:r>
    </w:p>
    <w:p>
      <w:pPr>
        <w:pStyle w:val="DocBody"/>
      </w:pPr>
      <w:r>
        <w:rPr>
          <w:rFonts w:ascii="Times New Roman" w:hAnsi="Times New Roman" w:eastAsia="宋体"/>
          <w:sz w:val="24"/>
        </w:rPr>
        <w:t>National Security Artifcial intelligence Because AI enables more rapid processing of an expanded range of data inputs, all aspects of military operations potentially beneft from it. Possible applications include man­ aging military logistics; improving the effectiveness 12  TECHNOLOGY APPLICATIONS BY POLICY AREA</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and effciency of maintaining equipment; managing electronic medical records; navigating autonomous vehicles; operating drone swarms; recognizing tar­ gets; performing intelligence analysis; developing options for command decisions; and enhancing war gaming to develop and refne plans. However, the US Department of Defense’s ethical considerations for the development and deployment of AI capa­ bilities (especially in nuclear command and control)</w:t>
      </w:r>
    </w:p>
    <w:p>
      <w:pPr>
        <w:pStyle w:val="DocBody"/>
      </w:pPr>
      <w:r>
        <w:rPr>
          <w:rFonts w:ascii="Times New Roman" w:hAnsi="Times New Roman" w:eastAsia="宋体"/>
          <w:sz w:val="24"/>
        </w:rPr>
        <w:t>may not be shared by adversaries.</w:t>
      </w:r>
    </w:p>
    <w:p>
      <w:pPr>
        <w:pStyle w:val="DocBody"/>
      </w:pPr>
      <w:r>
        <w:rPr>
          <w:rFonts w:ascii="Times New Roman" w:hAnsi="Times New Roman" w:eastAsia="宋体"/>
          <w:sz w:val="24"/>
        </w:rPr>
        <w:t>Biotechnology and synthetic biology With syn­ thetic biology becoming increasingly available to state and nonstate actors, there are concerns that a malicious actor could create or deploy weaponized organisms or threaten the provision of biologically developed foods, medicines, fuels, and other prod­ ucts to coerce others. Conversely, the prospect of distributed biomanufacturing offers possibilities for localized biodefense and a larger degree of inde­ pendence from foreign suppliers of many raw mate­ rials. China is investing considerably more resources in biotechnology than the United States, creating the potential for a Sputnik-like strategic surprise.</w:t>
      </w:r>
    </w:p>
    <w:p>
      <w:pPr>
        <w:pStyle w:val="DocBody"/>
      </w:pPr>
      <w:r>
        <w:rPr>
          <w:rFonts w:ascii="Times New Roman" w:hAnsi="Times New Roman" w:eastAsia="宋体"/>
          <w:sz w:val="24"/>
        </w:rPr>
        <w:t>Cryptography and computer security Adversaries are likely to have been storing encrypted data, hoping that future advances in quantum comput­ ing and other digital capabilities will allow them to crack the encryption protecting the information.</w:t>
      </w:r>
    </w:p>
    <w:p>
      <w:pPr>
        <w:pStyle w:val="DocBody"/>
      </w:pPr>
      <w:r>
        <w:rPr>
          <w:rFonts w:ascii="Times New Roman" w:hAnsi="Times New Roman" w:eastAsia="宋体"/>
          <w:sz w:val="24"/>
        </w:rPr>
        <w:t>Efforts are already underway to create new encryp­ tion methods that would be quantum resistant.</w:t>
      </w:r>
    </w:p>
    <w:p>
      <w:pPr>
        <w:pStyle w:val="DocBody"/>
      </w:pPr>
      <w:r>
        <w:rPr>
          <w:rFonts w:ascii="Times New Roman" w:hAnsi="Times New Roman" w:eastAsia="宋体"/>
          <w:sz w:val="24"/>
        </w:rPr>
        <w:t>Separately, zero-knowledge proof methodology to cooperatively track and verify numbers of tactical nuclear warheads may beneft future arms control agreements.</w:t>
      </w:r>
    </w:p>
    <w:p>
      <w:pPr>
        <w:pStyle w:val="DocBody"/>
      </w:pPr>
      <w:r>
        <w:rPr>
          <w:rFonts w:ascii="Times New Roman" w:hAnsi="Times New Roman" w:eastAsia="宋体"/>
          <w:sz w:val="24"/>
        </w:rPr>
        <w:t>Energy technologies The United States is no longer the world leader in energy manufacturing at scale. For instance, China and other countries with lower operating costs control most of the manufac­ turing, supply chain, and critical minerals for bat­ tery and solar cell production. US energy security will require expansion of domestic production and manufacturing, as well as collaboration with allies and partners to better protect energy supply chains.</w:t>
      </w:r>
    </w:p>
    <w:p>
      <w:pPr>
        <w:pStyle w:val="DocBody"/>
      </w:pPr>
      <w:r>
        <w:rPr>
          <w:rFonts w:ascii="Times New Roman" w:hAnsi="Times New Roman" w:eastAsia="宋体"/>
          <w:sz w:val="24"/>
        </w:rPr>
        <w:t>Moreover, there are concerns that a global increase in fssion reactors will result in a greater risk of nuclear proliferation (i.e., the spread of nuclear weap­ ons), especially to nonnuclear states or nonstate actors. However, some believe that the emissions- free potential of fssion reactors is worth the risk of proliferation, which can be minimized through carefully implemented safeguards. Fuel security for nuclear power remains an issue as well—America currently imports more than 90 percent of its ura­ nium, with about half coming from Kazakhstan and Russia.</w:t>
      </w:r>
    </w:p>
    <w:p>
      <w:pPr>
        <w:pStyle w:val="DocBody"/>
      </w:pPr>
      <w:r>
        <w:rPr>
          <w:rFonts w:ascii="Times New Roman" w:hAnsi="Times New Roman" w:eastAsia="宋体"/>
          <w:sz w:val="24"/>
        </w:rPr>
        <w:t>Materials science Improvements in materials sci­ ence and nanotechnology can advance capabilities in stealth technology, camoufage, and body armor and can increase the energy content in explosives.</w:t>
      </w:r>
    </w:p>
    <w:p>
      <w:pPr>
        <w:pStyle w:val="DocBody"/>
      </w:pPr>
      <w:r>
        <w:rPr>
          <w:rFonts w:ascii="Times New Roman" w:hAnsi="Times New Roman" w:eastAsia="宋体"/>
          <w:sz w:val="24"/>
        </w:rPr>
        <w:t>Quantum dots—materials that are smaller than about 100 nanometers in all dimensions—can be used in sensors for detecting agents associated with chemical and biological warfare.</w:t>
      </w:r>
    </w:p>
    <w:p>
      <w:pPr>
        <w:pStyle w:val="DocBody"/>
      </w:pPr>
      <w:r>
        <w:rPr>
          <w:rFonts w:ascii="Times New Roman" w:hAnsi="Times New Roman" w:eastAsia="宋体"/>
          <w:sz w:val="24"/>
        </w:rPr>
        <w:t>Neuroscience Neuroscience may help illuminate the nature of traumatic brain injuries and post- traumatic stress disorder, thereby leading to better treatments for these conditions. Brain–machine interfaces could also enable new prostheses for wounded combatants.</w:t>
      </w:r>
    </w:p>
    <w:p>
      <w:pPr>
        <w:pStyle w:val="DocBody"/>
      </w:pPr>
      <w:r>
        <w:rPr>
          <w:rFonts w:ascii="Times New Roman" w:hAnsi="Times New Roman" w:eastAsia="宋体"/>
          <w:sz w:val="24"/>
        </w:rPr>
        <w:t>Quantum technologies Quantum inertial sens­ ing can provide precise timing and position infor­ mation in GPS-denied environments (i.e., places where global positioning systems are not available).</w:t>
      </w:r>
    </w:p>
    <w:p>
      <w:pPr>
        <w:pStyle w:val="DocBody"/>
      </w:pPr>
      <w:r>
        <w:rPr>
          <w:rFonts w:ascii="Times New Roman" w:hAnsi="Times New Roman" w:eastAsia="宋体"/>
          <w:sz w:val="24"/>
        </w:rPr>
        <w:t>Quantum magnetometers can enable detection and tracking of submarines, camoufaged weapons, and mines by sensing small magnetic anomalies from long distances. Quantum imaging technologies like quantum LIDAR (light detection and ranging)</w:t>
      </w:r>
    </w:p>
    <w:p>
      <w:pPr>
        <w:pStyle w:val="DocBody"/>
      </w:pPr>
      <w:r>
        <w:rPr>
          <w:rFonts w:ascii="Times New Roman" w:hAnsi="Times New Roman" w:eastAsia="宋体"/>
          <w:sz w:val="24"/>
        </w:rPr>
        <w:t>may enable better vision through obscurants such as smoke, fog, or foliage and enhance detection of hidden targets with high resolution.</w:t>
      </w:r>
    </w:p>
    <w:p>
      <w:pPr>
        <w:pStyle w:val="DocBody"/>
      </w:pPr>
      <w:r>
        <w:rPr>
          <w:rFonts w:ascii="Times New Roman" w:hAnsi="Times New Roman" w:eastAsia="宋体"/>
          <w:sz w:val="24"/>
        </w:rPr>
        <w:t>Robotics Advances in robotics can assist military forces with the transportation of equipment and</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12  TECHNOLOGY APPLICATIONS BY POLICY AREA</w:t>
      </w:r>
    </w:p>
    <w:p>
      <w:pPr>
        <w:pStyle w:val="DocBody"/>
      </w:pPr>
      <w:r>
        <w:rPr>
          <w:rFonts w:ascii="Times New Roman" w:hAnsi="Times New Roman" w:eastAsia="宋体"/>
          <w:sz w:val="24"/>
        </w:rPr>
        <w:t>supplies, urban warfare, autonomous vehicle deploy­ ment, and search-and-rescue efforts. Additionally, robotics can assist with mine clearance, disaster recovery, and frefghting. Some military robots, such as lethal autonomous weapons systems, raise questions of robo-ethics on the battlefeld. Given the pressure for militaries to act more rapidly, many observers believe that decisions of lethal force will be turned over to computers, while others insist that life­ and-death decisions must remain with humans.</w:t>
      </w:r>
    </w:p>
    <w:p>
      <w:pPr>
        <w:pStyle w:val="DocBody"/>
      </w:pPr>
      <w:r>
        <w:rPr>
          <w:rFonts w:ascii="Times New Roman" w:hAnsi="Times New Roman" w:eastAsia="宋体"/>
          <w:sz w:val="24"/>
        </w:rPr>
        <w:t>Semiconductors Modern military hardware is crit­ ically dependent on semiconductor technology for information processing. The primary fabricator of semiconductor chips globally is Taiwan. Taiwan is home to two of the three leading manufacturers: the Taiwan Semiconductor Manufacturing Company and the United Microelectronics Corporation. China’s long-held interest in reunifcation with Taiwan and its rising military capabilities and assertiveness toward Taiwan are raising deep concerns in regard to semi­ conductors. Many are concerned about the potential for a Chinese blockade or other actions that could disrupt the global semiconductor supply chain and raise the risk of military confict between the United States and China. The Creating Helpful Incentives to Produce Semiconductors (CHIPS) and Science Act of 2022 is intended to reduce the risk of supply chain disruption, but major initiatives called for in the leg­ islation have not been fully funded.</w:t>
      </w:r>
    </w:p>
    <w:p>
      <w:pPr>
        <w:pStyle w:val="DocBody"/>
      </w:pPr>
      <w:r>
        <w:rPr>
          <w:rFonts w:ascii="Times New Roman" w:hAnsi="Times New Roman" w:eastAsia="宋体"/>
          <w:sz w:val="24"/>
        </w:rPr>
        <w:t>Space Communications, surveillance, and navi­ gation in denied areas are essential functions for military forces. In the future, nonnuclear weapons may be based in space and used to attack terres­ trial and space targets. Satellites are also essen­ tial for the detection of launched ballistic missiles, nuclear weapons explosions, and electromagnetic emissions from other nations. The emergence of low-cost, high-quality information from space-based assets that are largely commercial has been a driver of open-source intelligence (OSINT). Unclassifed intelligence like OSINT has the potential to upend traditional intelligence processes built on classifed information collection and analysis. The net effect of OSINT could be a declining US intelligence advan­ tage, as more countries, organizations, and individu­ als can collect, analyze, and disseminate high-quality intelligence without expensive, space-based gov­ ernment satellite capabilities. The commercializa­ tion of space also puts powerful capabilities in the hands of individuals and organizations who are not accountable to voters and whose interests may not be aligned with those of the US government.</w:t>
      </w:r>
    </w:p>
    <w:p>
      <w:pPr>
        <w:pStyle w:val="DocBody"/>
      </w:pPr>
      <w:r>
        <w:rPr>
          <w:rFonts w:ascii="Times New Roman" w:hAnsi="Times New Roman" w:eastAsia="宋体"/>
          <w:sz w:val="24"/>
        </w:rPr>
        <w:t>Environmental and Energy Sustainability Artifcial intelligence AI capabilities can greatly improve global sustainability efforts, from help­ ing farmers identify which produce or livestock are appropriate to harvest, to helping analyze weather patterns to prepare populations and infrastructure for extreme or unusual conditions. At the same time, training and using AI models requires a large amount of energy, and the energy demand to sup­ port these activities is expected to grow signifcantly in the future.</w:t>
      </w:r>
    </w:p>
    <w:p>
      <w:pPr>
        <w:pStyle w:val="DocBody"/>
      </w:pPr>
      <w:r>
        <w:rPr>
          <w:rFonts w:ascii="Times New Roman" w:hAnsi="Times New Roman" w:eastAsia="宋体"/>
          <w:sz w:val="24"/>
        </w:rPr>
        <w:t>Biotechnology and synthetic biology Synthetic biology can contribute to new methods for energy production and environmental cleanup. Electro­ biosynthesis is a biotechnology that enables plant- free bioproduction in places where soils are poor, water is scarce, or climate and weather are too vari­ able to support traditional agriculture.</w:t>
      </w:r>
    </w:p>
    <w:p>
      <w:pPr>
        <w:pStyle w:val="DocBody"/>
      </w:pPr>
      <w:r>
        <w:rPr>
          <w:rFonts w:ascii="Times New Roman" w:hAnsi="Times New Roman" w:eastAsia="宋体"/>
          <w:sz w:val="24"/>
        </w:rPr>
        <w:t>Cryptography and computer security Blockchain technologies can provide a transparent and secure way to track the movement of goods. This includes tracking their origin, quantity, and other relevant information, thereby improving effciency in global supply chains and limiting illegal extractions of cer­ tain materials. Although some established crypto­ currencies, such as Bitcoin, require massive amounts of energy, newer cryptocurrencies require far less.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Energy technologies New investments in energy research and development are enabling advances in clean electricity generation, long-distance trans­ mission lines, lighting based on light-emitting diodes (LEDs), and electric car batteries. Long- duration energy storage is a critical feld for cli­ mate and sustainability goals. The development of batteries for electric grids that can store energy for weeks or months is needed to support the use of solar and other intermittent renewable energy sources. Renewable fuels, especially hydrogen, can replace hydrocarbons in transportation and industry.</w:t>
      </w:r>
    </w:p>
    <w:p>
      <w:pPr>
        <w:pStyle w:val="DocBody"/>
      </w:pPr>
      <w:r>
        <w:rPr>
          <w:rFonts w:ascii="Times New Roman" w:hAnsi="Times New Roman" w:eastAsia="宋体"/>
          <w:sz w:val="24"/>
        </w:rPr>
        <w:t>However, new hydrogen production and storage methods are needed to make its use cost-effective at scale. Nuclear power could help the United States reach sustainability goals. However, it is unclear whether enough reactors can become operational in time to meet commitments to triple nuclear gener­ ation of electricity by 2050 compared to the 2020 baseline. Moreover, nuclear waste remains an envi­ ronmental policy issue, and the United States has no enduring plan for a long-term storage solution.</w:t>
      </w:r>
    </w:p>
    <w:p>
      <w:pPr>
        <w:pStyle w:val="DocBody"/>
      </w:pPr>
      <w:r>
        <w:rPr>
          <w:rFonts w:ascii="Times New Roman" w:hAnsi="Times New Roman" w:eastAsia="宋体"/>
          <w:sz w:val="24"/>
        </w:rPr>
        <w:t>Materials science Innovations in materials science and engineering are creating new and sustainable plastics that are easier to recycle. New materials can also advance the electrifcation of transportation and industry, which is integral to decarbonization strate­ gies. They can also support the design of relatively cheap batteries that last a long time and can be quickly recharged. Nanomaterials such as quantum dots can further improve the effciency of solar cells and biodegradable plastics. However, some inno­ vations in the feld have potential downsides, too.</w:t>
      </w:r>
    </w:p>
    <w:p>
      <w:pPr>
        <w:pStyle w:val="DocBody"/>
      </w:pPr>
      <w:r>
        <w:rPr>
          <w:rFonts w:ascii="Times New Roman" w:hAnsi="Times New Roman" w:eastAsia="宋体"/>
          <w:sz w:val="24"/>
        </w:rPr>
        <w:t>For instance, the long-term dangers of nanoparticles released into the environment at the end of their life cycle are unknown.</w:t>
      </w:r>
    </w:p>
    <w:p>
      <w:pPr>
        <w:pStyle w:val="DocBody"/>
      </w:pPr>
      <w:r>
        <w:rPr>
          <w:rFonts w:ascii="Times New Roman" w:hAnsi="Times New Roman" w:eastAsia="宋体"/>
          <w:sz w:val="24"/>
        </w:rPr>
        <w:t>Neuroscience Sustainability on a planet with fnite resources requires that decision makers and the people they represent are able to make trade- offs between immediate rewards and future gains.</w:t>
      </w:r>
    </w:p>
    <w:p>
      <w:pPr>
        <w:pStyle w:val="DocBody"/>
      </w:pPr>
      <w:r>
        <w:rPr>
          <w:rFonts w:ascii="Times New Roman" w:hAnsi="Times New Roman" w:eastAsia="宋体"/>
          <w:sz w:val="24"/>
        </w:rPr>
        <w:t>Neuroscientists have found evidence for cogni­ tive predisposition favoring short-term gains over long-term rewards, based on functional magnetic resonance imaging (fMRI) brain scans of people making choices between immediate and delayed reward.</w:t>
      </w:r>
    </w:p>
    <w:p>
      <w:pPr>
        <w:pStyle w:val="DocBody"/>
      </w:pPr>
      <w:r>
        <w:rPr>
          <w:rFonts w:ascii="Times New Roman" w:hAnsi="Times New Roman" w:eastAsia="宋体"/>
          <w:sz w:val="24"/>
        </w:rPr>
        <w:t>Quantum technologies Because of their improved sensitivity, quantum sensors can provide more pre­ cise real-time monitoring of air, water, and soil pol­ lution. Important use cases include detecting trace pollutants, greenhouse gases, and microplastics with high specifcity.</w:t>
      </w:r>
    </w:p>
    <w:p>
      <w:pPr>
        <w:pStyle w:val="DocBody"/>
      </w:pPr>
      <w:r>
        <w:rPr>
          <w:rFonts w:ascii="Times New Roman" w:hAnsi="Times New Roman" w:eastAsia="宋体"/>
          <w:sz w:val="24"/>
        </w:rPr>
        <w:t>Robotics The deployment of robots primarily for the “three D’s”—jobs considered dull, dirty, or dangerous—enables robotic cleanup of environ­ mentally hazardous materials and their operation in environments that can be dangerous for humans, such as nuclear reactors. Robots are also valuable in the construction, maintenance, and management of solar and wind farms.</w:t>
      </w:r>
    </w:p>
    <w:p>
      <w:pPr>
        <w:pStyle w:val="DocBody"/>
      </w:pPr>
      <w:r>
        <w:rPr>
          <w:rFonts w:ascii="Times New Roman" w:hAnsi="Times New Roman" w:eastAsia="宋体"/>
          <w:sz w:val="24"/>
        </w:rPr>
        <w:t>Semiconductors Transitioning to renewable energy sources will require vast amounts of semiconductors.</w:t>
      </w:r>
    </w:p>
    <w:p>
      <w:pPr>
        <w:pStyle w:val="DocBody"/>
      </w:pPr>
      <w:r>
        <w:rPr>
          <w:rFonts w:ascii="Times New Roman" w:hAnsi="Times New Roman" w:eastAsia="宋体"/>
          <w:sz w:val="24"/>
        </w:rPr>
        <w:t>Advanced chips are integral to electric vehicles, solar arrays, and wind turbines. Design innovations will continue to improve the energy effciency of chips.</w:t>
      </w:r>
    </w:p>
    <w:p>
      <w:pPr>
        <w:pStyle w:val="DocBody"/>
      </w:pPr>
      <w:r>
        <w:rPr>
          <w:rFonts w:ascii="Times New Roman" w:hAnsi="Times New Roman" w:eastAsia="宋体"/>
          <w:sz w:val="24"/>
        </w:rPr>
        <w:t>Space Remote sensing data can create a “digital twin” of Earth to track and model environmental change and the movement of humans and animals, informing disaster response and sustainable devel­ opment policies. The development of space technol­ ogies will help to address food security, greenhouse gas emissions, renewable energy, and supply chain optimization. Satellite imagery, combined with weather data and powered by predictive optimiza­ tion algorithms, could increase crop yields. It could also detect greenhouse gas emissions to identify natural-gas leaks and verify compliance with regu­ lations. Advancing space technologies could enable mining from the Moon and asteroids of minerals that are hard to fnd on Earth. It could also enable the transmission of sustainable solar energy directly to Earth from space.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12  TECHNOLOGY APPLICATIONS BY POLICY AREA</w:t>
      </w:r>
    </w:p>
    <w:p>
      <w:pPr>
        <w:pStyle w:val="DocBody"/>
      </w:pPr>
      <w:r>
        <w:rPr>
          <w:rFonts w:ascii="Times New Roman" w:hAnsi="Times New Roman" w:eastAsia="宋体"/>
          <w:sz w:val="24"/>
        </w:rPr>
        <w:t>Health and Medicine Artifcial intelligence AI data analytics are already improving the accuracy of healthcare assess­ ments and procedures. Continued advancement could place AI-monitored cameras and sensors in the homes of elderly or at-risk patients to provide prompt attention in case of emergency while pro­ tecting patient privacy. AI-operated mobile robots can potentially replace basic nursing care.</w:t>
      </w:r>
    </w:p>
    <w:p>
      <w:pPr>
        <w:pStyle w:val="DocBody"/>
      </w:pPr>
      <w:r>
        <w:rPr>
          <w:rFonts w:ascii="Times New Roman" w:hAnsi="Times New Roman" w:eastAsia="宋体"/>
          <w:sz w:val="24"/>
        </w:rPr>
        <w:t>Biotechnology and synthetic biology Synthetic biology has remarkable potential to contribute to the creation of new drugs as well as to pathogen detec­ tion and neutralization. It can also help to reduce disease transmission, personalize medicine through genetic modifcations, improve cancer treatment, and offer custom lab-grown human tissue for medi­ cal testing. DNA sequencers and synthesizers using the internet allow researchers around the world to obtain information on viruses—and potentially vac­ cines or cures—faster than a pandemic can spread.</w:t>
      </w:r>
    </w:p>
    <w:p>
      <w:pPr>
        <w:pStyle w:val="DocBody"/>
      </w:pPr>
      <w:r>
        <w:rPr>
          <w:rFonts w:ascii="Times New Roman" w:hAnsi="Times New Roman" w:eastAsia="宋体"/>
          <w:sz w:val="24"/>
        </w:rPr>
        <w:t>However, that same speed and accessibility raise concerns about potential misuse of the technology by bad actors. It is also unclear how some new bio­ logical organisms will interact with the natural and human environments.</w:t>
      </w:r>
    </w:p>
    <w:p>
      <w:pPr>
        <w:pStyle w:val="DocBody"/>
      </w:pPr>
      <w:r>
        <w:rPr>
          <w:rFonts w:ascii="Times New Roman" w:hAnsi="Times New Roman" w:eastAsia="宋体"/>
          <w:sz w:val="24"/>
        </w:rPr>
        <w:t>Cryptography and computer security Blockchain technology can securely store all data from a per­ son’s important documents, including medical records, in encrypted form while facilitating selective data retrieval that protects a patient’s privacy. This approach enables the performance of data analytics on aggregated and anonymized datasets, enabling researchers and internal auditors to access informa­ tion without violating patients’ privacy rights.</w:t>
      </w:r>
    </w:p>
    <w:p>
      <w:pPr>
        <w:pStyle w:val="DocBody"/>
      </w:pPr>
      <w:r>
        <w:rPr>
          <w:rFonts w:ascii="Times New Roman" w:hAnsi="Times New Roman" w:eastAsia="宋体"/>
          <w:sz w:val="24"/>
        </w:rPr>
        <w:t>Energy technologies A transition from fossil fuel energy to a renewable energy–based world economy would reduce greenhouse gas emissions and pre­ vent thousands of premature deaths from pollution and extreme weather events. Eliminating energy- related air pollution in the United States alone could prevent more than ffty thousand deaths annually and save hundreds of billions of dollars a year from avoided illness. Reducing carbon dioxide emissions will result in less extreme climates, which in turn will lead to fewer health problems from extreme heat.</w:t>
      </w:r>
    </w:p>
    <w:p>
      <w:pPr>
        <w:pStyle w:val="DocBody"/>
      </w:pPr>
      <w:r>
        <w:rPr>
          <w:rFonts w:ascii="Times New Roman" w:hAnsi="Times New Roman" w:eastAsia="宋体"/>
          <w:sz w:val="24"/>
        </w:rPr>
        <w:t>Materials science Materials science and nano­ technology are improving the capabilities and effectiveness of medical devices and the delivery of treatments. For example, wearable electronic devices made from fexible materials can conform to skin or tissues to provide specifc sensing or actuating functions; devices like “electronic skin,”</w:t>
      </w:r>
    </w:p>
    <w:p>
      <w:pPr>
        <w:pStyle w:val="DocBody"/>
      </w:pPr>
      <w:r>
        <w:rPr>
          <w:rFonts w:ascii="Times New Roman" w:hAnsi="Times New Roman" w:eastAsia="宋体"/>
          <w:sz w:val="24"/>
        </w:rPr>
        <w:t>or e-skin, can sense external stimuli such as tem­ perature or pressure; and “smart bandages” with integrated sensors can signifcantly accelerate the healing of chronic wounds. Injectable hydrogels can fne-tune long-term delivery of medications, which can lead to improvements in the administration and effcacy of essential medicines such as insulin.</w:t>
      </w:r>
    </w:p>
    <w:p>
      <w:pPr>
        <w:pStyle w:val="DocBody"/>
      </w:pPr>
      <w:r>
        <w:rPr>
          <w:rFonts w:ascii="Times New Roman" w:hAnsi="Times New Roman" w:eastAsia="宋体"/>
          <w:sz w:val="24"/>
        </w:rPr>
        <w:t>Nanomaterials like quantum dots are being used as fuorescent markers in biological systems to improve the contrast of biomedical images. Finally, biosen­ sors allow the rapid testing of blood for bacterial pathogens.</w:t>
      </w:r>
    </w:p>
    <w:p>
      <w:pPr>
        <w:pStyle w:val="DocBody"/>
      </w:pPr>
      <w:r>
        <w:rPr>
          <w:rFonts w:ascii="Times New Roman" w:hAnsi="Times New Roman" w:eastAsia="宋体"/>
          <w:sz w:val="24"/>
        </w:rPr>
        <w:t>Neuroscience Advances in neuroscience may help address neurodegeneration and related diseases, such as chronic pain, depression, opioid depen­ dency, and Alzheimer’s disease. These advances could dramatically improve the quality of life of patients (and their families) and potentially reverse the anticipated rising costs associated with care.</w:t>
      </w:r>
    </w:p>
    <w:p>
      <w:pPr>
        <w:pStyle w:val="DocBody"/>
      </w:pPr>
      <w:r>
        <w:rPr>
          <w:rFonts w:ascii="Times New Roman" w:hAnsi="Times New Roman" w:eastAsia="宋体"/>
          <w:sz w:val="24"/>
        </w:rPr>
        <w:t>However, too many fundamental gaps still remain in our understanding of the brain for confdence in the rapid progress of treating such illnesses.</w:t>
      </w:r>
    </w:p>
    <w:p>
      <w:pPr>
        <w:pStyle w:val="DocBody"/>
      </w:pPr>
      <w:r>
        <w:rPr>
          <w:rFonts w:ascii="Times New Roman" w:hAnsi="Times New Roman" w:eastAsia="宋体"/>
          <w:sz w:val="24"/>
        </w:rPr>
        <w:t>Quantum technologies Quantum sensors can provide sensitive detection of the small magnetic felds generated by neural activity. This enables the development of noninvasive, wearable systems that can perform three-dimensional mapping of brain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activity in real time, with high spatial and temporal resolution, while subjects move naturally. The capa­ bility contributes to brain–computer interfaces, neu­ rological disease diagnosis, and the understanding of complex brain functions.</w:t>
      </w:r>
    </w:p>
    <w:p>
      <w:pPr>
        <w:pStyle w:val="DocBody"/>
      </w:pPr>
      <w:r>
        <w:rPr>
          <w:rFonts w:ascii="Times New Roman" w:hAnsi="Times New Roman" w:eastAsia="宋体"/>
          <w:sz w:val="24"/>
        </w:rPr>
        <w:t>Robotics Some robots are already being deployed in the healthcare industry. These include assisted laparoscopic surgical units and equipment. Improve­ ments in haptic technology can increase the effec­ tiveness and safety of these robots by providing doctors using them to remotely operate on patients with the tactile sensation of actually holding surgi­ cal tools. Robotics will also be increasingly useful to support aging populations. Assistive robots could help people move around, while other robots can help nursing and homecare workers provide essen­ tial functions such as bathing or cleaning.</w:t>
      </w:r>
    </w:p>
    <w:p>
      <w:pPr>
        <w:pStyle w:val="DocBody"/>
      </w:pPr>
      <w:r>
        <w:rPr>
          <w:rFonts w:ascii="Times New Roman" w:hAnsi="Times New Roman" w:eastAsia="宋体"/>
          <w:sz w:val="24"/>
        </w:rPr>
        <w:t>Semiconductors Semiconductor chips are ubiq­ uitous in modern medical equipment. Imaging devices such as magnetic resonance imaging (MRI), computed tomography (CT), and ultrasound use embedded computers to generate images from electromagnetic radiation and sound waves pene­ trating or emanating from the human body.</w:t>
      </w:r>
    </w:p>
    <w:p>
      <w:pPr>
        <w:pStyle w:val="DocBody"/>
      </w:pPr>
      <w:r>
        <w:rPr>
          <w:rFonts w:ascii="Times New Roman" w:hAnsi="Times New Roman" w:eastAsia="宋体"/>
          <w:sz w:val="24"/>
        </w:rPr>
        <w:t>Space The potential for space manufacturing can improve development of specialized pharmaceuti­ cals, which can be made in a microgravity environ­ ment with minimal contaminants.</w:t>
      </w:r>
    </w:p>
    <w:p>
      <w:pPr>
        <w:pStyle w:val="DocBody"/>
      </w:pPr>
      <w:r>
        <w:rPr>
          <w:rFonts w:ascii="Times New Roman" w:hAnsi="Times New Roman" w:eastAsia="宋体"/>
          <w:sz w:val="24"/>
        </w:rPr>
        <w:t>latter. Indiscriminate data collection can violate pri­ vacy and copyrights. Deepfakes used for misinfor­ mation and disinformation have personal, legal, and political impacts. The long-term nature and extent of AI’s impact on employment—in terms of displacing some jobs and improving productivity in others—are still unknown.</w:t>
      </w:r>
    </w:p>
    <w:p>
      <w:pPr>
        <w:pStyle w:val="DocBody"/>
      </w:pPr>
      <w:r>
        <w:rPr>
          <w:rFonts w:ascii="Times New Roman" w:hAnsi="Times New Roman" w:eastAsia="宋体"/>
          <w:sz w:val="24"/>
        </w:rPr>
        <w:t>Biotechnology and synthetic biology Different religious traditions may have different stances toward life or living systems, as well as different opinions as to whether the engineering of new life­ forms violates any of their basic precepts. Another deliberation will be over who should have access to the benefts from synthetic biology given the risks to human and environmental safety from both mali­ cious and unintentional acts.</w:t>
      </w:r>
    </w:p>
    <w:p>
      <w:pPr>
        <w:pStyle w:val="DocBody"/>
      </w:pPr>
      <w:r>
        <w:rPr>
          <w:rFonts w:ascii="Times New Roman" w:hAnsi="Times New Roman" w:eastAsia="宋体"/>
          <w:sz w:val="24"/>
        </w:rPr>
        <w:t>Cryptography and computer security The nature of cryptography and encrypted communications raises questions about exceptional access regula­ tions. These would require communications carri­ ers and technology vendors to provide access to encrypted information to law enforcement agents or other bodies under specifc legal conditions.</w:t>
      </w:r>
    </w:p>
    <w:p>
      <w:pPr>
        <w:pStyle w:val="DocBody"/>
      </w:pPr>
      <w:r>
        <w:rPr>
          <w:rFonts w:ascii="Times New Roman" w:hAnsi="Times New Roman" w:eastAsia="宋体"/>
          <w:sz w:val="24"/>
        </w:rPr>
        <w:t>Such information would be shared on the basis that encryption technology is also accessible to criminals and other malefactors. Opponents of exceptional access argue that implementing this capability weak­ ens the security provided by encryption. Its support­ ers argue that the reduction in personal encryption security is worth the benefts of law enforcement’s increased ability to catch and prosecute bad actors.</w:t>
      </w:r>
    </w:p>
    <w:p>
      <w:pPr>
        <w:pStyle w:val="DocBody"/>
      </w:pPr>
      <w:r>
        <w:rPr>
          <w:rFonts w:ascii="Times New Roman" w:hAnsi="Times New Roman" w:eastAsia="宋体"/>
          <w:sz w:val="24"/>
        </w:rPr>
        <w:t>Civil Society Artifcial intelligence Because AI models are trained on existing datasets, they are likely to encode any biases present in these datasets. This affects model-based outcomes and decision making. Many facial recognition algorithms are better at identify­ ing lighter-skinned faces than darker-skinned ones, leading to discrimination against people with the Energy technologies Continued creation of sustain­ able energy infrastructure requires new acquisitions of land to build generating stations and storage facilities.</w:t>
      </w:r>
    </w:p>
    <w:p>
      <w:pPr>
        <w:pStyle w:val="DocBody"/>
      </w:pPr>
      <w:r>
        <w:rPr>
          <w:rFonts w:ascii="Times New Roman" w:hAnsi="Times New Roman" w:eastAsia="宋体"/>
          <w:sz w:val="24"/>
        </w:rPr>
        <w:t>These can displace residents from private property and impact local property values, encouraging some to adopt a position of supporting windmills but “not in my backyard.” The construction of nuclear power plants and facilities for storing radioactive waste is often met with opposition from those concerned about exposure to radiation in the environment.</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12  TECHNOLOGY APPLICATIONS BY POLICY AREA</w:t>
      </w:r>
    </w:p>
    <w:p>
      <w:pPr>
        <w:pStyle w:val="DocBody"/>
      </w:pPr>
      <w:r>
        <w:rPr>
          <w:rFonts w:ascii="Times New Roman" w:hAnsi="Times New Roman" w:eastAsia="宋体"/>
          <w:sz w:val="24"/>
        </w:rPr>
        <w:t>Materials science There are many uncertainties about the long-term dangers and health concerns of nanoparticles released into the environment. Given this, there are important questions about how and to what extent regulations should be adopted to mitigate the risks potentially accompanying such releases. To resolve these questions, a consensus must be reached on the magnitude and severity of these risks and on appropriate remedies.</w:t>
      </w:r>
    </w:p>
    <w:p>
      <w:pPr>
        <w:pStyle w:val="DocBody"/>
      </w:pPr>
      <w:r>
        <w:rPr>
          <w:rFonts w:ascii="Times New Roman" w:hAnsi="Times New Roman" w:eastAsia="宋体"/>
          <w:sz w:val="24"/>
        </w:rPr>
        <w:t>Neuroscience Neuroscience development is infu­ enced by existing legal frameworks. The Controlled Substances Act, for instance, limits medical research on some substances that may have therapeutic effects. Meanwhile, cognitive and behavioral neu­ roscience have broad implications for public policy:</w:t>
      </w:r>
    </w:p>
    <w:p>
      <w:pPr>
        <w:pStyle w:val="DocBody"/>
      </w:pPr>
      <w:r>
        <w:rPr>
          <w:rFonts w:ascii="Times New Roman" w:hAnsi="Times New Roman" w:eastAsia="宋体"/>
          <w:sz w:val="24"/>
        </w:rPr>
        <w:t>For example, a basic aspect of criminal law is the nature and extent of an individual’s responsibility for a criminal act. Currently, minors under eighteen years of age cannot be subject to the death penalty for crimes they have committed because adolescent brains are not considered fully developed; this puts minors at higher risk of impulsive, irrational thoughts and behaviors. As neuroscience advances, it could fnd evidence that reinforces or contradicts this prin­ ciple and others.</w:t>
      </w:r>
    </w:p>
    <w:p>
      <w:pPr>
        <w:pStyle w:val="DocBody"/>
      </w:pPr>
      <w:r>
        <w:rPr>
          <w:rFonts w:ascii="Times New Roman" w:hAnsi="Times New Roman" w:eastAsia="宋体"/>
          <w:sz w:val="24"/>
        </w:rPr>
        <w:t>Quantum technologies As quantum computers evolve, they may become capable of breaking the public-key encryption algorithms that protect data.</w:t>
      </w:r>
    </w:p>
    <w:p>
      <w:pPr>
        <w:pStyle w:val="DocBody"/>
      </w:pPr>
      <w:r>
        <w:rPr>
          <w:rFonts w:ascii="Times New Roman" w:hAnsi="Times New Roman" w:eastAsia="宋体"/>
          <w:sz w:val="24"/>
        </w:rPr>
        <w:t>Governments may have frst access to such comput­ ers, but others may use them thereafter. Sensitive information belonging to ordinary citizens is already in the hands of malefactors, though in encrypted form, currently protected by today’s public-key encryption algorithms. However, should quantum computers become able to break public-key encryp­ tion algorithms, this data will no longer be protected.</w:t>
      </w:r>
    </w:p>
    <w:p>
      <w:pPr>
        <w:pStyle w:val="DocBody"/>
      </w:pPr>
      <w:r>
        <w:rPr>
          <w:rFonts w:ascii="Times New Roman" w:hAnsi="Times New Roman" w:eastAsia="宋体"/>
          <w:sz w:val="24"/>
        </w:rPr>
        <w:t>Because that information is already in the hands of people who could exploit it in unencrypted form, there would be no recourse against their doing so.</w:t>
      </w:r>
    </w:p>
    <w:p>
      <w:pPr>
        <w:pStyle w:val="DocBody"/>
      </w:pPr>
      <w:r>
        <w:rPr>
          <w:rFonts w:ascii="Times New Roman" w:hAnsi="Times New Roman" w:eastAsia="宋体"/>
          <w:sz w:val="24"/>
        </w:rPr>
        <w:t>Robotics Greater adoption of robotics will require moving workers to new roles as well as setting standards for human safety around robots. As robots assume more tasks, human workers will need educa­ tion and training programs to undertake new roles and to beneft from robotics. Standards will also be needed to clarify limits to robotic applications.</w:t>
      </w:r>
    </w:p>
    <w:p>
      <w:pPr>
        <w:pStyle w:val="DocBody"/>
      </w:pPr>
      <w:r>
        <w:rPr>
          <w:rFonts w:ascii="Times New Roman" w:hAnsi="Times New Roman" w:eastAsia="宋体"/>
          <w:sz w:val="24"/>
        </w:rPr>
        <w:t>Ethical considerations warranting policy develop­ ment include how to ensure data acquisition for training robots respects privacy and inclusiveness and how to set safety standards (e.g., Should the requirement be that a robot’s performance is com­ parable to an average human’s, or should it be near perfect?). Safety considerations for human-robot interactions will be an ongoing challenge.</w:t>
      </w:r>
    </w:p>
    <w:p>
      <w:pPr>
        <w:pStyle w:val="DocBody"/>
      </w:pPr>
      <w:r>
        <w:rPr>
          <w:rFonts w:ascii="Times New Roman" w:hAnsi="Times New Roman" w:eastAsia="宋体"/>
          <w:sz w:val="24"/>
        </w:rPr>
        <w:t>Semiconductors Student interest in hardware design has dropped precipitously in favor of software- oriented jobs. Some estimates suggest that, given the current rates at which students with relevant degrees are graduating in the United States, 60 to 80 percent of jobs in semiconductor manufacturing will be unflled by 2030.</w:t>
      </w:r>
    </w:p>
    <w:p>
      <w:pPr>
        <w:pStyle w:val="DocBody"/>
      </w:pPr>
      <w:r>
        <w:rPr>
          <w:rFonts w:ascii="Times New Roman" w:hAnsi="Times New Roman" w:eastAsia="宋体"/>
          <w:sz w:val="24"/>
        </w:rPr>
        <w:t>Space In space, the rapid expansion of commer­ cial assets and applications is raising important new policy considerations not covered by current norms.</w:t>
      </w:r>
    </w:p>
    <w:p>
      <w:pPr>
        <w:pStyle w:val="DocBody"/>
      </w:pPr>
      <w:r>
        <w:rPr>
          <w:rFonts w:ascii="Times New Roman" w:hAnsi="Times New Roman" w:eastAsia="宋体"/>
          <w:sz w:val="24"/>
        </w:rPr>
        <w:t>The increasing dependence of government on the private sector to provide space-based capabilities— including launch, vehicles, and space-based commu­ nications and internet access—vital to national secu­ rity and economic growth raises questions about how to align public and private interests. Attempts at improvement have often stagnated due to nations’</w:t>
      </w:r>
    </w:p>
    <w:p>
      <w:pPr>
        <w:pStyle w:val="DocBody"/>
      </w:pPr>
      <w:r>
        <w:rPr>
          <w:rFonts w:ascii="Times New Roman" w:hAnsi="Times New Roman" w:eastAsia="宋体"/>
          <w:sz w:val="24"/>
        </w:rPr>
        <w:t>differing geopolitical aims. Dual-use space technol­ ogies and the challenge of getting private and gov­ ernment actors to cooperate will complicate crisis response.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CONCLUSION This new edition of the Stanford Emerging Technol­ ogy Review (SETR) has spotlighted ten pivotal techno­ logical domains that are shaping the future of science and innovation. Our extensive consultations with leading Stanford academics across scientifc disci­ plines make clear that the coming decade will witness an unprecedented convergence of multiple felds that will drive technological change. Artifcial intelligence (AI), fueled by increased computing power and more data, has potential to enhance human productivity dramatically and facilitate advancements across sci­ entifc felds, from drug discovery to breakthroughs in new materials. Synthetic biology and biotechnology promise groundbreaking applications in agriculture, healthcare, and industrial production.</w:t>
      </w:r>
    </w:p>
    <w:p>
      <w:pPr>
        <w:pStyle w:val="DocBody"/>
      </w:pPr>
      <w:r>
        <w:rPr>
          <w:rFonts w:ascii="Times New Roman" w:hAnsi="Times New Roman" w:eastAsia="宋体"/>
          <w:sz w:val="24"/>
        </w:rPr>
        <w:t>Technological progress spans from the vast expanses of space to the microscopic world of nanoparticles.</w:t>
      </w:r>
    </w:p>
    <w:p>
      <w:pPr>
        <w:pStyle w:val="DocBody"/>
      </w:pPr>
      <w:r>
        <w:rPr>
          <w:rFonts w:ascii="Times New Roman" w:hAnsi="Times New Roman" w:eastAsia="宋体"/>
          <w:sz w:val="24"/>
        </w:rPr>
        <w:t>While technology itself is neither good nor bad, it’s crucial for decision makers to comprehend the reach of technological change, its potential to either improve or disrupt societal norms—and the imper­ ative for American leadership in navigating these expanding frontiers.</w:t>
      </w:r>
    </w:p>
    <w:p>
      <w:pPr>
        <w:pStyle w:val="DocBody"/>
      </w:pPr>
      <w:r>
        <w:rPr>
          <w:rFonts w:ascii="Times New Roman" w:hAnsi="Times New Roman" w:eastAsia="宋体"/>
          <w:sz w:val="24"/>
        </w:rPr>
        <w:t>For decades, the prevailing approach to US science and technology policy has been to fund research at academic institutions and national laboratories, anticipate breakthroughs, and hope for positive outcomes. On the path toward the decisive establish­ ment of US leadership in science and technology, this approach has served the nation well. However, the new technological and geopolitical landscape has presented the nation with a pivotal moment in which the research community can reinvent and reenergize itself so that it better supports innovation and serves the long-term interests of the American people.</w:t>
      </w:r>
    </w:p>
    <w:p>
      <w:pPr>
        <w:pStyle w:val="DocBody"/>
      </w:pPr>
      <w:r>
        <w:rPr>
          <w:rFonts w:ascii="Times New Roman" w:hAnsi="Times New Roman" w:eastAsia="宋体"/>
          <w:sz w:val="24"/>
        </w:rPr>
        <w:t>A new strategy will acknowledge the responsibil­ ity of the research community—and especially of universities—to advance deep, thoughtful fun­ damental research, rebuild meaningful civic dia­ logue, and restore the confdence of the American public. Superfcial window dressing is insuffcient;</w:t>
      </w:r>
    </w:p>
    <w:p>
      <w:pPr>
        <w:pStyle w:val="DocBody"/>
      </w:pPr>
      <w:r>
        <w:rPr>
          <w:rFonts w:ascii="Times New Roman" w:hAnsi="Times New Roman" w:eastAsia="宋体"/>
          <w:sz w:val="24"/>
        </w:rPr>
        <w:t>going back to the way things were will not happen.</w:t>
      </w:r>
    </w:p>
    <w:p>
      <w:pPr>
        <w:pStyle w:val="DocBody"/>
      </w:pPr>
      <w:r>
        <w:rPr>
          <w:rFonts w:ascii="Times New Roman" w:hAnsi="Times New Roman" w:eastAsia="宋体"/>
          <w:sz w:val="24"/>
        </w:rPr>
        <w:t>At the same time, a new strategy must preserve what has been good for the United States: support for the research community that enables it to generate the breakthrough discoveries of tomorrow on which myriad technological advancements can be built. The advances we beneft from today stem from decades- old investments, yet the commitment to nurturing the future has weakened, compared to the past.</w:t>
      </w:r>
    </w:p>
    <w:p>
      <w:pPr>
        <w:pStyle w:val="DocBody"/>
      </w:pPr>
      <w:r>
        <w:rPr>
          <w:rFonts w:ascii="Times New Roman" w:hAnsi="Times New Roman" w:eastAsia="宋体"/>
          <w:sz w:val="24"/>
        </w:rPr>
        <w:t>Ultimately, humans develop and use technology, and effective governance to maximize benefts and mit­ igate risks requires human guidance. Policymakers can establish frameworks that encourage innovation, Ultimately, humans develop and use technology, and effective governance to maximize benefits and mitigate risks requires human guidance.</w:t>
      </w:r>
    </w:p>
    <w:p>
      <w:pPr>
        <w:pStyle w:val="DocBody"/>
      </w:pPr>
      <w:r>
        <w:rPr>
          <w:rFonts w:ascii="Times New Roman" w:hAnsi="Times New Roman" w:eastAsia="宋体"/>
          <w:sz w:val="24"/>
        </w:rPr>
        <w:t>STANFORD EMERGING TECHNOLOGY REVIEW</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set priorities and strategies, align economic pol­ icies to foster innovation and maintain leadership, and bolster America’s position in international competition.</w:t>
      </w:r>
    </w:p>
    <w:p>
      <w:pPr>
        <w:pStyle w:val="DocBody"/>
      </w:pPr>
      <w:r>
        <w:rPr>
          <w:rFonts w:ascii="Times New Roman" w:hAnsi="Times New Roman" w:eastAsia="宋体"/>
          <w:sz w:val="24"/>
        </w:rPr>
        <w:t>As well as offering a look at individual emerg­ ing technologies, this publication also highlights common themes that emerge across them related to the development of science and technology. The importance of universities in the American innovation trifecta—government, academia, and industry— stands out as a crucial factor. As we noted at the start of this report, the US government is the only funder capable of making the large, sustained, and some­ times risky investments in the basic science con­ ducted at universities that will be essential for future applications. Such support is going to be even more critical in the years ahead as other nations step up their own investments in fundamental research.</w:t>
      </w:r>
    </w:p>
    <w:p>
      <w:pPr>
        <w:pStyle w:val="DocBody"/>
      </w:pPr>
      <w:r>
        <w:rPr>
          <w:rFonts w:ascii="Times New Roman" w:hAnsi="Times New Roman" w:eastAsia="宋体"/>
          <w:sz w:val="24"/>
        </w:rPr>
        <w:t>Maintaining a technological lead in a domain is distinct from gaining it. Engaging with expertise around the world, leveraging the potential of highly skilled immigrants, and sustaining robust domestic development of scientifc expertise are essential to reinforcing American leadership in an increasingly competitive global landscape. Recognizing the evolving role of government in technology devel­ opment is also vital. Innovations are no longer cre­ ated and protected solely by state-backed research groups; private corporations and even individu­ als are developing more and more transformative technologies.</w:t>
      </w:r>
    </w:p>
    <w:p>
      <w:pPr>
        <w:pStyle w:val="DocBody"/>
      </w:pPr>
      <w:r>
        <w:rPr>
          <w:rFonts w:ascii="Times New Roman" w:hAnsi="Times New Roman" w:eastAsia="宋体"/>
          <w:sz w:val="24"/>
        </w:rPr>
        <w:t>This paradigm shift is most evident in felds like AI and space exploration, where private companies are spearheading the creation of large language model systems and deploying innovative, highly advanced assets into space—a domain previously dominated by governments. The concentration of power in dif­ ferent hands has signifcant implications for technol­ ogy access, priorities, and policy.</w:t>
      </w:r>
    </w:p>
    <w:p>
      <w:pPr>
        <w:pStyle w:val="DocBody"/>
      </w:pPr>
      <w:r>
        <w:rPr>
          <w:rFonts w:ascii="Times New Roman" w:hAnsi="Times New Roman" w:eastAsia="宋体"/>
          <w:sz w:val="24"/>
        </w:rPr>
        <w:t>This edition of SETR started by asking the question, “What do policymakers need to know about emerg­ ing technologies from Stanford?” It serves as an initial step in providing the necessary and rapidly changing knowledge about these crucial technologies, their key takeaways, future implications, and potential policy concerns. The goal is to foster meaningful and ongoing discussions that can lead to effective and timely policymaking, even as technologies continue to evolve. We hope you found it useful, and we wel­ come feedback on how to make the publication even more impactful in the future—send your thoughts to SETReview2026@stanford.edu.</w:t>
      </w:r>
    </w:p>
    <w:p>
      <w:pPr>
        <w:pStyle w:val="DocBody"/>
      </w:pPr>
      <w:r>
        <w:rPr>
          <w:rFonts w:ascii="Times New Roman" w:hAnsi="Times New Roman" w:eastAsia="宋体"/>
          <w:sz w:val="24"/>
        </w:rPr>
        <w:t>CONCLUSION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LEADERSHIP Co-chairs Condoleezza Rice is the Tad and Dianne Taube Director of the Hoover Institution and a senior fellow on public policy. She is the Denning Professor in Global Business and the Economy at the Stanford Graduate School of Business. She served as the sixty-sixth secretary of state (2005–9) and as the nineteenth national security advisor (2001–5). Rice served as Stanford University’s provost from 1993 to 1999. She is author and coauthor of nine books. She received her PhD in political science from the University of Denver.</w:t>
      </w:r>
    </w:p>
    <w:p>
      <w:pPr>
        <w:pStyle w:val="DocBody"/>
      </w:pPr>
      <w:r>
        <w:rPr>
          <w:rFonts w:ascii="Times New Roman" w:hAnsi="Times New Roman" w:eastAsia="宋体"/>
          <w:sz w:val="24"/>
        </w:rPr>
        <w:t>Jennifer Widom is the Frederick Emmons Terman Dean of the School of Engineering and the Fletcher Jones Professor in Computer Science and Electrical Engineering at Stanford University. Her research inter­ ests span many aspects of nontraditional data manage­ ment. She is a fellow of the Association for Computing Machinery and a member of the National Academy of Engineering and of the American Academy of Arts and Sciences. She received her PhD in computer science from Cornell University.</w:t>
      </w:r>
    </w:p>
    <w:p>
      <w:pPr>
        <w:pStyle w:val="DocBody"/>
      </w:pPr>
      <w:r>
        <w:rPr>
          <w:rFonts w:ascii="Times New Roman" w:hAnsi="Times New Roman" w:eastAsia="宋体"/>
          <w:sz w:val="24"/>
        </w:rPr>
        <w:t>Amy Zegart is the Morris Arnold and Nona Jean Cox Senior Fellow at the Hoover Institution and professor, by courtesy, of political science at Stanford University. She is also a senior fellow at Stanford’s Institute for Human- Centered Artifcial Intelligence and at its Freeman Spogli Institute for International Studies. The author of fve books, she specializes in US intelligence, emerging technologies and national security, grand strategy, and global political risk management. She received her PhD in political science from Stanford University.</w:t>
      </w:r>
    </w:p>
    <w:p>
      <w:pPr>
        <w:pStyle w:val="DocBody"/>
      </w:pPr>
      <w:r>
        <w:rPr>
          <w:rFonts w:ascii="Times New Roman" w:hAnsi="Times New Roman" w:eastAsia="宋体"/>
          <w:sz w:val="24"/>
        </w:rPr>
        <w:t>Director and Editor in Chief Herbert S. Lin is senior research scholar at the Center for International Security and Cooperation and research fellow at the Hoover Institution, both at Stanford University. His research interests relate broadly to emerging technologies and national security. He is an elected fellow of the American Association for the Advancement of Science. He received his doctorate in physics from the Massachusetts Institute of Technology.</w:t>
      </w:r>
    </w:p>
    <w:p>
      <w:pPr>
        <w:pStyle w:val="DocBody"/>
      </w:pPr>
      <w:r>
        <w:rPr>
          <w:rFonts w:ascii="Times New Roman" w:hAnsi="Times New Roman" w:eastAsia="宋体"/>
          <w:sz w:val="24"/>
        </w:rPr>
        <w:t>Managing Editor Martin Giles is a policy fellow at the Hoover Institution and the executive director of Hoover’s Technology Policy Accelerator at Stanford University. He is a sea­ soned executive, with editing and publishing experi­ ence at The Economist and MIT Technology Review, where he focused on developments in Silicon Valley and on emerging technologies. Giles was also the frst editorial director of In-Q-Tel. He received his MBA from the University of Chicago Booth School of Business.</w:t>
      </w:r>
    </w:p>
    <w:p>
      <w:pPr>
        <w:pStyle w:val="DocBody"/>
      </w:pPr>
      <w:r>
        <w:rPr>
          <w:rFonts w:ascii="Times New Roman" w:hAnsi="Times New Roman" w:eastAsia="宋体"/>
          <w:sz w:val="24"/>
        </w:rPr>
        <w:t>Faculty Council Zhenan Bao is the K. K. Lee Professor in Chemical Engineering and professor, by courtesy, of chemistry and of materials science and engineering at Stanford University. She is a member of the National Academy of Sciences, the National Academy of Engineering, the American Academy of Arts and Sciences, and the National Academy of Inventors. Bao is known for her work on artifcial electronic skin and NeuroString, which are enabling a new generation of skin-like electron­ ics for regaining sense of touch for neuroprosthetics, human-friendly robots, human–machine interfaces, and seamless health-monitoring devices. She received her PhD in chemistry from the University of Chicago.</w:t>
      </w:r>
    </w:p>
    <w:p>
      <w:pPr>
        <w:pStyle w:val="DocBody"/>
      </w:pPr>
      <w:r>
        <w:rPr>
          <w:rFonts w:ascii="Times New Roman" w:hAnsi="Times New Roman" w:eastAsia="宋体"/>
          <w:sz w:val="24"/>
        </w:rPr>
        <w:t>Dan Boneh is a professor of cryptography and electri­ cal engineering at Stanford University, codirector of the Stanford Computer Security Lab, and a senior fellow at the Freeman Spogli Institute for International Studies.</w:t>
      </w:r>
    </w:p>
    <w:p>
      <w:pPr>
        <w:pStyle w:val="DocBody"/>
      </w:pPr>
      <w:r>
        <w:rPr>
          <w:rFonts w:ascii="Times New Roman" w:hAnsi="Times New Roman" w:eastAsia="宋体"/>
          <w:sz w:val="24"/>
        </w:rPr>
        <w:t>His research focuses on applied cryptography and computer security. He has authored over two hundred STANFORD EMERGING TECHNOLOGY REVIEW</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publications and is a member of the National Academy of Engineering. He received his PhD in computer sci­ ence from Princeton University.</w:t>
      </w:r>
    </w:p>
    <w:p>
      <w:pPr>
        <w:pStyle w:val="DocBody"/>
      </w:pPr>
      <w:r>
        <w:rPr>
          <w:rFonts w:ascii="Times New Roman" w:hAnsi="Times New Roman" w:eastAsia="宋体"/>
          <w:sz w:val="24"/>
        </w:rPr>
        <w:t>Simone D’Amico is an associate professor of aeronau­ tics and astronautics and, by courtesy, of geophysics at Stanford University, where he serves as the W. M. Keck Faculty Scholar of Engineering. He is the founding direc­ tor of Stanford’s Space Rendezvous Laboratory and its Center for AEroSpace Autonomy Research (CAESAR)</w:t>
      </w:r>
    </w:p>
    <w:p>
      <w:pPr>
        <w:pStyle w:val="DocBody"/>
      </w:pPr>
      <w:r>
        <w:rPr>
          <w:rFonts w:ascii="Times New Roman" w:hAnsi="Times New Roman" w:eastAsia="宋体"/>
          <w:sz w:val="24"/>
        </w:rPr>
        <w:t>and is a science fellow at the Hoover Institution. His research explores the intersection of advanced astro­ dynamics, spacecraft navigation and control, and machine learning to enable future distributed space systems. He currently leads four satellite swarm and formation-fying projects for NASA and the National Science Foundation. He received his PhD in aerospace engineering from Delft University of Technology.</w:t>
      </w:r>
    </w:p>
    <w:p>
      <w:pPr>
        <w:pStyle w:val="DocBody"/>
      </w:pPr>
      <w:r>
        <w:rPr>
          <w:rFonts w:ascii="Times New Roman" w:hAnsi="Times New Roman" w:eastAsia="宋体"/>
          <w:sz w:val="24"/>
        </w:rPr>
        <w:t>Drew Endy is the Martin Family University Faculty Fellow in Undergraduate Education (bioengineering);</w:t>
      </w:r>
    </w:p>
    <w:p>
      <w:pPr>
        <w:pStyle w:val="DocBody"/>
      </w:pPr>
      <w:r>
        <w:rPr>
          <w:rFonts w:ascii="Times New Roman" w:hAnsi="Times New Roman" w:eastAsia="宋体"/>
          <w:sz w:val="24"/>
        </w:rPr>
        <w:t>faculty codirector of degree programs for the Hasso Plattner Institute of Design (the d.school); core faculty at the Center for International Security and Cooperation;</w:t>
      </w:r>
    </w:p>
    <w:p>
      <w:pPr>
        <w:pStyle w:val="DocBody"/>
      </w:pPr>
      <w:r>
        <w:rPr>
          <w:rFonts w:ascii="Times New Roman" w:hAnsi="Times New Roman" w:eastAsia="宋体"/>
          <w:sz w:val="24"/>
        </w:rPr>
        <w:t>senior fellow, by courtesy, of the Freeman Spogli Institute for International Studies; and senior fellow, by courtesy, and science fellow at the Hoover Institution at Stanford University. He serves as president and director of the Biobricks Foundation and as director of the iGEM Foundation and the Biobuilder Educational Foundation. His research focuses on the foundations of synthetic biology along with broader societal aspects.</w:t>
      </w:r>
    </w:p>
    <w:p>
      <w:pPr>
        <w:pStyle w:val="DocBody"/>
      </w:pPr>
      <w:r>
        <w:rPr>
          <w:rFonts w:ascii="Times New Roman" w:hAnsi="Times New Roman" w:eastAsia="宋体"/>
          <w:sz w:val="24"/>
        </w:rPr>
        <w:t>He received his PhD in biotechnology and biochemical engineering from Dartmouth College.</w:t>
      </w:r>
    </w:p>
    <w:p>
      <w:pPr>
        <w:pStyle w:val="DocBody"/>
      </w:pPr>
      <w:r>
        <w:rPr>
          <w:rFonts w:ascii="Times New Roman" w:hAnsi="Times New Roman" w:eastAsia="宋体"/>
          <w:sz w:val="24"/>
        </w:rPr>
        <w:t>Mark A. Horowitz is the Fortinet Founders Chair of the Department of Electrical Engineering and the Yahoo!</w:t>
      </w:r>
    </w:p>
    <w:p>
      <w:pPr>
        <w:pStyle w:val="DocBody"/>
      </w:pPr>
      <w:r>
        <w:rPr>
          <w:rFonts w:ascii="Times New Roman" w:hAnsi="Times New Roman" w:eastAsia="宋体"/>
          <w:sz w:val="24"/>
        </w:rPr>
        <w:t>Founders Professor in the School of Engineering at Stanford University. His research has contributed to early RISC (reduced instruction set computer) microprocessors, multiprocessor designs, and high-speed interfaces, and he currently works to create new agile design meth­ odologies for analog and digital VLSI (very-large-scale integration) circuits. He received his PhD in electrical engineering from Stanford University.</w:t>
      </w:r>
    </w:p>
    <w:p>
      <w:pPr>
        <w:pStyle w:val="DocBody"/>
      </w:pPr>
      <w:r>
        <w:rPr>
          <w:rFonts w:ascii="Times New Roman" w:hAnsi="Times New Roman" w:eastAsia="宋体"/>
          <w:sz w:val="24"/>
        </w:rPr>
        <w:t>Steven E. Koonin is Edward Teller Senior Fellow at Stanford University’s Hoover Institution. Before join­ ing Stanford in 2024, he was a professor at New York University, with appointments in the Stern School of Business, the Tandon School of Engineering, and the Department of Physics. Koonin’s work focuses on cli­ mate science and energy technologies. He served as undersecretary for science at the US Department of Energy (2009–11) and prior to that was BP’s chief sci­ entist. He spent nearly thirty years at the California Institute of Technology as professor of theoretical phys­ ics and as provost. Koonin is a member of the National Academy of Sciences and the author of the book Unsettled, on climate science.</w:t>
      </w:r>
    </w:p>
    <w:p>
      <w:pPr>
        <w:pStyle w:val="DocBody"/>
      </w:pPr>
      <w:r>
        <w:rPr>
          <w:rFonts w:ascii="Times New Roman" w:hAnsi="Times New Roman" w:eastAsia="宋体"/>
          <w:sz w:val="24"/>
        </w:rPr>
        <w:t>Fei­Fei Li is the inaugural Sequoia Professor in the Computer Science Department at Stanford University and founding codirector of Stanford’s Institute for Human-Centered Artifcial Intelligence. Her current research focuses on cognitively inspired artifcial intel­ ligence (AI), machine learning, deep learning, com­ puter vision, robotic learning, and AI and healthcare.</w:t>
      </w:r>
    </w:p>
    <w:p>
      <w:pPr>
        <w:pStyle w:val="DocBody"/>
      </w:pPr>
      <w:r>
        <w:rPr>
          <w:rFonts w:ascii="Times New Roman" w:hAnsi="Times New Roman" w:eastAsia="宋体"/>
          <w:sz w:val="24"/>
        </w:rPr>
        <w:t>She received her PhD in electrical engineering from the California Institute of Technology and holds an honor­ ary doctorate from Harvey Mudd College.</w:t>
      </w:r>
    </w:p>
    <w:p>
      <w:pPr>
        <w:pStyle w:val="DocBody"/>
      </w:pPr>
      <w:r>
        <w:rPr>
          <w:rFonts w:ascii="Times New Roman" w:hAnsi="Times New Roman" w:eastAsia="宋体"/>
          <w:sz w:val="24"/>
        </w:rPr>
        <w:t>Allison Okamura is the Richard M. Weiland Professor of mechanical engineering in the School of Engineering and professor, by courtesy, of computer science at Stanford University. She is an executive committee member of the Stanford Robotics Center; affliated faculty at Stanford Bio-X and Stanford’s Institute for Human-Centered Artifcial Intelligence; a senior fellow, by courtesy, and science fellow at the Hoover Institution;</w:t>
      </w:r>
    </w:p>
    <w:p>
      <w:pPr>
        <w:pStyle w:val="DocBody"/>
      </w:pPr>
      <w:r>
        <w:rPr>
          <w:rFonts w:ascii="Times New Roman" w:hAnsi="Times New Roman" w:eastAsia="宋体"/>
          <w:sz w:val="24"/>
        </w:rPr>
        <w:t>LEADERSHIP</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STANFORD EMERGING TECHNOLOGY REVIEW</w:t>
      </w:r>
    </w:p>
    <w:p>
      <w:pPr>
        <w:pStyle w:val="DocBody"/>
      </w:pPr>
      <w:r>
        <w:rPr>
          <w:rFonts w:ascii="Times New Roman" w:hAnsi="Times New Roman" w:eastAsia="宋体"/>
          <w:sz w:val="24"/>
        </w:rPr>
        <w:t>and a fellow of the Institute of Electrical and Electronics Engineers. Her research interests include haptics, tele­ operation, mixed reality, and medical and soft robotics.</w:t>
      </w:r>
    </w:p>
    <w:p>
      <w:pPr>
        <w:pStyle w:val="DocBody"/>
      </w:pPr>
      <w:r>
        <w:rPr>
          <w:rFonts w:ascii="Times New Roman" w:hAnsi="Times New Roman" w:eastAsia="宋体"/>
          <w:sz w:val="24"/>
        </w:rPr>
        <w:t>She received her PhD in mechanical engineering from Stanford University.</w:t>
      </w:r>
    </w:p>
    <w:p>
      <w:pPr>
        <w:pStyle w:val="DocBody"/>
      </w:pPr>
      <w:r>
        <w:rPr>
          <w:rFonts w:ascii="Times New Roman" w:hAnsi="Times New Roman" w:eastAsia="宋体"/>
          <w:sz w:val="24"/>
        </w:rPr>
        <w:t>Kang Shen is the Frank Lee and Carol Hall Professor of biology and professor of pathology at Stanford University, where he serves as the Vincent V. C. Woo Director of the Wu Tsai Neurosciences Institute and as affliated faculty at Stanford Bio-X. His research focuses on neuronal cell biology and developmental neurosci­ ence. He has authored or coauthored more than one hundred journal articles. He received his PhD in cell biology from Duke University.</w:t>
      </w:r>
    </w:p>
    <w:p>
      <w:pPr>
        <w:pStyle w:val="DocBody"/>
      </w:pPr>
      <w:r>
        <w:rPr>
          <w:rFonts w:ascii="Times New Roman" w:hAnsi="Times New Roman" w:eastAsia="宋体"/>
          <w:sz w:val="24"/>
        </w:rPr>
        <w:t>Jon Simon is the Joan Reinhart Professor and profes­ sor of applied physics in the Department of Physics at Stanford University. His research lies at the intersection of atomic, molecular, and optical physics, where he investigates quantum and classical matter composed of light. Simon’s work explores how engineered photonic systems can emulate and reveal the complex behav­ iors of condensed-matter systems and how to leverage this unique control of photons to develop new hard­ ware to control and read out quantum computers. He received his BS in physics from the California Institute of Technology and his PhD from Harvard University.</w:t>
      </w:r>
    </w:p>
    <w:p>
      <w:pPr>
        <w:pStyle w:val="DocBody"/>
      </w:pPr>
      <w:r>
        <w:rPr>
          <w:rFonts w:ascii="Times New Roman" w:hAnsi="Times New Roman" w:eastAsia="宋体"/>
          <w:sz w:val="24"/>
        </w:rPr>
        <w:t>Advisory Board Steven Chu is the William R. Kenan Jr. Professor of physics and professor of molecular and cellular physiol­ ogy and of energy science and engineering at Stanford University. He previously served as US secretary of energy (2009–13) and as director of the Lawrence Berkeley National Laboratory. He received his PhD in physics from the University of California–Berkeley.</w:t>
      </w:r>
    </w:p>
    <w:p>
      <w:pPr>
        <w:pStyle w:val="DocBody"/>
      </w:pPr>
      <w:r>
        <w:rPr>
          <w:rFonts w:ascii="Times New Roman" w:hAnsi="Times New Roman" w:eastAsia="宋体"/>
          <w:sz w:val="24"/>
        </w:rPr>
        <w:t>Robert Gates served as the twenty-second secretary of defense (2006–11) and as the director of central intel­ ligence (1991–93) following nearly twenty-seven years in the CIA and on the National Security Council. He is the current chancellor of William &amp; Mary and pre­ viously served as president of Texas A&amp;M University.</w:t>
      </w:r>
    </w:p>
    <w:p>
      <w:pPr>
        <w:pStyle w:val="DocBody"/>
      </w:pPr>
      <w:r>
        <w:rPr>
          <w:rFonts w:ascii="Times New Roman" w:hAnsi="Times New Roman" w:eastAsia="宋体"/>
          <w:sz w:val="24"/>
        </w:rPr>
        <w:t>He received his PhD in Russian and Soviet history from Georgetown University.</w:t>
      </w:r>
    </w:p>
    <w:p>
      <w:pPr>
        <w:pStyle w:val="DocBody"/>
      </w:pPr>
      <w:r>
        <w:rPr>
          <w:rFonts w:ascii="Times New Roman" w:hAnsi="Times New Roman" w:eastAsia="宋体"/>
          <w:sz w:val="24"/>
        </w:rPr>
        <w:t>Susan M. (Sue) Gordon is the former principal deputy director of national intelligence at the Offce of the Director of National Intelligence (2017–19). She was formerly deputy director of the National Geospatial- Intelligence Agency (2015–17). She served twenty- seven years in the CIA, including as director of the CIA’s Information Operations Center, and is now a leading voice on intelligence, cyber, space, and disruptive tech­ nologies as an independent director, advisor, and uni­ versity fellow. She continues to shape national security as a member of the Council on Foreign Relations and the Defense Innovation Board.</w:t>
      </w:r>
    </w:p>
    <w:p>
      <w:pPr>
        <w:pStyle w:val="DocBody"/>
      </w:pPr>
      <w:r>
        <w:rPr>
          <w:rFonts w:ascii="Times New Roman" w:hAnsi="Times New Roman" w:eastAsia="宋体"/>
          <w:sz w:val="24"/>
        </w:rPr>
        <w:t>John L. Hennessy is a professor of electrical engineer­ ing and computer science at Stanford University and the chairman of Alphabet Inc. He previously served as the tenth president of Stanford University (2000–16)</w:t>
      </w:r>
    </w:p>
    <w:p>
      <w:pPr>
        <w:pStyle w:val="DocBody"/>
      </w:pPr>
      <w:r>
        <w:rPr>
          <w:rFonts w:ascii="Times New Roman" w:hAnsi="Times New Roman" w:eastAsia="宋体"/>
          <w:sz w:val="24"/>
        </w:rPr>
        <w:t>and is the founder and director of the Knight-Hennessy Scholars Program, the world’s largest fully endowed, university-wide graduate fellowship. He received his PhD in computer science from the State University of New York at Stony Brook.</w:t>
      </w:r>
    </w:p>
    <w:p>
      <w:pPr>
        <w:pStyle w:val="DocBody"/>
      </w:pPr>
      <w:r>
        <w:rPr>
          <w:rFonts w:ascii="Times New Roman" w:hAnsi="Times New Roman" w:eastAsia="宋体"/>
          <w:sz w:val="24"/>
        </w:rPr>
        <w:t>Norbert Holtkamp is a science fellow at the Hoover Institution and professor of particle physics and astro­ physics and of photon science at the SLAC National Accelerator Laboratory. He previously served as SLAC’s deputy laboratory director (2014–22). He received his PhD in physics from the Technical University of Darmstadt in Germany.</w:t>
      </w:r>
    </w:p>
    <w:p>
      <w:pPr>
        <w:pStyle w:val="DocBody"/>
      </w:pPr>
      <w:r>
        <w:rPr>
          <w:rFonts w:ascii="Times New Roman" w:hAnsi="Times New Roman" w:eastAsia="宋体"/>
          <w:sz w:val="24"/>
        </w:rPr>
        <w:t>Jerry McNerney is the former US representative for California’s ninth congressional district (2007–23), where he served on the Committee on Energy and Commerce; the Veterans’ Affairs Committee; and the Space, Science, and Technology Committee. He was elected to the California state senate in 2024 and is a senior policy advisor at Pillsbury Winthrop Shaw Pittman LLP. He received his PhD in mathematics from the University of New Mexico–Albuquerque.</w:t>
      </w:r>
    </w:p>
    <w:p>
      <w:pPr>
        <w:pStyle w:val="DocBody"/>
      </w:pPr>
      <w:r>
        <w:rPr>
          <w:rFonts w:ascii="Times New Roman" w:hAnsi="Times New Roman" w:eastAsia="宋体"/>
          <w:sz w:val="24"/>
        </w:rPr>
        <w:t>Mary Meeker is a cofounder and general partner of BOND and serves on the boards of Block/Square, Genies, and Plaid. Her investments at BOND (and, previously, Kleiner Perkins) include Spotify, Waze, DocuSign, Ring, Checkr, Ironclad, and On Running.</w:t>
      </w:r>
    </w:p>
    <w:p>
      <w:pPr>
        <w:pStyle w:val="DocBody"/>
      </w:pPr>
      <w:r>
        <w:rPr>
          <w:rFonts w:ascii="Times New Roman" w:hAnsi="Times New Roman" w:eastAsia="宋体"/>
          <w:sz w:val="24"/>
        </w:rPr>
        <w:t>She was previously a managing director at Morgan</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Stanley focused on emerging technology companies.</w:t>
      </w:r>
    </w:p>
    <w:p>
      <w:pPr>
        <w:pStyle w:val="DocBody"/>
      </w:pPr>
      <w:r>
        <w:rPr>
          <w:rFonts w:ascii="Times New Roman" w:hAnsi="Times New Roman" w:eastAsia="宋体"/>
          <w:sz w:val="24"/>
        </w:rPr>
        <w:t>She is also the coauthor of USA Inc.: A Basic Summary of America’s Financial Statements and publisher of the widely distributed Internet Trends Report.</w:t>
      </w:r>
    </w:p>
    <w:p>
      <w:pPr>
        <w:pStyle w:val="DocBody"/>
      </w:pPr>
      <w:r>
        <w:rPr>
          <w:rFonts w:ascii="Times New Roman" w:hAnsi="Times New Roman" w:eastAsia="宋体"/>
          <w:sz w:val="24"/>
        </w:rPr>
        <w:t>Lloyd B. Minor is the Carl and Elizabeth Naumann Dean of the School of Medicine and vice president for medical affairs at Stanford University. He is a professor of otolaryngology–head and neck surgery and profes­ sor, by courtesy, of bioengineering and neurobiology at Stanford University. Prior to joining Stanford, he was provost and senior vice president for academic affairs at Johns Hopkins University. He is an elected member of the National Academy of Medicine.</w:t>
      </w:r>
    </w:p>
    <w:p>
      <w:pPr>
        <w:pStyle w:val="DocBody"/>
      </w:pPr>
      <w:r>
        <w:rPr>
          <w:rFonts w:ascii="Times New Roman" w:hAnsi="Times New Roman" w:eastAsia="宋体"/>
          <w:sz w:val="24"/>
        </w:rPr>
        <w:t>Peter L. Scher is the vice chairman of JPMorgan Chase &amp; Co. He previously served in senior government posi­ tions, including as US special trade ambassador under President Clinton and as staff director of the US Senate Committee on Environment and Public Works. Prior to joining JPMorgan Chase in 2008, he was the managing partner of the Washington, DC, offce of the law frm Mayer Brown LLP.</w:t>
      </w:r>
    </w:p>
    <w:p>
      <w:pPr>
        <w:pStyle w:val="DocBody"/>
      </w:pPr>
      <w:r>
        <w:rPr>
          <w:rFonts w:ascii="Times New Roman" w:hAnsi="Times New Roman" w:eastAsia="宋体"/>
          <w:sz w:val="24"/>
        </w:rPr>
        <w:t>Eric Schmidt is cofounder, with his wife, Wendy, of Schmidt Sciences, a nonproft organization working to advance science and technology to address global challenges. He currently chairs the Special Competitive Studies Project, a nonproft initiative focused on strength­ ening America’s long-term artifcial intelligence and technological competitiveness in national security, the economy, and society. Previously, he was CEO and chair­ man of Google (2001–11) and executive chairman and technical advisor to Alphabet Inc. (2015–20). He received his PhD in electrical engineering and computer science from the University of California–Berkeley.</w:t>
      </w:r>
    </w:p>
    <w:p>
      <w:pPr>
        <w:pStyle w:val="DocBody"/>
      </w:pPr>
      <w:r>
        <w:rPr>
          <w:rFonts w:ascii="Times New Roman" w:hAnsi="Times New Roman" w:eastAsia="宋体"/>
          <w:sz w:val="24"/>
        </w:rPr>
        <w:t>Thomas M. Siebel is the chairman and CEO of C3 AI and was the founder and CEO of Siebel Systems. He is a member of the colleges of engineering boards at the University of Illinois Urbana–Champaign and the University of California–Berkeley and is an elected member of the American Academy of Arts and Sciences.</w:t>
      </w:r>
    </w:p>
    <w:p>
      <w:pPr>
        <w:pStyle w:val="DocBody"/>
      </w:pPr>
      <w:r>
        <w:rPr>
          <w:rFonts w:ascii="Times New Roman" w:hAnsi="Times New Roman" w:eastAsia="宋体"/>
          <w:sz w:val="24"/>
        </w:rPr>
        <w:t>Senior Research Staff Emerson V. Johnston is a senior research assistant at the Hoover Institution’s Technology Policy Accelerator at Stanford University. She is on leave from Stanford’s master’s program in history, where she specializes in science, technology, the environment, and medicine, and is a recent alumnus of Stanford’s master’s program in international policy, where she specialized in cyber­ policy and security.</w:t>
      </w:r>
    </w:p>
    <w:p>
      <w:pPr>
        <w:pStyle w:val="DocBody"/>
      </w:pPr>
      <w:r>
        <w:rPr>
          <w:rFonts w:ascii="Times New Roman" w:hAnsi="Times New Roman" w:eastAsia="宋体"/>
          <w:sz w:val="24"/>
        </w:rPr>
        <w:t>LEADERSHIP</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ACKNOWLEDGMENTS The members of the Stanford Emerging Technology Review (SETR) Faculty Council gave seminars on leading-edge work going on in their respective felds, and many of their faculty colleagues offered expert commentary and insights at these seminars.</w:t>
      </w:r>
    </w:p>
    <w:p>
      <w:pPr>
        <w:pStyle w:val="DocBody"/>
      </w:pPr>
      <w:r>
        <w:rPr>
          <w:rFonts w:ascii="Times New Roman" w:hAnsi="Times New Roman" w:eastAsia="宋体"/>
          <w:sz w:val="24"/>
        </w:rPr>
        <w:t>SETR faculty and fellows both contributed much effort in crafting entire chapters based on their deep understanding of their respective domains, includ­ ing original ideas drawn from their own research.</w:t>
      </w:r>
    </w:p>
    <w:p>
      <w:pPr>
        <w:pStyle w:val="DocBody"/>
      </w:pPr>
      <w:r>
        <w:rPr>
          <w:rFonts w:ascii="Times New Roman" w:hAnsi="Times New Roman" w:eastAsia="宋体"/>
          <w:sz w:val="24"/>
        </w:rPr>
        <w:t>The SETR Advisory Board gave invaluable advice on how to interface with policymakers and the policy process. SETR staff and undergraduate research assistants did heroic work fact-checking and tracking down references, among many valuable tasks they performed. The Hoover Press did a wonderful job turning the manuscript into a fnal report.</w:t>
      </w:r>
    </w:p>
    <w:p>
      <w:pPr>
        <w:pStyle w:val="DocBody"/>
      </w:pPr>
      <w:r>
        <w:rPr>
          <w:rFonts w:ascii="Times New Roman" w:hAnsi="Times New Roman" w:eastAsia="宋体"/>
          <w:sz w:val="24"/>
        </w:rPr>
        <w:t>For all of this, we are grateful.</w:t>
      </w:r>
    </w:p>
    <w:p>
      <w:pPr>
        <w:pStyle w:val="DocBody"/>
      </w:pPr>
      <w:r>
        <w:rPr>
          <w:rFonts w:ascii="Times New Roman" w:hAnsi="Times New Roman" w:eastAsia="宋体"/>
          <w:sz w:val="24"/>
        </w:rPr>
        <w:t>Condoleezza Rice, Co­chair Jennifer Widom, Co­chair Amy Zegart, Co­chair Herbert S. Lin, Director and Editor in Chief Martin Giles, Managing Editor STANFORD EMERGING TECHNOLOGY REVIEW</w:t>
      </w:r>
    </w:p>
    <w:p>
      <w:pPr>
        <w:spacing w:line="240" w:lineRule="auto"/>
        <w:jc w:val="center"/>
      </w:pPr>
      <w:r>
        <w:rPr>
          <w:rFonts w:ascii="Times New Roman" w:hAnsi="Times New Roman" w:eastAsia="宋体"/>
          <w:color w:val="595959"/>
          <w:sz w:val="21"/>
        </w:rPr>
        <w:t>— · —</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Copyright © 2026 by the Board of Trustees of the Leland Stanford Junior University This publication reflects updates through December 2025 32 31 30 29 28 27 26        7 6 5 4 3 2 Designer: Howie Severson Typesetter: Maureen Forys Image credits: Linda A. Cicero/Stanford News and iStock.com/PTC-KICKCAT92 (cover); iStock.com/mofuku (p. 22);</w:t>
      </w:r>
    </w:p>
    <w:p>
      <w:pPr>
        <w:pStyle w:val="DocBody"/>
      </w:pPr>
      <w:r>
        <w:rPr>
          <w:rFonts w:ascii="Times New Roman" w:hAnsi="Times New Roman" w:eastAsia="宋体"/>
          <w:sz w:val="24"/>
        </w:rPr>
        <w:t>iStock.com/wacomka (p. 38); iStock.com/FeelPic (p. 56); iStock.com/JONGHO SHIN (p. 70); iStock.com/Chartchai San-saneeyashewin (p. 88); iStock.com/ArtemisDiana (p. 102); iStock.com/PhonlamaiPhoto (p. 116); iStock.com /imaginima (p. 142); iStock.com/Floriana (p. 156); iStock.com/dima_zel (p. 170); Tim Griffith (p. 225)</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ms.hoover.org/research/quantum-technology-particle-scale-prog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Technology: Particle-scale Progress</dc:title>
  <dc:subject/>
  <dc:creator>briefing-article-kb</dc:creator>
  <cp:keywords/>
  <dc:description>https://cms.hoover.org/research/quantum-technology-particle-scale-progress</dc:description>
  <cp:lastModifiedBy/>
  <cp:revision>1</cp:revision>
  <dcterms:created xsi:type="dcterms:W3CDTF">2013-12-23T23:15:00Z</dcterms:created>
  <dcterms:modified xsi:type="dcterms:W3CDTF">2013-12-23T23:15:00Z</dcterms:modified>
  <cp:category/>
</cp:coreProperties>
</file>