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CRS（CRS - Congressional Research Service）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July 2026 Water System Cyber Incidents: Considerations for Congress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https://www.EveryCRSReport.com/reports/IF13298.html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B004-006-Crs - congressional research service -july-2026-water-system-cyber-incidents-considera-202608.md</w:t>
            </w:r>
          </w:p>
        </w:tc>
      </w:tr>
    </w:tbl>
    <w:p/>
    <w:p>
      <w:pPr>
        <w:pStyle w:val="DocTitle"/>
      </w:pPr>
      <w:r>
        <w:t>July 2026 Water System Cyber Incidents: Considerations for Congress</w:t>
      </w:r>
    </w:p>
    <w:p>
      <w:pPr>
        <w:pStyle w:val="DocBody"/>
      </w:pPr>
      <w:r>
        <w:rPr>
          <w:rFonts w:ascii="Times New Roman" w:hAnsi="Times New Roman" w:eastAsia="宋体"/>
          <w:sz w:val="24"/>
        </w:rPr>
        <w:t xml:space="preserve">August 27, 2026 </w:t>
      </w:r>
      <w:r>
        <w:rPr>
          <w:rFonts w:ascii="Consolas" w:hAnsi="Consolas" w:eastAsia="宋体"/>
          <w:color w:val="595959"/>
          <w:sz w:val="22"/>
        </w:rPr>
        <w:t>IF13298</w:t>
      </w:r>
      <w:r>
        <w:rPr>
          <w:rFonts w:ascii="Times New Roman" w:hAnsi="Times New Roman" w:eastAsia="宋体"/>
          <w:sz w:val="24"/>
        </w:rPr>
        <w:t xml:space="preserve"> July 2026 Water System Cyber Incidents: Considerations for Congress August 27, 2026 (IF13298)</w:t>
      </w:r>
    </w:p>
    <w:p>
      <w:pPr>
        <w:pStyle w:val="DocBody"/>
      </w:pPr>
      <w:hyperlink r:id="rId12">
        <w:r>
          <w:rPr>
            <w:rFonts w:ascii="Times New Roman" w:hAnsi="Times New Roman" w:eastAsia="宋体"/>
            <w:color w:val="0563C1"/>
            <w:sz w:val="24"/>
            <w:u w:val="single"/>
          </w:rPr>
          <w:t>Reports of cyberattacks</w:t>
        </w:r>
      </w:hyperlink>
      <w:r>
        <w:rPr>
          <w:rFonts w:ascii="Times New Roman" w:hAnsi="Times New Roman" w:eastAsia="宋体"/>
          <w:sz w:val="24"/>
        </w:rPr>
        <w:t xml:space="preserve"> on water systems in at least seven states in July 2026 have increased attention on the security of the nation's municipal water infrastructure. These and other cyber incidents have raised questions about the effectiveness of existing approaches to address water sector cybersecurity. Municipal water systems and wastewater systems are paired together as a type of critical infrastructure (CI) covered by broader efforts to improve CI security. </w:t>
      </w:r>
      <w:hyperlink r:id="rId13">
        <w:r>
          <w:rPr>
            <w:rFonts w:ascii="Times New Roman" w:hAnsi="Times New Roman" w:eastAsia="宋体"/>
            <w:color w:val="0563C1"/>
            <w:sz w:val="24"/>
            <w:u w:val="single"/>
          </w:rPr>
          <w:t>Executive Order 13636</w:t>
        </w:r>
      </w:hyperlink>
      <w:r>
        <w:rPr>
          <w:rFonts w:ascii="Times New Roman" w:hAnsi="Times New Roman" w:eastAsia="宋体"/>
          <w:sz w:val="24"/>
        </w:rPr>
        <w:t xml:space="preserve"> designated the U.S. Environmental Protection Agency (EPA) as the sector risk management agency (SRMA) for water sector cybersecurity.</w:t>
      </w:r>
    </w:p>
    <w:p>
      <w:pPr>
        <w:pStyle w:val="DocBody"/>
      </w:pPr>
      <w:r>
        <w:rPr>
          <w:rFonts w:ascii="Times New Roman" w:hAnsi="Times New Roman" w:eastAsia="宋体"/>
          <w:sz w:val="24"/>
        </w:rPr>
        <w:t>Federal efforts to address the cybersecurity of the water sector have primarily focused on drinking water systems rather than wastewater systems. Authorized through the Safe Drinking Water Act (</w:t>
      </w:r>
      <w:hyperlink r:id="rId14">
        <w:r>
          <w:rPr>
            <w:rFonts w:ascii="Times New Roman" w:hAnsi="Times New Roman" w:eastAsia="宋体"/>
            <w:color w:val="0563C1"/>
            <w:sz w:val="24"/>
            <w:u w:val="single"/>
          </w:rPr>
          <w:t>SDWA</w:t>
        </w:r>
      </w:hyperlink>
      <w:r>
        <w:rPr>
          <w:rFonts w:ascii="Times New Roman" w:hAnsi="Times New Roman" w:eastAsia="宋体"/>
          <w:sz w:val="24"/>
        </w:rPr>
        <w:t>), these federal efforts have generally involved specific vulnerability assessment requirements for larger drinking water systems and technical and financial assistance for smaller systems. This In Focus discusses EPA efforts under SDWA to address cybersecurity. It does not include information on Cybersecurity and Infrastructure Security Agency (CISA) authorities or EPA's SRMA role.</w:t>
      </w:r>
    </w:p>
    <w:p>
      <w:pPr>
        <w:pStyle w:val="DocH1"/>
      </w:pPr>
      <w:r>
        <w:rPr>
          <w:rFonts w:ascii="Times New Roman" w:hAnsi="Times New Roman" w:eastAsia="宋体"/>
          <w:sz w:val="24"/>
        </w:rPr>
        <w:t>Regulated Water Systems</w:t>
      </w:r>
    </w:p>
    <w:p>
      <w:pPr>
        <w:pStyle w:val="DocBody"/>
      </w:pPr>
      <w:r>
        <w:rPr>
          <w:rFonts w:ascii="Times New Roman" w:hAnsi="Times New Roman" w:eastAsia="宋体"/>
          <w:sz w:val="24"/>
        </w:rPr>
        <w:t xml:space="preserve">SDWA applies to the nearly 144,000 privately and publicly owned </w:t>
      </w:r>
      <w:hyperlink r:id="rId15">
        <w:r>
          <w:rPr>
            <w:rFonts w:ascii="Times New Roman" w:hAnsi="Times New Roman" w:eastAsia="宋体"/>
            <w:i/>
            <w:color w:val="0563C1"/>
            <w:sz w:val="24"/>
            <w:u w:val="single"/>
          </w:rPr>
          <w:t>public water systems</w:t>
        </w:r>
      </w:hyperlink>
      <w:r>
        <w:rPr>
          <w:rFonts w:ascii="Times New Roman" w:hAnsi="Times New Roman" w:eastAsia="宋体"/>
          <w:sz w:val="24"/>
        </w:rPr>
        <w:t xml:space="preserve">, which provide piped water to at least 15 service connections or that regularly serve at least 25 people. Nearly 49,500 of these regulated public water systems (35%) are </w:t>
      </w:r>
      <w:hyperlink r:id="rId16">
        <w:r>
          <w:rPr>
            <w:rFonts w:ascii="Times New Roman" w:hAnsi="Times New Roman" w:eastAsia="宋体"/>
            <w:i/>
            <w:color w:val="0563C1"/>
            <w:sz w:val="24"/>
            <w:u w:val="single"/>
          </w:rPr>
          <w:t>community water systems</w:t>
        </w:r>
      </w:hyperlink>
      <w:r>
        <w:rPr>
          <w:rFonts w:ascii="Times New Roman" w:hAnsi="Times New Roman" w:eastAsia="宋体"/>
          <w:sz w:val="24"/>
        </w:rPr>
        <w:t>, which serve the same residences year-round. These systems provide water to more than 324 million people. EPA defines 81% of community water systems as "small," serving 3,300 or fewer individuals. These systems provide water to 7% of the total population served by community water systems. Less than 10% of community water systems serve populations of 10,000 or more, but these larger systems provide water to 84% of community water system customers.</w:t>
      </w:r>
    </w:p>
    <w:p>
      <w:pPr>
        <w:pStyle w:val="DocH1"/>
      </w:pPr>
      <w:r>
        <w:rPr>
          <w:rFonts w:ascii="Times New Roman" w:hAnsi="Times New Roman" w:eastAsia="宋体"/>
          <w:sz w:val="24"/>
        </w:rPr>
        <w:t>SDWA Assessments and Response Plans</w:t>
      </w:r>
    </w:p>
    <w:p>
      <w:pPr>
        <w:pStyle w:val="DocBody"/>
      </w:pPr>
      <w:r>
        <w:rPr>
          <w:rFonts w:ascii="Times New Roman" w:hAnsi="Times New Roman" w:eastAsia="宋体"/>
          <w:sz w:val="24"/>
        </w:rPr>
        <w:t xml:space="preserve">In 2002, Congress amended SDWA to require community water systems serving more than 3,300 individuals to assess risks that could disrupt the provision of a safe and reliable water supply and prepare plans to address such risks. In 2018, the America's Water Infrastructure Act (AWIA; P.L. 115-270) revised </w:t>
      </w:r>
      <w:hyperlink r:id="rId17">
        <w:r>
          <w:rPr>
            <w:rFonts w:ascii="Times New Roman" w:hAnsi="Times New Roman" w:eastAsia="宋体"/>
            <w:color w:val="0563C1"/>
            <w:sz w:val="24"/>
            <w:u w:val="single"/>
          </w:rPr>
          <w:t>SDWA Section 1433</w:t>
        </w:r>
      </w:hyperlink>
      <w:r>
        <w:rPr>
          <w:rFonts w:ascii="Times New Roman" w:hAnsi="Times New Roman" w:eastAsia="宋体"/>
          <w:sz w:val="24"/>
        </w:rPr>
        <w:t xml:space="preserve"> to require such systems to conduct risk-and-resilience assessments and to prepare emergency response plans. These water systems are required to assess their vulnerabilities to malevolent acts (and natural hazards). In their assessments, systems are required to evaluate the resilience of their infrastructure, including "electronic, computer, or other automated systems (including the security of such systems)," as well as their financial capacity to respond to these risks. Based on their assessments, community water systems must develop emergency response plans that address the risk-and-resilience issues their systems may face. Community water systems must </w:t>
      </w:r>
      <w:hyperlink r:id="rId18">
        <w:r>
          <w:rPr>
            <w:rFonts w:ascii="Times New Roman" w:hAnsi="Times New Roman" w:eastAsia="宋体"/>
            <w:color w:val="0563C1"/>
            <w:sz w:val="24"/>
            <w:u w:val="single"/>
          </w:rPr>
          <w:t>self-certify</w:t>
        </w:r>
      </w:hyperlink>
      <w:r>
        <w:rPr>
          <w:rFonts w:ascii="Times New Roman" w:hAnsi="Times New Roman" w:eastAsia="宋体"/>
          <w:sz w:val="24"/>
        </w:rPr>
        <w:t xml:space="preserve"> their assessments and submit the certifications to EPA by deadlines determined by water system size. Every five years, SDWA requires water systems to review, and, if needed, revise their assessments, and resubmit their self-certifications to EPA. Risk-and-resilience assessments and emergency response plans are voluntary for small water systems.</w:t>
      </w:r>
    </w:p>
    <w:p>
      <w:pPr>
        <w:pStyle w:val="DocH1"/>
      </w:pPr>
      <w:r>
        <w:rPr>
          <w:rFonts w:ascii="Times New Roman" w:hAnsi="Times New Roman" w:eastAsia="宋体"/>
          <w:sz w:val="24"/>
        </w:rPr>
        <w:t>SDWA Cybersecurity Assistance Programs</w:t>
      </w:r>
    </w:p>
    <w:p>
      <w:pPr>
        <w:pStyle w:val="DocBody"/>
      </w:pPr>
      <w:r>
        <w:rPr>
          <w:rFonts w:ascii="Times New Roman" w:hAnsi="Times New Roman" w:eastAsia="宋体"/>
          <w:sz w:val="24"/>
        </w:rPr>
        <w:t xml:space="preserve">AWIA also added </w:t>
      </w:r>
      <w:hyperlink r:id="rId19">
        <w:r>
          <w:rPr>
            <w:rFonts w:ascii="Times New Roman" w:hAnsi="Times New Roman" w:eastAsia="宋体"/>
            <w:color w:val="0563C1"/>
            <w:sz w:val="24"/>
            <w:u w:val="single"/>
          </w:rPr>
          <w:t>SDWA Section 1433(g)</w:t>
        </w:r>
      </w:hyperlink>
      <w:r>
        <w:rPr>
          <w:rFonts w:ascii="Times New Roman" w:hAnsi="Times New Roman" w:eastAsia="宋体"/>
          <w:sz w:val="24"/>
        </w:rPr>
        <w:t xml:space="preserve">, which authorizes technical assistance (TA) for community water systems of all sizes, and supports plans or projects to increase resiliency for small community water systems. In 2021, the Infrastructure Investment and Jobs Act (IIJA; P.L. 117-58) added </w:t>
      </w:r>
      <w:hyperlink r:id="rId20">
        <w:r>
          <w:rPr>
            <w:rFonts w:ascii="Times New Roman" w:hAnsi="Times New Roman" w:eastAsia="宋体"/>
            <w:color w:val="0563C1"/>
            <w:sz w:val="24"/>
            <w:u w:val="single"/>
          </w:rPr>
          <w:t>SDWA Section 1459F</w:t>
        </w:r>
      </w:hyperlink>
      <w:r>
        <w:rPr>
          <w:rFonts w:ascii="Times New Roman" w:hAnsi="Times New Roman" w:eastAsia="宋体"/>
          <w:sz w:val="24"/>
        </w:rPr>
        <w:t xml:space="preserve">, which directs EPA to establish a grant program for water systems serving 10,000 or more individuals to improve resilience to natural hazards and to reduce cybersecurity vulnerabilities. IIJA also reauthorized appropriations for </w:t>
      </w:r>
      <w:hyperlink r:id="rId21">
        <w:r>
          <w:rPr>
            <w:rFonts w:ascii="Times New Roman" w:hAnsi="Times New Roman" w:eastAsia="宋体"/>
            <w:color w:val="0563C1"/>
            <w:sz w:val="24"/>
            <w:u w:val="single"/>
          </w:rPr>
          <w:t>SDWA Section 1442(b)</w:t>
        </w:r>
      </w:hyperlink>
      <w:r>
        <w:rPr>
          <w:rFonts w:ascii="Times New Roman" w:hAnsi="Times New Roman" w:eastAsia="宋体"/>
          <w:sz w:val="24"/>
        </w:rPr>
        <w:t xml:space="preserve">, which authorizes EPA to provide TA and make grants to states and public water systems to assist in responding to emergency situations. IIJA also amended </w:t>
      </w:r>
      <w:hyperlink r:id="rId22">
        <w:r>
          <w:rPr>
            <w:rFonts w:ascii="Times New Roman" w:hAnsi="Times New Roman" w:eastAsia="宋体"/>
            <w:color w:val="0563C1"/>
            <w:sz w:val="24"/>
            <w:u w:val="single"/>
          </w:rPr>
          <w:t>SDWA Section 1442(b)</w:t>
        </w:r>
      </w:hyperlink>
      <w:r>
        <w:rPr>
          <w:rFonts w:ascii="Times New Roman" w:hAnsi="Times New Roman" w:eastAsia="宋体"/>
          <w:sz w:val="24"/>
        </w:rPr>
        <w:t xml:space="preserve"> to include cybersecurity events as an emergency situation. IIJA added </w:t>
      </w:r>
      <w:hyperlink r:id="rId23">
        <w:r>
          <w:rPr>
            <w:rFonts w:ascii="Times New Roman" w:hAnsi="Times New Roman" w:eastAsia="宋体"/>
            <w:color w:val="0563C1"/>
            <w:sz w:val="24"/>
            <w:u w:val="single"/>
          </w:rPr>
          <w:t>SDWA Section 1459G</w:t>
        </w:r>
      </w:hyperlink>
      <w:r>
        <w:rPr>
          <w:rFonts w:ascii="Times New Roman" w:hAnsi="Times New Roman" w:eastAsia="宋体"/>
          <w:sz w:val="24"/>
        </w:rPr>
        <w:t xml:space="preserve">, which authorizes a grant program for advanced technologies, including those that address cybersecurity. It also added </w:t>
      </w:r>
      <w:hyperlink r:id="rId24">
        <w:r>
          <w:rPr>
            <w:rFonts w:ascii="Times New Roman" w:hAnsi="Times New Roman" w:eastAsia="宋体"/>
            <w:color w:val="0563C1"/>
            <w:sz w:val="24"/>
            <w:u w:val="single"/>
          </w:rPr>
          <w:t>SDWA Section 1420A</w:t>
        </w:r>
      </w:hyperlink>
      <w:r>
        <w:rPr>
          <w:rFonts w:ascii="Times New Roman" w:hAnsi="Times New Roman" w:eastAsia="宋体"/>
          <w:sz w:val="24"/>
        </w:rPr>
        <w:t xml:space="preserve">, which requires EPA, with CISA, to develop a </w:t>
      </w:r>
      <w:hyperlink r:id="rId25">
        <w:r>
          <w:rPr>
            <w:rFonts w:ascii="Times New Roman" w:hAnsi="Times New Roman" w:eastAsia="宋体"/>
            <w:color w:val="0563C1"/>
            <w:sz w:val="24"/>
            <w:u w:val="single"/>
          </w:rPr>
          <w:t>framework</w:t>
        </w:r>
      </w:hyperlink>
      <w:r>
        <w:rPr>
          <w:rFonts w:ascii="Times New Roman" w:hAnsi="Times New Roman" w:eastAsia="宋体"/>
          <w:sz w:val="24"/>
        </w:rPr>
        <w:t xml:space="preserve"> to identify water systems that, if degraded or rendered inoperable because of an incident, would lead to significant impacts. It requires EPA and CISA to develop a water system "</w:t>
      </w:r>
      <w:hyperlink r:id="rId26">
        <w:r>
          <w:rPr>
            <w:rFonts w:ascii="Times New Roman" w:hAnsi="Times New Roman" w:eastAsia="宋体"/>
            <w:color w:val="0563C1"/>
            <w:sz w:val="24"/>
            <w:u w:val="single"/>
          </w:rPr>
          <w:t>Technical Cybersecurity Support Plan</w:t>
        </w:r>
      </w:hyperlink>
      <w:r>
        <w:rPr>
          <w:rFonts w:ascii="Times New Roman" w:hAnsi="Times New Roman" w:eastAsia="宋体"/>
          <w:sz w:val="24"/>
        </w:rPr>
        <w:t>."</w:t>
      </w:r>
    </w:p>
    <w:p>
      <w:pPr>
        <w:pStyle w:val="DocH1"/>
      </w:pPr>
      <w:r>
        <w:rPr>
          <w:rFonts w:ascii="Times New Roman" w:hAnsi="Times New Roman" w:eastAsia="宋体"/>
          <w:sz w:val="24"/>
        </w:rPr>
        <w:t>Selected Implementation Issues</w:t>
      </w:r>
    </w:p>
    <w:p>
      <w:pPr>
        <w:pStyle w:val="DocBody"/>
      </w:pPr>
      <w:r>
        <w:rPr>
          <w:rFonts w:ascii="Times New Roman" w:hAnsi="Times New Roman" w:eastAsia="宋体"/>
          <w:sz w:val="24"/>
        </w:rPr>
        <w:t xml:space="preserve">Reported cyberattacks on water systems have raised questions about the effectiveness of the sector's approach to cybersecurity. </w:t>
      </w:r>
      <w:hyperlink r:id="rId17">
        <w:r>
          <w:rPr>
            <w:rFonts w:ascii="Times New Roman" w:hAnsi="Times New Roman" w:eastAsia="宋体"/>
            <w:color w:val="0563C1"/>
            <w:sz w:val="24"/>
            <w:u w:val="single"/>
          </w:rPr>
          <w:t>SDWA Section 1433</w:t>
        </w:r>
      </w:hyperlink>
      <w:r>
        <w:rPr>
          <w:rFonts w:ascii="Times New Roman" w:hAnsi="Times New Roman" w:eastAsia="宋体"/>
          <w:sz w:val="24"/>
        </w:rPr>
        <w:t xml:space="preserve"> requirements are targeted to systems serving a larger number of individuals because, if disrupted, the public health impact would be larger. Also, these larger systems benefit from economies of scale, resulting in greater capacity to update technology, adopt practices, or hire security specialists. SDWA assessments and plans are voluntary for smaller systems.</w:t>
      </w:r>
    </w:p>
    <w:p>
      <w:pPr>
        <w:pStyle w:val="DocBody"/>
      </w:pPr>
      <w:r>
        <w:rPr>
          <w:rFonts w:ascii="Times New Roman" w:hAnsi="Times New Roman" w:eastAsia="宋体"/>
          <w:sz w:val="24"/>
        </w:rPr>
        <w:t xml:space="preserve">Some have raised concerns about </w:t>
      </w:r>
      <w:hyperlink r:id="rId17">
        <w:r>
          <w:rPr>
            <w:rFonts w:ascii="Times New Roman" w:hAnsi="Times New Roman" w:eastAsia="宋体"/>
            <w:color w:val="0563C1"/>
            <w:sz w:val="24"/>
            <w:u w:val="single"/>
          </w:rPr>
          <w:t>SDWA Section 1433</w:t>
        </w:r>
      </w:hyperlink>
      <w:r>
        <w:rPr>
          <w:rFonts w:ascii="Times New Roman" w:hAnsi="Times New Roman" w:eastAsia="宋体"/>
          <w:sz w:val="24"/>
        </w:rPr>
        <w:t xml:space="preserve"> compliance and the quality of larger systems' vulnerability assessments and emergency response plans. A 2024 EPA </w:t>
      </w:r>
      <w:hyperlink r:id="rId27">
        <w:r>
          <w:rPr>
            <w:rFonts w:ascii="Times New Roman" w:hAnsi="Times New Roman" w:eastAsia="宋体"/>
            <w:color w:val="0563C1"/>
            <w:sz w:val="24"/>
            <w:u w:val="single"/>
          </w:rPr>
          <w:t>enforcement notice</w:t>
        </w:r>
      </w:hyperlink>
      <w:r>
        <w:rPr>
          <w:rFonts w:ascii="Times New Roman" w:hAnsi="Times New Roman" w:eastAsia="宋体"/>
          <w:sz w:val="24"/>
        </w:rPr>
        <w:t xml:space="preserve"> indicated that larger systems were experiencing compliance challenges, stating that more than "70% of systems inspected by EPA since September 2023 are in violation of basic SDWA Section 1433 requirements." Between 2020 and 2024, EPA </w:t>
      </w:r>
      <w:hyperlink r:id="rId27">
        <w:r>
          <w:rPr>
            <w:rFonts w:ascii="Times New Roman" w:hAnsi="Times New Roman" w:eastAsia="宋体"/>
            <w:color w:val="0563C1"/>
            <w:sz w:val="24"/>
            <w:u w:val="single"/>
          </w:rPr>
          <w:t>conducted</w:t>
        </w:r>
      </w:hyperlink>
      <w:r>
        <w:rPr>
          <w:rFonts w:ascii="Times New Roman" w:hAnsi="Times New Roman" w:eastAsia="宋体"/>
          <w:sz w:val="24"/>
        </w:rPr>
        <w:t xml:space="preserve"> at least 100 enforcement actions due to violations of </w:t>
      </w:r>
      <w:hyperlink r:id="rId17">
        <w:r>
          <w:rPr>
            <w:rFonts w:ascii="Times New Roman" w:hAnsi="Times New Roman" w:eastAsia="宋体"/>
            <w:color w:val="0563C1"/>
            <w:sz w:val="24"/>
            <w:u w:val="single"/>
          </w:rPr>
          <w:t>SDWA Section 1433</w:t>
        </w:r>
      </w:hyperlink>
      <w:r>
        <w:rPr>
          <w:rFonts w:ascii="Times New Roman" w:hAnsi="Times New Roman" w:eastAsia="宋体"/>
          <w:sz w:val="24"/>
        </w:rPr>
        <w:t xml:space="preserve">. Also in 2024, </w:t>
      </w:r>
      <w:hyperlink r:id="rId28">
        <w:r>
          <w:rPr>
            <w:rFonts w:ascii="Times New Roman" w:hAnsi="Times New Roman" w:eastAsia="宋体"/>
            <w:color w:val="0563C1"/>
            <w:sz w:val="24"/>
            <w:u w:val="single"/>
          </w:rPr>
          <w:t>EPA's Office of Inspector General (OIG)</w:t>
        </w:r>
      </w:hyperlink>
      <w:r>
        <w:rPr>
          <w:rFonts w:ascii="Times New Roman" w:hAnsi="Times New Roman" w:eastAsia="宋体"/>
          <w:sz w:val="24"/>
        </w:rPr>
        <w:t xml:space="preserve"> conducted a cybersecurity assessment of 1,062 water systems that serve 50,000 or more individuals. Of the 1,062 systems, OIG "identified 97 … water systems serving approximately 26.6 million users as having either critical or high-risk cybersecurity vulnerabilities."</w:t>
      </w:r>
    </w:p>
    <w:p>
      <w:pPr>
        <w:pStyle w:val="DocBody"/>
      </w:pPr>
      <w:r>
        <w:rPr>
          <w:rFonts w:ascii="Times New Roman" w:hAnsi="Times New Roman" w:eastAsia="宋体"/>
          <w:sz w:val="24"/>
        </w:rPr>
        <w:t xml:space="preserve">Others have questioned EPA's use of its SDWA authorities to address cybersecurity. For example, in March 2023, EPA issued an </w:t>
      </w:r>
      <w:hyperlink r:id="rId29">
        <w:r>
          <w:rPr>
            <w:rFonts w:ascii="Times New Roman" w:hAnsi="Times New Roman" w:eastAsia="宋体"/>
            <w:color w:val="0563C1"/>
            <w:sz w:val="24"/>
            <w:u w:val="single"/>
          </w:rPr>
          <w:t>interpretive memorandum</w:t>
        </w:r>
      </w:hyperlink>
      <w:r>
        <w:rPr>
          <w:rFonts w:ascii="Times New Roman" w:hAnsi="Times New Roman" w:eastAsia="宋体"/>
          <w:sz w:val="24"/>
        </w:rPr>
        <w:t xml:space="preserve"> to require states, as a part of their SDWA primary enforcement responsibilities, to evaluate water system operational technology cybersecurity during triennial inspections, called "sanitary surveys." </w:t>
      </w:r>
      <w:hyperlink r:id="rId30">
        <w:r>
          <w:rPr>
            <w:rFonts w:ascii="Times New Roman" w:hAnsi="Times New Roman" w:eastAsia="宋体"/>
            <w:color w:val="0563C1"/>
            <w:sz w:val="24"/>
            <w:u w:val="single"/>
          </w:rPr>
          <w:t>Sanitary surveys</w:t>
        </w:r>
      </w:hyperlink>
      <w:r>
        <w:rPr>
          <w:rFonts w:ascii="Times New Roman" w:hAnsi="Times New Roman" w:eastAsia="宋体"/>
          <w:sz w:val="24"/>
        </w:rPr>
        <w:t xml:space="preserve"> are on-site inspections of a water system's components (e.g., treatment technologies) and operational functions. Stakeholders filed a </w:t>
      </w:r>
      <w:hyperlink r:id="rId31">
        <w:r>
          <w:rPr>
            <w:rFonts w:ascii="Times New Roman" w:hAnsi="Times New Roman" w:eastAsia="宋体"/>
            <w:color w:val="0563C1"/>
            <w:sz w:val="24"/>
            <w:u w:val="single"/>
          </w:rPr>
          <w:t>petition</w:t>
        </w:r>
      </w:hyperlink>
      <w:r>
        <w:rPr>
          <w:rFonts w:ascii="Times New Roman" w:hAnsi="Times New Roman" w:eastAsia="宋体"/>
          <w:sz w:val="24"/>
        </w:rPr>
        <w:t xml:space="preserve"> for judicial review, arguing that EPA did not follow the </w:t>
      </w:r>
      <w:hyperlink r:id="rId32">
        <w:r>
          <w:rPr>
            <w:rFonts w:ascii="Times New Roman" w:hAnsi="Times New Roman" w:eastAsia="宋体"/>
            <w:color w:val="0563C1"/>
            <w:sz w:val="24"/>
            <w:u w:val="single"/>
          </w:rPr>
          <w:t>Administrative Procedure Act</w:t>
        </w:r>
      </w:hyperlink>
      <w:r>
        <w:rPr>
          <w:rFonts w:ascii="Times New Roman" w:hAnsi="Times New Roman" w:eastAsia="宋体"/>
          <w:sz w:val="24"/>
        </w:rPr>
        <w:t xml:space="preserve"> when issuing the memorandum and that EPA's expansion of the sanitary survey exceeded its statutory authority under SDWA. In October 2023, EPA </w:t>
      </w:r>
      <w:hyperlink r:id="rId33">
        <w:r>
          <w:rPr>
            <w:rFonts w:ascii="Times New Roman" w:hAnsi="Times New Roman" w:eastAsia="宋体"/>
            <w:color w:val="0563C1"/>
            <w:sz w:val="24"/>
            <w:u w:val="single"/>
          </w:rPr>
          <w:t>rescinded</w:t>
        </w:r>
      </w:hyperlink>
      <w:r>
        <w:rPr>
          <w:rFonts w:ascii="Times New Roman" w:hAnsi="Times New Roman" w:eastAsia="宋体"/>
          <w:sz w:val="24"/>
        </w:rPr>
        <w:t xml:space="preserve"> the interpretive memorandum and its requirements.</w:t>
      </w:r>
    </w:p>
    <w:p>
      <w:pPr>
        <w:pStyle w:val="DocH1"/>
      </w:pPr>
      <w:r>
        <w:rPr>
          <w:rFonts w:ascii="Times New Roman" w:hAnsi="Times New Roman" w:eastAsia="宋体"/>
          <w:sz w:val="24"/>
        </w:rPr>
        <w:t>Legislation in the 119th Congress</w:t>
      </w:r>
    </w:p>
    <w:p>
      <w:pPr>
        <w:pStyle w:val="DocBody"/>
      </w:pPr>
      <w:r>
        <w:rPr>
          <w:rFonts w:ascii="Times New Roman" w:hAnsi="Times New Roman" w:eastAsia="宋体"/>
          <w:sz w:val="24"/>
        </w:rPr>
        <w:t>In the 119th Congress, some Members have introduced legislation regarding water sector cybersecurity. The Water Resources Development Act of 2026 (S. 4949), for example, includes several cybersecurity provisions. S. 4949 would</w:t>
      </w:r>
    </w:p>
    <w:p>
      <w:pPr>
        <w:pStyle w:val="DocBody"/>
        <w:ind w:left="765"/>
      </w:pPr>
      <w:r>
        <w:rPr>
          <w:rFonts w:ascii="Times New Roman" w:hAnsi="Times New Roman" w:eastAsia="宋体"/>
          <w:sz w:val="24"/>
        </w:rPr>
        <w:t xml:space="preserve">reauthorize appropriations for </w:t>
      </w:r>
      <w:hyperlink r:id="rId20">
        <w:r>
          <w:rPr>
            <w:rFonts w:ascii="Times New Roman" w:hAnsi="Times New Roman" w:eastAsia="宋体"/>
            <w:color w:val="0563C1"/>
            <w:sz w:val="24"/>
            <w:u w:val="single"/>
          </w:rPr>
          <w:t>SDWA Section 1459F</w:t>
        </w:r>
      </w:hyperlink>
      <w:r>
        <w:rPr>
          <w:rFonts w:ascii="Times New Roman" w:hAnsi="Times New Roman" w:eastAsia="宋体"/>
          <w:sz w:val="24"/>
        </w:rPr>
        <w:t>;</w:t>
      </w:r>
    </w:p>
    <w:p>
      <w:pPr>
        <w:pStyle w:val="DocBody"/>
        <w:ind w:left="765"/>
      </w:pPr>
      <w:r>
        <w:rPr>
          <w:rFonts w:ascii="Times New Roman" w:hAnsi="Times New Roman" w:eastAsia="宋体"/>
          <w:sz w:val="24"/>
        </w:rPr>
        <w:t xml:space="preserve">revise an existing </w:t>
      </w:r>
      <w:hyperlink r:id="rId34">
        <w:r>
          <w:rPr>
            <w:rFonts w:ascii="Times New Roman" w:hAnsi="Times New Roman" w:eastAsia="宋体"/>
            <w:color w:val="0563C1"/>
            <w:sz w:val="24"/>
            <w:u w:val="single"/>
          </w:rPr>
          <w:t>SDWA small and disadvantaged communities grant program</w:t>
        </w:r>
      </w:hyperlink>
      <w:r>
        <w:rPr>
          <w:rFonts w:ascii="Times New Roman" w:hAnsi="Times New Roman" w:eastAsia="宋体"/>
          <w:sz w:val="24"/>
        </w:rPr>
        <w:t xml:space="preserve"> to make "reducing cybersecurity vulnerabilities" an eligible funding activity;</w:t>
      </w:r>
    </w:p>
    <w:p>
      <w:pPr>
        <w:pStyle w:val="DocBody"/>
        <w:ind w:left="765"/>
      </w:pPr>
      <w:r>
        <w:rPr>
          <w:rFonts w:ascii="Times New Roman" w:hAnsi="Times New Roman" w:eastAsia="宋体"/>
          <w:sz w:val="24"/>
        </w:rPr>
        <w:t xml:space="preserve">amend an existing </w:t>
      </w:r>
      <w:hyperlink r:id="rId35">
        <w:r>
          <w:rPr>
            <w:rFonts w:ascii="Times New Roman" w:hAnsi="Times New Roman" w:eastAsia="宋体"/>
            <w:color w:val="0563C1"/>
            <w:sz w:val="24"/>
            <w:u w:val="single"/>
          </w:rPr>
          <w:t>water infrastructure workforce grant program</w:t>
        </w:r>
      </w:hyperlink>
      <w:r>
        <w:rPr>
          <w:rFonts w:ascii="Times New Roman" w:hAnsi="Times New Roman" w:eastAsia="宋体"/>
          <w:sz w:val="24"/>
        </w:rPr>
        <w:t xml:space="preserve"> to include support for cybersecurity training;</w:t>
      </w:r>
    </w:p>
    <w:p>
      <w:pPr>
        <w:pStyle w:val="DocBody"/>
        <w:ind w:left="765"/>
      </w:pPr>
      <w:r>
        <w:rPr>
          <w:rFonts w:ascii="Times New Roman" w:hAnsi="Times New Roman" w:eastAsia="宋体"/>
          <w:sz w:val="24"/>
        </w:rPr>
        <w:t>authorize a wastewater cybersecurity grant program;</w:t>
      </w:r>
    </w:p>
    <w:p>
      <w:pPr>
        <w:pStyle w:val="DocBody"/>
        <w:ind w:left="765"/>
      </w:pPr>
      <w:r>
        <w:rPr>
          <w:rFonts w:ascii="Times New Roman" w:hAnsi="Times New Roman" w:eastAsia="宋体"/>
          <w:sz w:val="24"/>
        </w:rPr>
        <w:t>authorize a digital infrastructure grant program; and</w:t>
      </w:r>
    </w:p>
    <w:p>
      <w:pPr>
        <w:pStyle w:val="DocBody"/>
        <w:ind w:left="765"/>
      </w:pPr>
      <w:r>
        <w:rPr>
          <w:rFonts w:ascii="Times New Roman" w:hAnsi="Times New Roman" w:eastAsia="宋体"/>
          <w:sz w:val="24"/>
        </w:rPr>
        <w:t>direct EPA to establish, subject to appropriations, a program to support participation in the Water Information Sharing and Analysis Center (</w:t>
      </w:r>
      <w:hyperlink r:id="rId36">
        <w:r>
          <w:rPr>
            <w:rFonts w:ascii="Times New Roman" w:hAnsi="Times New Roman" w:eastAsia="宋体"/>
            <w:color w:val="0563C1"/>
            <w:sz w:val="24"/>
            <w:u w:val="single"/>
          </w:rPr>
          <w:t>WaterISAC</w:t>
        </w:r>
      </w:hyperlink>
      <w:r>
        <w:rPr>
          <w:rFonts w:ascii="Times New Roman" w:hAnsi="Times New Roman" w:eastAsia="宋体"/>
          <w:sz w:val="24"/>
        </w:rPr>
        <w:t>), and to report on water sector cybersecurity within three years of enactment.</w:t>
      </w:r>
    </w:p>
    <w:p>
      <w:pPr>
        <w:pStyle w:val="DocBody"/>
      </w:pPr>
      <w:r>
        <w:rPr>
          <w:rFonts w:ascii="Times New Roman" w:hAnsi="Times New Roman" w:eastAsia="宋体"/>
          <w:sz w:val="24"/>
        </w:rPr>
        <w:t>Other bills have water sector cybersecurity as their primary focus. These bills use different approaches, such as</w:t>
      </w:r>
    </w:p>
    <w:p>
      <w:pPr>
        <w:pStyle w:val="DocBody"/>
        <w:ind w:left="765"/>
      </w:pPr>
      <w:r>
        <w:rPr>
          <w:rFonts w:ascii="Times New Roman" w:hAnsi="Times New Roman" w:eastAsia="宋体"/>
          <w:sz w:val="24"/>
        </w:rPr>
        <w:t>authorizing new grant programs (e.g., H.R. 2109/S. 1018, H.R. 9776/S. 3967, H.R. 2344/S. 1118);</w:t>
      </w:r>
    </w:p>
    <w:p>
      <w:pPr>
        <w:pStyle w:val="DocBody"/>
        <w:ind w:left="765"/>
      </w:pPr>
      <w:r>
        <w:rPr>
          <w:rFonts w:ascii="Times New Roman" w:hAnsi="Times New Roman" w:eastAsia="宋体"/>
          <w:sz w:val="24"/>
        </w:rPr>
        <w:t>reauthorizing appropriations for existing authorities (e.g., H.R. 10083, S. 1549);</w:t>
      </w:r>
    </w:p>
    <w:p>
      <w:pPr>
        <w:pStyle w:val="DocBody"/>
        <w:ind w:left="765"/>
      </w:pPr>
      <w:r>
        <w:rPr>
          <w:rFonts w:ascii="Times New Roman" w:hAnsi="Times New Roman" w:eastAsia="宋体"/>
          <w:sz w:val="24"/>
        </w:rPr>
        <w:t xml:space="preserve">reauthorizing appropriations for </w:t>
      </w:r>
      <w:hyperlink r:id="rId21">
        <w:r>
          <w:rPr>
            <w:rFonts w:ascii="Times New Roman" w:hAnsi="Times New Roman" w:eastAsia="宋体"/>
            <w:color w:val="0563C1"/>
            <w:sz w:val="24"/>
            <w:u w:val="single"/>
          </w:rPr>
          <w:t>SDWA Section 1442(b)</w:t>
        </w:r>
      </w:hyperlink>
      <w:r>
        <w:rPr>
          <w:rFonts w:ascii="Times New Roman" w:hAnsi="Times New Roman" w:eastAsia="宋体"/>
          <w:sz w:val="24"/>
        </w:rPr>
        <w:t xml:space="preserve"> and authorizing a wastewater grant program (e.g., H.R. 9690/S. 4980);</w:t>
      </w:r>
    </w:p>
    <w:p>
      <w:pPr>
        <w:pStyle w:val="DocBody"/>
        <w:ind w:left="765"/>
      </w:pPr>
      <w:r>
        <w:rPr>
          <w:rFonts w:ascii="Times New Roman" w:hAnsi="Times New Roman" w:eastAsia="宋体"/>
          <w:sz w:val="24"/>
        </w:rPr>
        <w:t xml:space="preserve">revising </w:t>
      </w:r>
      <w:hyperlink r:id="rId17">
        <w:r>
          <w:rPr>
            <w:rFonts w:ascii="Times New Roman" w:hAnsi="Times New Roman" w:eastAsia="宋体"/>
            <w:color w:val="0563C1"/>
            <w:sz w:val="24"/>
            <w:u w:val="single"/>
          </w:rPr>
          <w:t>SDWA Section 1433</w:t>
        </w:r>
      </w:hyperlink>
      <w:r>
        <w:rPr>
          <w:rFonts w:ascii="Times New Roman" w:hAnsi="Times New Roman" w:eastAsia="宋体"/>
          <w:sz w:val="24"/>
        </w:rPr>
        <w:t xml:space="preserve"> vulnerability assessment requirements for water systems, expanding oversight of water system vulnerability assessments, and adding similar wastewater requirements (e.g., S. 5368); and</w:t>
      </w:r>
    </w:p>
    <w:p>
      <w:pPr>
        <w:pStyle w:val="DocBody"/>
        <w:ind w:left="765"/>
      </w:pPr>
      <w:r>
        <w:rPr>
          <w:rFonts w:ascii="Times New Roman" w:hAnsi="Times New Roman" w:eastAsia="宋体"/>
          <w:sz w:val="24"/>
        </w:rPr>
        <w:t>establishing a new framework to require systems to adopt cybersecurity standards developed and enforced by an independent organization (e.g., H.R. 2594).</w:t>
      </w:r>
    </w:p>
    <w:p>
      <w:pPr>
        <w:pStyle w:val="DocH1"/>
      </w:pPr>
      <w:r>
        <w:rPr>
          <w:rFonts w:ascii="Times New Roman" w:hAnsi="Times New Roman" w:eastAsia="宋体"/>
          <w:sz w:val="24"/>
        </w:rPr>
        <w:t>Considerations for Congress</w:t>
      </w:r>
    </w:p>
    <w:p>
      <w:pPr>
        <w:pStyle w:val="DocBody"/>
      </w:pPr>
      <w:r>
        <w:rPr>
          <w:rFonts w:ascii="Times New Roman" w:hAnsi="Times New Roman" w:eastAsia="宋体"/>
          <w:sz w:val="24"/>
        </w:rPr>
        <w:t xml:space="preserve">Members may consider several issues regarding water sector cybersecurity. In the 119th Congress, several bills propose to add cybersecurity grant programs for specific types of systems (e.g., rural) or to reauthorize appropriations for existing TA and/or grant programs. One consideration is whether new programs would be additive to or duplicative of existing ones. Another is whether existing programs are receiving appropriations. Congress has not specified appropriations for cybersecurity TA and grants under </w:t>
      </w:r>
      <w:hyperlink r:id="rId19">
        <w:r>
          <w:rPr>
            <w:rFonts w:ascii="Times New Roman" w:hAnsi="Times New Roman" w:eastAsia="宋体"/>
            <w:color w:val="0563C1"/>
            <w:sz w:val="24"/>
            <w:u w:val="single"/>
          </w:rPr>
          <w:t>SDWA Section 1433(g)</w:t>
        </w:r>
      </w:hyperlink>
      <w:r>
        <w:rPr>
          <w:rFonts w:ascii="Times New Roman" w:hAnsi="Times New Roman" w:eastAsia="宋体"/>
          <w:sz w:val="24"/>
        </w:rPr>
        <w:t xml:space="preserve">or the advanced technology grants under </w:t>
      </w:r>
      <w:hyperlink r:id="rId23">
        <w:r>
          <w:rPr>
            <w:rFonts w:ascii="Times New Roman" w:hAnsi="Times New Roman" w:eastAsia="宋体"/>
            <w:color w:val="0563C1"/>
            <w:sz w:val="24"/>
            <w:u w:val="single"/>
          </w:rPr>
          <w:t>SDWA Section 1459G</w:t>
        </w:r>
      </w:hyperlink>
      <w:r>
        <w:rPr>
          <w:rFonts w:ascii="Times New Roman" w:hAnsi="Times New Roman" w:eastAsia="宋体"/>
          <w:sz w:val="24"/>
        </w:rPr>
        <w:t xml:space="preserve">. Congress has provided appropriations for </w:t>
      </w:r>
      <w:hyperlink r:id="rId21">
        <w:r>
          <w:rPr>
            <w:rFonts w:ascii="Times New Roman" w:hAnsi="Times New Roman" w:eastAsia="宋体"/>
            <w:color w:val="0563C1"/>
            <w:sz w:val="24"/>
            <w:u w:val="single"/>
          </w:rPr>
          <w:t>SDWA Section 1442(b)</w:t>
        </w:r>
      </w:hyperlink>
      <w:r>
        <w:rPr>
          <w:rFonts w:ascii="Times New Roman" w:hAnsi="Times New Roman" w:eastAsia="宋体"/>
          <w:sz w:val="24"/>
        </w:rPr>
        <w:t xml:space="preserve"> emergency assistance to address the Jackson, MS, water crisis and damage from Hurricanes Helene and Milton. In addition, Congress began funding resiliency grants for larger systems under </w:t>
      </w:r>
      <w:hyperlink r:id="rId20">
        <w:r>
          <w:rPr>
            <w:rFonts w:ascii="Times New Roman" w:hAnsi="Times New Roman" w:eastAsia="宋体"/>
            <w:color w:val="0563C1"/>
            <w:sz w:val="24"/>
            <w:u w:val="single"/>
          </w:rPr>
          <w:t>SDWA Section 1459F</w:t>
        </w:r>
      </w:hyperlink>
      <w:r>
        <w:rPr>
          <w:rFonts w:ascii="Times New Roman" w:hAnsi="Times New Roman" w:eastAsia="宋体"/>
          <w:sz w:val="24"/>
        </w:rPr>
        <w:t xml:space="preserve"> in FY2023.</w:t>
      </w:r>
    </w:p>
    <w:p>
      <w:pPr>
        <w:pStyle w:val="DocBody"/>
      </w:pPr>
      <w:r>
        <w:rPr>
          <w:rFonts w:ascii="Times New Roman" w:hAnsi="Times New Roman" w:eastAsia="宋体"/>
          <w:sz w:val="24"/>
        </w:rPr>
        <w:t xml:space="preserve">Other considerations may involve revising </w:t>
      </w:r>
      <w:hyperlink r:id="rId24">
        <w:r>
          <w:rPr>
            <w:rFonts w:ascii="Times New Roman" w:hAnsi="Times New Roman" w:eastAsia="宋体"/>
            <w:color w:val="0563C1"/>
            <w:sz w:val="24"/>
            <w:u w:val="single"/>
          </w:rPr>
          <w:t>SDWA Section 1433</w:t>
        </w:r>
      </w:hyperlink>
      <w:r>
        <w:rPr>
          <w:rFonts w:ascii="Times New Roman" w:hAnsi="Times New Roman" w:eastAsia="宋体"/>
          <w:sz w:val="24"/>
        </w:rPr>
        <w:t xml:space="preserve"> risk-and-resilience assessments and emergency response planning to include specific standards. In prior Congresses, some bills (e.g., H.R. 3258 in the 111th Congress) proposed a similar approach but were not enacted. Considerations for this approach could include how these standards would affect systems that face challenges in meeting the existing requirements. Another potential consideration involves EPA's or a state's ability to develop or oversee standards, as </w:t>
      </w:r>
      <w:hyperlink r:id="rId37">
        <w:r>
          <w:rPr>
            <w:rFonts w:ascii="Times New Roman" w:hAnsi="Times New Roman" w:eastAsia="宋体"/>
            <w:color w:val="0563C1"/>
            <w:sz w:val="24"/>
            <w:u w:val="single"/>
          </w:rPr>
          <w:t>some</w:t>
        </w:r>
      </w:hyperlink>
      <w:r>
        <w:rPr>
          <w:rFonts w:ascii="Times New Roman" w:hAnsi="Times New Roman" w:eastAsia="宋体"/>
          <w:sz w:val="24"/>
        </w:rPr>
        <w:t xml:space="preserve"> have questioned whether water system expertise extends to cybersecurity expertise.</w:t>
      </w:r>
    </w:p>
    <w:p>
      <w:pPr>
        <w:pStyle w:val="DocBody"/>
      </w:pPr>
      <w:r>
        <w:rPr>
          <w:rFonts w:ascii="Times New Roman" w:hAnsi="Times New Roman" w:eastAsia="宋体"/>
          <w:sz w:val="24"/>
        </w:rPr>
        <w:t>Another consideration relates to the risks of sharing water systems' vulnerability information with entities tasked with overseeing or supporting cybersecurity. Proposals to require water systems to transmit vulnerability assessments to EPA, states, or an independent organization to check compliance with certain standards may risk creating a repository of water system vulnerabilities that could be targeted for a cyberattack. Similarly, ensuring the cybersecurity of third-party entities that provide TA to specific water systems may be another consideration for proposals to expand TA.</w:t>
      </w:r>
    </w:p>
    <w:p>
      <w:pPr>
        <w:pStyle w:val="DocBody"/>
      </w:pPr>
      <w:r>
        <w:rPr>
          <w:rFonts w:ascii="Times New Roman" w:hAnsi="Times New Roman" w:eastAsia="宋体"/>
          <w:sz w:val="24"/>
        </w:rPr>
        <w:t xml:space="preserve">Policymakers are considering a proposal to establish an independent organization to set cybersecurity standards for adoption by water systems. Several </w:t>
      </w:r>
      <w:hyperlink r:id="rId38">
        <w:r>
          <w:rPr>
            <w:rFonts w:ascii="Times New Roman" w:hAnsi="Times New Roman" w:eastAsia="宋体"/>
            <w:color w:val="0563C1"/>
            <w:sz w:val="24"/>
            <w:u w:val="single"/>
          </w:rPr>
          <w:t>water</w:t>
        </w:r>
      </w:hyperlink>
      <w:r>
        <w:rPr>
          <w:rFonts w:ascii="Times New Roman" w:hAnsi="Times New Roman" w:eastAsia="宋体"/>
          <w:sz w:val="24"/>
        </w:rPr>
        <w:t xml:space="preserve"> </w:t>
      </w:r>
      <w:hyperlink r:id="rId39">
        <w:r>
          <w:rPr>
            <w:rFonts w:ascii="Times New Roman" w:hAnsi="Times New Roman" w:eastAsia="宋体"/>
            <w:color w:val="0563C1"/>
            <w:sz w:val="24"/>
            <w:u w:val="single"/>
          </w:rPr>
          <w:t>associations</w:t>
        </w:r>
      </w:hyperlink>
      <w:r>
        <w:rPr>
          <w:rFonts w:ascii="Times New Roman" w:hAnsi="Times New Roman" w:eastAsia="宋体"/>
          <w:sz w:val="24"/>
        </w:rPr>
        <w:t xml:space="preserve"> support this approach. Under this proposal, EPA would retain oversight of the standard-setting organization, similarly to how the Federal Energy Regulatory Commission (FERC) oversees cybersecurity standards developed by the North American Electric Reliability Corporation (NERC) in the electricity sector. Policymakers assessing this approach may consider the differences between the electricity and water sectors, such as interconnectedness. Local electricity distribution systems connect to a larger transmission network, so an attack on transmission could affect several states. NERC standards apply to the interconnected network. Water systems generally are not interconnected, so any disruption from an attack would be limited to a community rather than affecting water service in several states. Although water systems are not interconnected at the state level, the effect of an attack (e.g., water contamination) could be significant, as some systems serve millions of people.</w:t>
      </w:r>
    </w:p>
    <w:p>
      <w:pPr>
        <w:pStyle w:val="DocBody"/>
      </w:pPr>
      <w:hyperlink r:id="rId40">
        <w:r>
          <w:rPr>
            <w:rFonts w:ascii="Times New Roman" w:hAnsi="Times New Roman" w:eastAsia="宋体"/>
            <w:color w:val="0563C1"/>
            <w:sz w:val="24"/>
            <w:u w:val="single"/>
          </w:rPr>
          <w:t>Download PDF</w:t>
        </w:r>
      </w:hyperlink>
    </w:p>
    <w:p>
      <w:pPr>
        <w:pStyle w:val="DocBody"/>
      </w:pPr>
      <w:hyperlink r:id="rId41">
        <w:r>
          <w:rPr>
            <w:rFonts w:ascii="Times New Roman" w:hAnsi="Times New Roman" w:eastAsia="宋体"/>
            <w:color w:val="0563C1"/>
            <w:sz w:val="24"/>
            <w:u w:val="single"/>
          </w:rPr>
          <w:t>Download EPUB</w:t>
        </w:r>
      </w:hyperlink>
    </w:p>
    <w:p>
      <w:pPr>
        <w:pStyle w:val="DocBody"/>
      </w:pPr>
      <w:r>
        <w:rPr>
          <w:rFonts w:ascii="Times New Roman" w:hAnsi="Times New Roman" w:eastAsia="宋体"/>
          <w:sz w:val="24"/>
        </w:rPr>
        <w:t xml:space="preserve">Revision History Aug. 27, 2026 </w:t>
      </w:r>
      <w:hyperlink r:id="rId42">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40">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Metadata Report Type: In Focus Source: </w:t>
      </w:r>
      <w:hyperlink r:id="rId43">
        <w:r>
          <w:rPr>
            <w:rFonts w:ascii="Times New Roman" w:hAnsi="Times New Roman" w:eastAsia="宋体"/>
            <w:color w:val="0563C1"/>
            <w:sz w:val="24"/>
            <w:u w:val="single"/>
          </w:rPr>
          <w:t>Congress.gov</w:t>
        </w:r>
      </w:hyperlink>
    </w:p>
    <w:p>
      <w:pPr>
        <w:pStyle w:val="DocBody"/>
      </w:pPr>
      <w:r>
        <w:rPr>
          <w:rFonts w:ascii="Times New Roman" w:hAnsi="Times New Roman" w:eastAsia="宋体"/>
          <w:sz w:val="24"/>
        </w:rPr>
        <w:t xml:space="preserve">Raw Metadata: </w:t>
      </w:r>
      <w:hyperlink r:id="rId44">
        <w:r>
          <w:rPr>
            <w:rFonts w:ascii="Times New Roman" w:hAnsi="Times New Roman" w:eastAsia="宋体"/>
            <w:color w:val="0563C1"/>
            <w:sz w:val="24"/>
            <w:u w:val="single"/>
          </w:rPr>
          <w:t>JSON</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veryCRSReport.com/reports/IF13298.html" TargetMode="External"/><Relationship Id="rId12" Type="http://schemas.openxmlformats.org/officeDocument/2006/relationships/hyperlink" Target="https://www.fbi.gov/investigate/cyber/alerts/2026/malicious-cyber-actors-targeting-water-and-wastewater-sector-internet--facing-programmable-logic-controllers-causing-operational-disruptions" TargetMode="External"/><Relationship Id="rId13" Type="http://schemas.openxmlformats.org/officeDocument/2006/relationships/hyperlink" Target="https://obamawhitehouse.archives.gov/the-press-office/2013/02/12/executive-order-improving-critical-infrastructure-cybersecurity" TargetMode="External"/><Relationship Id="rId14" Type="http://schemas.openxmlformats.org/officeDocument/2006/relationships/hyperlink" Target="https://uscode.house.gov/view.xhtml?path=/prelim@title42/chapter6A/subchapter12&amp;edition=prelim" TargetMode="External"/><Relationship Id="rId15" Type="http://schemas.openxmlformats.org/officeDocument/2006/relationships/hyperlink" Target="https://uscode.house.gov/view.xhtml?req=(title:42%20section:300f%20edition:prelim)%20OR%20(granuleid:USC-prelim-title42-section300f)&amp;f=treesort&amp;edition=prelim&amp;num=0&amp;jumpTo=true#substructure-location_4" TargetMode="External"/><Relationship Id="rId16" Type="http://schemas.openxmlformats.org/officeDocument/2006/relationships/hyperlink" Target="https://uscode.house.gov/view.xhtml?req=(title:42%20section:300f%20edition:prelim)%20OR%20(granuleid:USC-prelim-title42-section300f)&amp;f=treesort&amp;edition=prelim&amp;num=0&amp;jumpTo=true#substructure-location_15" TargetMode="External"/><Relationship Id="rId17" Type="http://schemas.openxmlformats.org/officeDocument/2006/relationships/hyperlink" Target="https://uscode.house.gov/view.xhtml?req=(title:42%20section:300i-2%20edition:prelim)%20OR%20(granuleid:USC-prelim-title42-section300i-2)&amp;f=treesort&amp;edition=prelim&amp;num=0&amp;jumpTo=true" TargetMode="External"/><Relationship Id="rId18" Type="http://schemas.openxmlformats.org/officeDocument/2006/relationships/hyperlink" Target="https://www.epa.gov/waterresilience/awia-section-2013#CP" TargetMode="External"/><Relationship Id="rId19" Type="http://schemas.openxmlformats.org/officeDocument/2006/relationships/hyperlink" Target="https://uscode.house.gov/view.xhtml?req=(title:42%20section:300i-2%20edition:prelim)%20OR%20(granuleid:USC-prelim-title42-section300i-2)&amp;f=treesort&amp;edition=prelim&amp;num=0&amp;jumpTo=true#substructure-location_g" TargetMode="External"/><Relationship Id="rId20" Type="http://schemas.openxmlformats.org/officeDocument/2006/relationships/hyperlink" Target="https://uscode.house.gov/view.xhtml?req=(title:42%20section:300j-19g%20edition:prelim)%20OR%20(granuleid:USC-prelim-title42-section300j-19g)&amp;f=treesort&amp;edition=prelim&amp;num=0&amp;jumpTo=true" TargetMode="External"/><Relationship Id="rId21" Type="http://schemas.openxmlformats.org/officeDocument/2006/relationships/hyperlink" Target="https://uscode.house.gov/view.xhtml?req=(title:42%20section:300j-1%20edition:prelim)%20OR%20(granuleid:USC-prelim-title42-section300j-1)&amp;f=treesort&amp;edition=prelim&amp;num=0&amp;jumpTo=true#substructure-location_d" TargetMode="External"/><Relationship Id="rId22" Type="http://schemas.openxmlformats.org/officeDocument/2006/relationships/hyperlink" Target="https://uscode.house.gov/view.xhtml?req=(title:42%20section:300j-1%20edition:prelim)%20OR%20(granuleid:USC-prelim-title42-section300j-1)&amp;f=treesort&amp;edition=prelim&amp;num=0&amp;jumpTo=true#substructure-location_b" TargetMode="External"/><Relationship Id="rId23" Type="http://schemas.openxmlformats.org/officeDocument/2006/relationships/hyperlink" Target="https://uscode.house.gov/view.xhtml?req=(title:42%20section:300j-19h%20edition:prelim)%20OR%20(granuleid:USC-prelim-title42-section300j-19h)&amp;f=treesort&amp;edition=prelim&amp;num=0&amp;jumpTo=true" TargetMode="External"/><Relationship Id="rId24" Type="http://schemas.openxmlformats.org/officeDocument/2006/relationships/hyperlink" Target="https://uscode.house.gov/view.xhtml?req=(title:42%20section:300g-10%20edition:prelim)%20OR%20(granuleid:USC-prelim-title42-section300g-10)&amp;f=treesort&amp;edition=prelim&amp;num=0&amp;jumpTo=true" TargetMode="External"/><Relationship Id="rId25" Type="http://schemas.openxmlformats.org/officeDocument/2006/relationships/hyperlink" Target="https://www.epa.gov/system/files/documents/2022-08/Prioritization%20Framework%20RtC%20final.pdf" TargetMode="External"/><Relationship Id="rId26" Type="http://schemas.openxmlformats.org/officeDocument/2006/relationships/hyperlink" Target="https://www.epa.gov/system/files/documents/2022-08/9910_RtC-Technical%20Cybersecurity%20Support%20Plan_20220818_final.pdf" TargetMode="External"/><Relationship Id="rId27" Type="http://schemas.openxmlformats.org/officeDocument/2006/relationships/hyperlink" Target="https://www.epa.gov/enforcement/enforcement-alert-drinking-water-systems-address-cybersecurity-vulnerabilities" TargetMode="External"/><Relationship Id="rId28" Type="http://schemas.openxmlformats.org/officeDocument/2006/relationships/hyperlink" Target="https://www.epa.gov/sites/default/files/oig/documents/Full%20Report%2025-N-0004_Errata.pdf" TargetMode="External"/><Relationship Id="rId29" Type="http://schemas.openxmlformats.org/officeDocument/2006/relationships/hyperlink" Target="https://nepis.epa.gov/Exe/ZyPURL.cgi?Dockey=P101D7KB.txt" TargetMode="External"/><Relationship Id="rId30" Type="http://schemas.openxmlformats.org/officeDocument/2006/relationships/hyperlink" Target="https://www.ecfr.gov/current/title-40/part-142/subpart-B#p-142.10(b)(2)" TargetMode="External"/><Relationship Id="rId31" Type="http://schemas.openxmlformats.org/officeDocument/2006/relationships/hyperlink" Target="https://www.epa.gov/system/files/documents/2023-08/2023.08.03%20%20Missouri%20%20Petition%20for%20review%20%208th%20Cir.pdf" TargetMode="External"/><Relationship Id="rId32" Type="http://schemas.openxmlformats.org/officeDocument/2006/relationships/hyperlink" Target="https://uscode.house.gov/view.xhtml?req=(title:5%20section:553%20edition:prelim)%20OR%20(granuleid:USC-prelim-title5-section553)&amp;f=treesort&amp;edition=prelim&amp;num=0&amp;jumpTo=true" TargetMode="External"/><Relationship Id="rId33" Type="http://schemas.openxmlformats.org/officeDocument/2006/relationships/hyperlink" Target="https://www.epa.gov/system/files/documents/2023-10/action-memo_rescinding-cyber-memo_october-2023.pdf" TargetMode="External"/><Relationship Id="rId34" Type="http://schemas.openxmlformats.org/officeDocument/2006/relationships/hyperlink" Target="https://uscode.house.gov/view.xhtml?req=(title:42%20section:300j-19a%20edition:prelim)%20OR%20(granuleid:USC-prelim-title42-section300j-19a)&amp;f=treesort&amp;edition=prelim&amp;num=0&amp;jumpTo=true#substructure-location_l" TargetMode="External"/><Relationship Id="rId35" Type="http://schemas.openxmlformats.org/officeDocument/2006/relationships/hyperlink" Target="https://uscode.house.gov/view.xhtml?req=(title:42%20section:300j-19e%20edition:prelim)%20OR%20(granuleid:USC-prelim-title42-section300j-19e)&amp;f=treesort&amp;edition=prelim&amp;num=0&amp;jumpTo=true#substructure-location_c" TargetMode="External"/><Relationship Id="rId36" Type="http://schemas.openxmlformats.org/officeDocument/2006/relationships/hyperlink" Target="https://www.waterisac.org/" TargetMode="External"/><Relationship Id="rId37" Type="http://schemas.openxmlformats.org/officeDocument/2006/relationships/hyperlink" Target="https://www.amwa.net/system/files/linked-files/Sanitary%20Survey%20Letter%20to%20EPA%2009%20DEC%202021.pdf" TargetMode="External"/><Relationship Id="rId38" Type="http://schemas.openxmlformats.org/officeDocument/2006/relationships/hyperlink" Target="https://www.awwa.org/wp-content/uploads/Cybersecurity-Letter-to-Congress_August-2026.pdf" TargetMode="External"/><Relationship Id="rId39" Type="http://schemas.openxmlformats.org/officeDocument/2006/relationships/hyperlink" Target="https://www.amwa.net/letter/letter-support-wrro-establishment-act" TargetMode="External"/><Relationship Id="rId40" Type="http://schemas.openxmlformats.org/officeDocument/2006/relationships/hyperlink" Target="https://www.everycrsreport.com/files/2026-08-27_IF13298_736389aeca12ba3b68bd5ca96ab6522f5e390ac9.pdf" TargetMode="External"/><Relationship Id="rId41" Type="http://schemas.openxmlformats.org/officeDocument/2006/relationships/hyperlink" Target="https://www.everycrsreport.com/reports/IF13298.epub" TargetMode="External"/><Relationship Id="rId42" Type="http://schemas.openxmlformats.org/officeDocument/2006/relationships/hyperlink" Target="https://www.everycrsreport.com/files/2026-08-27_IF13298_480f326cd65334eddbf95a3261d9219b6631c8ff.html" TargetMode="External"/><Relationship Id="rId43" Type="http://schemas.openxmlformats.org/officeDocument/2006/relationships/hyperlink" Target="https://www.congress.gov/crs-product/IF13298" TargetMode="External"/><Relationship Id="rId44" Type="http://schemas.openxmlformats.org/officeDocument/2006/relationships/hyperlink" Target="https://www.everycrsreport.com/reports/IF13298.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2026 Water System Cyber Incidents: Considerations for Congress</dc:title>
  <dc:subject/>
  <dc:creator>briefing-article-kb</dc:creator>
  <cp:keywords/>
  <dc:description>https://www.EveryCRSReport.com/reports/IF13298.html</dc:description>
  <cp:lastModifiedBy/>
  <cp:revision>1</cp:revision>
  <dcterms:created xsi:type="dcterms:W3CDTF">2013-12-23T23:15:00Z</dcterms:created>
  <dcterms:modified xsi:type="dcterms:W3CDTF">2013-12-23T23:15:00Z</dcterms:modified>
  <cp:category/>
</cp:coreProperties>
</file>