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B006-010</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Lawfare（Lawfare - Cybersecurity &amp; Tech）</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Scaling Laws: Is Meta's Oversight Board a Model for AI Governance?</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https://www.lawfaremedia.org/article/scaling-laws--is-meta's-oversight-board-a-model-for-ai-governance</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B006（2026-08-31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B006-010-Lawfare - cybersecurity &amp; tech -scaling-laws-is-metas-oversight-board-a-model-fo-202608.md</w:t>
            </w:r>
          </w:p>
        </w:tc>
      </w:tr>
    </w:tbl>
    <w:p/>
    <w:p>
      <w:pPr>
        <w:pStyle w:val="DocTitle"/>
      </w:pPr>
      <w:r>
        <w:t>Scaling Laws: Is Meta's Oversight Board a Model for AI Governance?</w:t>
      </w:r>
    </w:p>
    <w:p>
      <w:pPr>
        <w:jc w:val="center"/>
      </w:pPr>
      <w:r>
        <w:drawing>
          <wp:inline xmlns:a="http://schemas.openxmlformats.org/drawingml/2006/main" xmlns:pic="http://schemas.openxmlformats.org/drawingml/2006/picture">
            <wp:extent cx="1904400" cy="2380500"/>
            <wp:docPr id="1" name="Picture 1"/>
            <wp:cNvGraphicFramePr>
              <a:graphicFrameLocks noChangeAspect="1"/>
            </wp:cNvGraphicFramePr>
            <a:graphic>
              <a:graphicData uri="http://schemas.openxmlformats.org/drawingml/2006/picture">
                <pic:pic>
                  <pic:nvPicPr>
                    <pic:cNvPr id="0" name="a412edf45953006d.png"/>
                    <pic:cNvPicPr/>
                  </pic:nvPicPr>
                  <pic:blipFill>
                    <a:blip r:embed="rId12"/>
                    <a:stretch>
                      <a:fillRect/>
                    </a:stretch>
                  </pic:blipFill>
                  <pic:spPr>
                    <a:xfrm>
                      <a:off x="0" y="0"/>
                      <a:ext cx="1904400" cy="2380500"/>
                    </a:xfrm>
                    <a:prstGeom prst="rect"/>
                  </pic:spPr>
                </pic:pic>
              </a:graphicData>
            </a:graphic>
          </wp:inline>
        </w:drawing>
      </w:r>
    </w:p>
    <w:p>
      <w:pPr>
        <w:pStyle w:val="DocCaption"/>
      </w:pPr>
      <w:r>
        <w:t>图1  Kevin  Frazier</w:t>
      </w:r>
    </w:p>
    <w:p>
      <w:pPr>
        <w:pStyle w:val="DocH1"/>
      </w:pPr>
      <w:hyperlink r:id="rId13">
        <w:r>
          <w:rPr>
            <w:rFonts w:ascii="Times New Roman" w:hAnsi="Times New Roman" w:eastAsia="宋体"/>
            <w:color w:val="0563C1"/>
            <w:sz w:val="24"/>
            <w:u w:val="single"/>
          </w:rPr>
          <w:t xml:space="preserve"> Kevin Frazier </w:t>
        </w:r>
      </w:hyperlink>
    </w:p>
    <w:p>
      <w:pPr>
        <w:pStyle w:val="DocBody"/>
      </w:pPr>
      <w:hyperlink r:id="rId14">
        <w:r>
          <w:rPr>
            <w:rFonts w:ascii="Times New Roman" w:hAnsi="Times New Roman" w:eastAsia="宋体"/>
            <w:color w:val="0563C1"/>
            <w:sz w:val="24"/>
            <w:u w:val="single"/>
          </w:rPr>
          <w:t xml:space="preserve"> @kevintfrazier </w:t>
        </w:r>
      </w:hyperlink>
    </w:p>
    <w:p>
      <w:pPr>
        <w:pStyle w:val="DocBody"/>
      </w:pPr>
      <w:hyperlink r:id="rId15">
        <w:r>
          <w:rPr>
            <w:rFonts w:ascii="Times New Roman" w:hAnsi="Times New Roman" w:eastAsia="宋体"/>
            <w:color w:val="0563C1"/>
            <w:sz w:val="24"/>
            <w:u w:val="single"/>
          </w:rPr>
          <w:t xml:space="preserve"> kevintfrazier.bsky.social </w:t>
        </w:r>
      </w:hyperlink>
    </w:p>
    <w:p>
      <w:pPr>
        <w:jc w:val="center"/>
      </w:pPr>
      <w:r>
        <w:drawing>
          <wp:inline xmlns:a="http://schemas.openxmlformats.org/drawingml/2006/main" xmlns:pic="http://schemas.openxmlformats.org/drawingml/2006/picture">
            <wp:extent cx="5400000" cy="5173242"/>
            <wp:docPr id="2" name="Picture 2"/>
            <wp:cNvGraphicFramePr>
              <a:graphicFrameLocks noChangeAspect="1"/>
            </wp:cNvGraphicFramePr>
            <a:graphic>
              <a:graphicData uri="http://schemas.openxmlformats.org/drawingml/2006/picture">
                <pic:pic>
                  <pic:nvPicPr>
                    <pic:cNvPr id="0" name="f78698c50fcf8bb7.jpg"/>
                    <pic:cNvPicPr/>
                  </pic:nvPicPr>
                  <pic:blipFill>
                    <a:blip r:embed="rId16"/>
                    <a:stretch>
                      <a:fillRect/>
                    </a:stretch>
                  </pic:blipFill>
                  <pic:spPr>
                    <a:xfrm>
                      <a:off x="0" y="0"/>
                      <a:ext cx="5400000" cy="5173242"/>
                    </a:xfrm>
                    <a:prstGeom prst="rect"/>
                  </pic:spPr>
                </pic:pic>
              </a:graphicData>
            </a:graphic>
          </wp:inline>
        </w:drawing>
      </w:r>
    </w:p>
    <w:p>
      <w:pPr>
        <w:pStyle w:val="DocCaption"/>
      </w:pPr>
      <w:r>
        <w:t>图2  Kate  Klonick</w:t>
      </w:r>
    </w:p>
    <w:p>
      <w:pPr>
        <w:pStyle w:val="DocH1"/>
      </w:pPr>
      <w:hyperlink r:id="rId17">
        <w:r>
          <w:rPr>
            <w:rFonts w:ascii="Times New Roman" w:hAnsi="Times New Roman" w:eastAsia="宋体"/>
            <w:color w:val="0563C1"/>
            <w:sz w:val="24"/>
            <w:u w:val="single"/>
          </w:rPr>
          <w:t xml:space="preserve"> Kate Klonick </w:t>
        </w:r>
      </w:hyperlink>
    </w:p>
    <w:p>
      <w:pPr>
        <w:jc w:val="center"/>
      </w:pPr>
      <w:r>
        <w:drawing>
          <wp:inline xmlns:a="http://schemas.openxmlformats.org/drawingml/2006/main" xmlns:pic="http://schemas.openxmlformats.org/drawingml/2006/picture">
            <wp:extent cx="4762800" cy="4762800"/>
            <wp:docPr id="3" name="Picture 3"/>
            <wp:cNvGraphicFramePr>
              <a:graphicFrameLocks noChangeAspect="1"/>
            </wp:cNvGraphicFramePr>
            <a:graphic>
              <a:graphicData uri="http://schemas.openxmlformats.org/drawingml/2006/picture">
                <pic:pic>
                  <pic:nvPicPr>
                    <pic:cNvPr id="0" name="d1bd292ddec3a2aa.png"/>
                    <pic:cNvPicPr/>
                  </pic:nvPicPr>
                  <pic:blipFill>
                    <a:blip r:embed="rId18"/>
                    <a:stretch>
                      <a:fillRect/>
                    </a:stretch>
                  </pic:blipFill>
                  <pic:spPr>
                    <a:xfrm>
                      <a:off x="0" y="0"/>
                      <a:ext cx="4762800" cy="4762800"/>
                    </a:xfrm>
                    <a:prstGeom prst="rect"/>
                  </pic:spPr>
                </pic:pic>
              </a:graphicData>
            </a:graphic>
          </wp:inline>
        </w:drawing>
      </w:r>
    </w:p>
    <w:p>
      <w:pPr>
        <w:pStyle w:val="DocCaption"/>
      </w:pPr>
      <w:r>
        <w:t>图3  Kenji  Yoshino</w:t>
      </w:r>
    </w:p>
    <w:p>
      <w:pPr>
        <w:pStyle w:val="DocH1"/>
      </w:pPr>
      <w:hyperlink r:id="rId19">
        <w:r>
          <w:rPr>
            <w:rFonts w:ascii="Times New Roman" w:hAnsi="Times New Roman" w:eastAsia="宋体"/>
            <w:color w:val="0563C1"/>
            <w:sz w:val="24"/>
            <w:u w:val="single"/>
          </w:rPr>
          <w:t xml:space="preserve"> Kenji Yoshino </w:t>
        </w:r>
      </w:hyperlink>
    </w:p>
    <w:p>
      <w:pPr>
        <w:pStyle w:val="DocBody"/>
        <w:ind w:left="1106"/>
      </w:pPr>
      <w:hyperlink r:id="rId20">
        <w:r>
          <w:rPr>
            <w:rFonts w:ascii="Times New Roman" w:hAnsi="Times New Roman" w:eastAsia="宋体"/>
            <w:color w:val="0563C1"/>
            <w:sz w:val="24"/>
            <w:u w:val="single"/>
          </w:rPr>
          <w:t>Meet The Authors</w:t>
        </w:r>
      </w:hyperlink>
    </w:p>
    <w:p>
      <w:pPr>
        <w:pStyle w:val="DocBody"/>
      </w:pPr>
      <w:r>
        <w:rPr>
          <w:rFonts w:ascii="Times New Roman" w:hAnsi="Times New Roman" w:eastAsia="宋体"/>
          <w:sz w:val="24"/>
        </w:rPr>
        <w:t>Kenji Yoshino, Chief Justice Earl Warren Professor of Constitutional Law at New York University School of Law and a member of Meta’s Oversight Board, with fellow Board member Ronaldo Lemos arguing that meaningful AI oversight should feature independent and representative overseers, external standards, and transparent, reasoned decisions.</w:t>
      </w:r>
    </w:p>
    <w:p>
      <w:pPr>
        <w:pStyle w:val="DocBody"/>
      </w:pPr>
      <w:r>
        <w:rPr>
          <w:rFonts w:ascii="Times New Roman" w:hAnsi="Times New Roman" w:eastAsia="宋体"/>
          <w:sz w:val="24"/>
        </w:rPr>
        <w:t>The trio tests that proposal against some of the hardest questions raised by the Oversight Board’s own experience. Can a selective, precedent-setting institution provide meaningful oversight at AI scale? What gives a privately created board legitimacy to constrain decisions with global consequences? What powers would an AI oversight body actually need? And when does private oversight complement democratic regulation—and when might it merely give corporate power a new source of legitimacy?</w:t>
      </w:r>
    </w:p>
    <w:p>
      <w:pPr>
        <w:pStyle w:val="DocBody"/>
      </w:pPr>
      <w:r>
        <w:rPr>
          <w:rFonts w:ascii="Times New Roman" w:hAnsi="Times New Roman" w:eastAsia="宋体"/>
          <w:sz w:val="24"/>
        </w:rPr>
        <w:t xml:space="preserve">Find </w:t>
      </w:r>
      <w:r>
        <w:rPr>
          <w:rFonts w:ascii="Times New Roman" w:hAnsi="Times New Roman" w:eastAsia="宋体"/>
          <w:i/>
          <w:sz w:val="24"/>
        </w:rPr>
        <w:t>Scaling Laws</w:t>
      </w:r>
      <w:r>
        <w:rPr>
          <w:rFonts w:ascii="Times New Roman" w:hAnsi="Times New Roman" w:eastAsia="宋体"/>
          <w:sz w:val="24"/>
        </w:rPr>
        <w:t xml:space="preserve"> on the </w:t>
      </w:r>
      <w:hyperlink r:id="rId21">
        <w:r>
          <w:rPr>
            <w:rFonts w:ascii="Times New Roman" w:hAnsi="Times New Roman" w:eastAsia="宋体"/>
            <w:i/>
            <w:color w:val="0563C1"/>
            <w:sz w:val="24"/>
            <w:u w:val="single"/>
          </w:rPr>
          <w:t>Lawfare</w:t>
        </w:r>
      </w:hyperlink>
      <w:hyperlink r:id="rId21">
        <w:r>
          <w:rPr>
            <w:rFonts w:ascii="Times New Roman" w:hAnsi="Times New Roman" w:eastAsia="宋体"/>
            <w:color w:val="0563C1"/>
            <w:sz w:val="24"/>
            <w:u w:val="single"/>
          </w:rPr>
          <w:t xml:space="preserve"> website</w:t>
        </w:r>
      </w:hyperlink>
      <w:r>
        <w:rPr>
          <w:rFonts w:ascii="Times New Roman" w:hAnsi="Times New Roman" w:eastAsia="宋体"/>
          <w:sz w:val="24"/>
        </w:rPr>
        <w:t>, and to never miss an episode.</w:t>
      </w:r>
    </w:p>
    <w:p>
      <w:pPr>
        <w:pStyle w:val="DocBody"/>
      </w:pPr>
      <w:r>
        <w:rPr>
          <w:rFonts w:ascii="Times New Roman" w:hAnsi="Times New Roman" w:eastAsia="宋体"/>
          <w:sz w:val="24"/>
        </w:rPr>
        <w:t xml:space="preserve">To receive ad-free podcasts, become a </w:t>
      </w:r>
      <w:r>
        <w:rPr>
          <w:rFonts w:ascii="Times New Roman" w:hAnsi="Times New Roman" w:eastAsia="宋体"/>
          <w:i/>
          <w:sz w:val="24"/>
        </w:rPr>
        <w:t>Lawfare</w:t>
      </w:r>
      <w:r>
        <w:rPr>
          <w:rFonts w:ascii="Times New Roman" w:hAnsi="Times New Roman" w:eastAsia="宋体"/>
          <w:sz w:val="24"/>
        </w:rPr>
        <w:t xml:space="preserve"> Material Supporter at </w:t>
      </w:r>
      <w:hyperlink r:id="rId22">
        <w:r>
          <w:rPr>
            <w:rFonts w:ascii="Times New Roman" w:hAnsi="Times New Roman" w:eastAsia="宋体"/>
            <w:color w:val="0563C1"/>
            <w:sz w:val="24"/>
            <w:u w:val="single"/>
          </w:rPr>
          <w:t>www.patreon.com/lawfare</w:t>
        </w:r>
      </w:hyperlink>
      <w:r>
        <w:rPr>
          <w:rFonts w:ascii="Times New Roman" w:hAnsi="Times New Roman" w:eastAsia="宋体"/>
          <w:sz w:val="24"/>
        </w:rPr>
        <w:t xml:space="preserve">. You can also support </w:t>
      </w:r>
      <w:r>
        <w:rPr>
          <w:rFonts w:ascii="Times New Roman" w:hAnsi="Times New Roman" w:eastAsia="宋体"/>
          <w:i/>
          <w:sz w:val="24"/>
        </w:rPr>
        <w:t>Lawfare</w:t>
      </w:r>
      <w:r>
        <w:rPr>
          <w:rFonts w:ascii="Times New Roman" w:hAnsi="Times New Roman" w:eastAsia="宋体"/>
          <w:sz w:val="24"/>
        </w:rPr>
        <w:t xml:space="preserve"> by making a one-time donation at </w:t>
      </w:r>
      <w:hyperlink r:id="rId23">
        <w:r>
          <w:rPr>
            <w:rFonts w:ascii="Times New Roman" w:hAnsi="Times New Roman" w:eastAsia="宋体"/>
            <w:color w:val="0563C1"/>
            <w:sz w:val="24"/>
            <w:u w:val="single"/>
          </w:rPr>
          <w:t>https://givebutter.com/lawfare-institute</w:t>
        </w:r>
      </w:hyperlink>
      <w:r>
        <w:rPr>
          <w:rFonts w:ascii="Times New Roman" w:hAnsi="Times New Roman" w:eastAsia="宋体"/>
          <w:sz w:val="24"/>
        </w:rPr>
        <w:t>.</w:t>
      </w:r>
    </w:p>
    <w:p>
      <w:pPr>
        <w:pStyle w:val="DocBody"/>
      </w:pPr>
      <w:r>
        <w:rPr>
          <w:rFonts w:ascii="Times New Roman" w:hAnsi="Times New Roman" w:eastAsia="宋体"/>
          <w:sz w:val="24"/>
        </w:rPr>
        <w:t>Click the button below to view a transcript of this podcast. Please note that the transcript was auto-generated and may contain errors.</w:t>
      </w:r>
    </w:p>
    <w:p>
      <w:pPr>
        <w:pStyle w:val="DocH1"/>
      </w:pPr>
      <w:r>
        <w:rPr>
          <w:rFonts w:ascii="Times New Roman" w:hAnsi="Times New Roman" w:eastAsia="宋体"/>
          <w:sz w:val="24"/>
        </w:rPr>
        <w:t>Transcript</w:t>
      </w:r>
    </w:p>
    <w:p>
      <w:pPr>
        <w:pStyle w:val="DocH1"/>
      </w:pPr>
      <w:r>
        <w:rPr>
          <w:rFonts w:ascii="Times New Roman" w:hAnsi="Times New Roman" w:eastAsia="宋体"/>
          <w:i/>
          <w:sz w:val="24"/>
        </w:rPr>
        <w:t>[Intro]</w:t>
      </w:r>
    </w:p>
    <w:p>
      <w:pPr>
        <w:pStyle w:val="DocBody"/>
      </w:pPr>
      <w:r>
        <w:rPr>
          <w:rFonts w:ascii="Times New Roman" w:hAnsi="Times New Roman" w:eastAsia="宋体"/>
          <w:b/>
          <w:sz w:val="24"/>
        </w:rPr>
        <w:t>Alan Rozenshtein:</w:t>
      </w:r>
      <w:r>
        <w:rPr>
          <w:rFonts w:ascii="Times New Roman" w:hAnsi="Times New Roman" w:eastAsia="宋体"/>
          <w:sz w:val="24"/>
        </w:rPr>
        <w:t xml:space="preserve"> It's the </w:t>
      </w:r>
      <w:r>
        <w:rPr>
          <w:rFonts w:ascii="Times New Roman" w:hAnsi="Times New Roman" w:eastAsia="宋体"/>
          <w:i/>
          <w:sz w:val="24"/>
        </w:rPr>
        <w:t>Lawfare Podcast</w:t>
      </w:r>
      <w:r>
        <w:rPr>
          <w:rFonts w:ascii="Times New Roman" w:hAnsi="Times New Roman" w:eastAsia="宋体"/>
          <w:sz w:val="24"/>
        </w:rPr>
        <w:t xml:space="preserve">. I'm Alan Rozenshtein, associate professor of law at the University of Minnesota and a senior editor and research director at </w:t>
      </w:r>
      <w:r>
        <w:rPr>
          <w:rFonts w:ascii="Times New Roman" w:hAnsi="Times New Roman" w:eastAsia="宋体"/>
          <w:i/>
          <w:sz w:val="24"/>
        </w:rPr>
        <w:t>Lawfare</w:t>
      </w:r>
      <w:r>
        <w:rPr>
          <w:rFonts w:ascii="Times New Roman" w:hAnsi="Times New Roman" w:eastAsia="宋体"/>
          <w:sz w:val="24"/>
        </w:rPr>
        <w:t xml:space="preserve">. Today, we're bringing you something a little different, an episode from our new podcast series, </w:t>
      </w:r>
      <w:r>
        <w:rPr>
          <w:rFonts w:ascii="Times New Roman" w:hAnsi="Times New Roman" w:eastAsia="宋体"/>
          <w:i/>
          <w:sz w:val="24"/>
        </w:rPr>
        <w:t>Scaling Laws</w:t>
      </w:r>
      <w:r>
        <w:rPr>
          <w:rFonts w:ascii="Times New Roman" w:hAnsi="Times New Roman" w:eastAsia="宋体"/>
          <w:sz w:val="24"/>
        </w:rPr>
        <w:t xml:space="preserve">. It's a creation of </w:t>
      </w:r>
      <w:r>
        <w:rPr>
          <w:rFonts w:ascii="Times New Roman" w:hAnsi="Times New Roman" w:eastAsia="宋体"/>
          <w:i/>
          <w:sz w:val="24"/>
        </w:rPr>
        <w:t>Lawfare</w:t>
      </w:r>
      <w:r>
        <w:rPr>
          <w:rFonts w:ascii="Times New Roman" w:hAnsi="Times New Roman" w:eastAsia="宋体"/>
          <w:sz w:val="24"/>
        </w:rPr>
        <w:t xml:space="preserve"> and the University of Texas School of Law, where we're tackling the most important AI and policy questions, from new legislation on Capitol Hill to the latest breakthroughs that are happening in the labs. We cut through the hype to get you up to speed on the rules, standards, and ideas shaping the future of this pivotal technology. If you enjoy this episode, you can find and </w:t>
      </w:r>
      <w:hyperlink r:id="rId24">
        <w:r>
          <w:rPr>
            <w:rFonts w:ascii="Times New Roman" w:hAnsi="Times New Roman" w:eastAsia="宋体"/>
            <w:color w:val="0563C1"/>
            <w:sz w:val="24"/>
            <w:u w:val="single"/>
          </w:rPr>
          <w:t xml:space="preserve"> Back to Top </w:t>
        </w:r>
      </w:hyperlink>
    </w:p>
    <w:p>
      <w:pPr>
        <w:jc w:val="center"/>
      </w:pPr>
      <w:r>
        <w:drawing>
          <wp:inline xmlns:a="http://schemas.openxmlformats.org/drawingml/2006/main" xmlns:pic="http://schemas.openxmlformats.org/drawingml/2006/picture">
            <wp:extent cx="1904400" cy="2380500"/>
            <wp:docPr id="4" name="Picture 4"/>
            <wp:cNvGraphicFramePr>
              <a:graphicFrameLocks noChangeAspect="1"/>
            </wp:cNvGraphicFramePr>
            <a:graphic>
              <a:graphicData uri="http://schemas.openxmlformats.org/drawingml/2006/picture">
                <pic:pic>
                  <pic:nvPicPr>
                    <pic:cNvPr id="0" name="a412edf45953006d.png"/>
                    <pic:cNvPicPr/>
                  </pic:nvPicPr>
                  <pic:blipFill>
                    <a:blip r:embed="rId12"/>
                    <a:stretch>
                      <a:fillRect/>
                    </a:stretch>
                  </pic:blipFill>
                  <pic:spPr>
                    <a:xfrm>
                      <a:off x="0" y="0"/>
                      <a:ext cx="1904400" cy="2380500"/>
                    </a:xfrm>
                    <a:prstGeom prst="rect"/>
                  </pic:spPr>
                </pic:pic>
              </a:graphicData>
            </a:graphic>
          </wp:inline>
        </w:drawing>
      </w:r>
    </w:p>
    <w:p>
      <w:pPr>
        <w:pStyle w:val="DocCaption"/>
      </w:pPr>
      <w:r>
        <w:t>图4  Kevin  Frazier</w:t>
      </w:r>
    </w:p>
    <w:p>
      <w:pPr>
        <w:pStyle w:val="DocH1"/>
      </w:pPr>
      <w:hyperlink r:id="rId13">
        <w:r>
          <w:rPr>
            <w:rFonts w:ascii="Times New Roman" w:hAnsi="Times New Roman" w:eastAsia="宋体"/>
            <w:color w:val="0563C1"/>
            <w:sz w:val="24"/>
            <w:u w:val="single"/>
          </w:rPr>
          <w:t>Kevin Frazier</w:t>
        </w:r>
      </w:hyperlink>
      <w:r>
        <w:rPr>
          <w:rFonts w:ascii="Times New Roman" w:hAnsi="Times New Roman" w:eastAsia="宋体"/>
          <w:sz w:val="24"/>
        </w:rPr>
        <w:t xml:space="preserve">Kevin Frazier is a senior editor at </w:t>
      </w:r>
      <w:r>
        <w:rPr>
          <w:rFonts w:ascii="Times New Roman" w:hAnsi="Times New Roman" w:eastAsia="宋体"/>
          <w:i/>
          <w:sz w:val="24"/>
        </w:rPr>
        <w:t>Lawfare</w:t>
      </w:r>
      <w:r>
        <w:rPr>
          <w:rFonts w:ascii="Times New Roman" w:hAnsi="Times New Roman" w:eastAsia="宋体"/>
          <w:sz w:val="24"/>
        </w:rPr>
        <w:t xml:space="preserve"> and the Director of the AI Innovation and Law Program at the University of Texas School of Law.</w:t>
      </w:r>
    </w:p>
    <w:p>
      <w:pPr>
        <w:jc w:val="center"/>
      </w:pPr>
      <w:r>
        <w:drawing>
          <wp:inline xmlns:a="http://schemas.openxmlformats.org/drawingml/2006/main" xmlns:pic="http://schemas.openxmlformats.org/drawingml/2006/picture">
            <wp:extent cx="5400000" cy="5173242"/>
            <wp:docPr id="5" name="Picture 5"/>
            <wp:cNvGraphicFramePr>
              <a:graphicFrameLocks noChangeAspect="1"/>
            </wp:cNvGraphicFramePr>
            <a:graphic>
              <a:graphicData uri="http://schemas.openxmlformats.org/drawingml/2006/picture">
                <pic:pic>
                  <pic:nvPicPr>
                    <pic:cNvPr id="0" name="f78698c50fcf8bb7.jpg"/>
                    <pic:cNvPicPr/>
                  </pic:nvPicPr>
                  <pic:blipFill>
                    <a:blip r:embed="rId16"/>
                    <a:stretch>
                      <a:fillRect/>
                    </a:stretch>
                  </pic:blipFill>
                  <pic:spPr>
                    <a:xfrm>
                      <a:off x="0" y="0"/>
                      <a:ext cx="5400000" cy="5173242"/>
                    </a:xfrm>
                    <a:prstGeom prst="rect"/>
                  </pic:spPr>
                </pic:pic>
              </a:graphicData>
            </a:graphic>
          </wp:inline>
        </w:drawing>
      </w:r>
    </w:p>
    <w:p>
      <w:pPr>
        <w:pStyle w:val="DocCaption"/>
      </w:pPr>
      <w:r>
        <w:t>图5  Kate  Klonick</w:t>
      </w:r>
    </w:p>
    <w:p>
      <w:pPr>
        <w:pStyle w:val="DocH1"/>
      </w:pPr>
      <w:hyperlink r:id="rId17">
        <w:r>
          <w:rPr>
            <w:rFonts w:ascii="Times New Roman" w:hAnsi="Times New Roman" w:eastAsia="宋体"/>
            <w:color w:val="0563C1"/>
            <w:sz w:val="24"/>
            <w:u w:val="single"/>
          </w:rPr>
          <w:t>Kate Klonick</w:t>
        </w:r>
      </w:hyperlink>
    </w:p>
    <w:p>
      <w:pPr>
        <w:pStyle w:val="DocBody"/>
      </w:pPr>
      <w:hyperlink r:id="rId17">
        <w:r>
          <w:rPr>
            <w:rFonts w:ascii="Times New Roman" w:hAnsi="Times New Roman" w:eastAsia="宋体"/>
            <w:color w:val="0563C1"/>
            <w:sz w:val="24"/>
            <w:u w:val="single"/>
          </w:rPr>
          <w:t xml:space="preserve"> Read More </w:t>
        </w:r>
      </w:hyperlink>
    </w:p>
    <w:p>
      <w:pPr>
        <w:pStyle w:val="DocBody"/>
      </w:pPr>
      <w:r>
        <w:rPr>
          <w:rFonts w:ascii="Times New Roman" w:hAnsi="Times New Roman" w:eastAsia="宋体"/>
          <w:sz w:val="24"/>
        </w:rPr>
        <w:t>Kate Klonick is an Associate Professor at St. John’s University Law School, a fellow at the Brookings Institution, Yale Law School’s Information Society Project, Harvard Berkman Klein Center and a Distinguished Scholar at the Institute for Humane Studies. Her writing on online speech, freedom of expression, and private internet platform governance has appeared in the Harvard Law Review, Yale Law Journal, The New Yorker, the New York Times, The Atlantic, the Washington Post and numerous other publications. For the 2023-2024 academic year, she was a Fulbright Schuman Innovation Scholar in the European Union where she was a Visiting Professor at SciencesPo and University of Amsterdam researching and writing about the Digital Services Act and Digital Markets Act.</w:t>
      </w:r>
    </w:p>
    <w:p>
      <w:pPr>
        <w:jc w:val="center"/>
      </w:pPr>
      <w:r>
        <w:drawing>
          <wp:inline xmlns:a="http://schemas.openxmlformats.org/drawingml/2006/main" xmlns:pic="http://schemas.openxmlformats.org/drawingml/2006/picture">
            <wp:extent cx="4762800" cy="4762800"/>
            <wp:docPr id="6" name="Picture 6"/>
            <wp:cNvGraphicFramePr>
              <a:graphicFrameLocks noChangeAspect="1"/>
            </wp:cNvGraphicFramePr>
            <a:graphic>
              <a:graphicData uri="http://schemas.openxmlformats.org/drawingml/2006/picture">
                <pic:pic>
                  <pic:nvPicPr>
                    <pic:cNvPr id="0" name="d1bd292ddec3a2aa.png"/>
                    <pic:cNvPicPr/>
                  </pic:nvPicPr>
                  <pic:blipFill>
                    <a:blip r:embed="rId18"/>
                    <a:stretch>
                      <a:fillRect/>
                    </a:stretch>
                  </pic:blipFill>
                  <pic:spPr>
                    <a:xfrm>
                      <a:off x="0" y="0"/>
                      <a:ext cx="4762800" cy="4762800"/>
                    </a:xfrm>
                    <a:prstGeom prst="rect"/>
                  </pic:spPr>
                </pic:pic>
              </a:graphicData>
            </a:graphic>
          </wp:inline>
        </w:drawing>
      </w:r>
    </w:p>
    <w:p>
      <w:pPr>
        <w:pStyle w:val="DocCaption"/>
      </w:pPr>
      <w:r>
        <w:t>图6  Kenji  Yoshino</w:t>
      </w:r>
    </w:p>
    <w:p>
      <w:pPr>
        <w:pStyle w:val="DocH1"/>
      </w:pPr>
      <w:hyperlink r:id="rId19">
        <w:r>
          <w:rPr>
            <w:rFonts w:ascii="Times New Roman" w:hAnsi="Times New Roman" w:eastAsia="宋体"/>
            <w:color w:val="0563C1"/>
            <w:sz w:val="24"/>
            <w:u w:val="single"/>
          </w:rPr>
          <w:t>Kenji Yoshino</w:t>
        </w:r>
      </w:hyperlink>
    </w:p>
    <w:p>
      <w:pPr>
        <w:pStyle w:val="DocBody"/>
      </w:pPr>
      <w:hyperlink r:id="rId19">
        <w:r>
          <w:rPr>
            <w:rFonts w:ascii="Times New Roman" w:hAnsi="Times New Roman" w:eastAsia="宋体"/>
            <w:color w:val="0563C1"/>
            <w:sz w:val="24"/>
            <w:u w:val="single"/>
          </w:rPr>
          <w:t xml:space="preserve"> Read More </w:t>
        </w:r>
      </w:hyperlink>
    </w:p>
    <w:p>
      <w:pPr>
        <w:pStyle w:val="DocBody"/>
      </w:pPr>
      <w:r>
        <w:rPr>
          <w:rFonts w:ascii="Times New Roman" w:hAnsi="Times New Roman" w:eastAsia="宋体"/>
          <w:sz w:val="24"/>
        </w:rPr>
        <w:t>Kenji Yoshino is the Chief Justice Earl Warren Professor of Constitutional Law at New York University School of Law and a member of Meta’s Oversight Board.</w:t>
      </w:r>
    </w:p>
    <w:p>
      <w:pPr>
        <w:pStyle w:val="DocBody"/>
      </w:pPr>
      <w:r>
        <w:rPr>
          <w:rFonts w:ascii="Times New Roman" w:hAnsi="Times New Roman" w:eastAsia="宋体"/>
          <w:sz w:val="24"/>
        </w:rPr>
        <w:t>}</w:t>
      </w:r>
    </w:p>
    <w:p>
      <w:pPr>
        <w:pStyle w:val="DocH1"/>
      </w:pPr>
      <w:r>
        <w:rPr>
          <w:rFonts w:ascii="Times New Roman" w:hAnsi="Times New Roman" w:eastAsia="宋体"/>
          <w:sz w:val="24"/>
        </w:rPr>
        <w:t>More Articles</w:t>
      </w:r>
    </w:p>
    <w:p>
      <w:pPr>
        <w:jc w:val="center"/>
      </w:pPr>
      <w:r>
        <w:rPr>
          <w:rFonts w:ascii="Times New Roman" w:hAnsi="Times New Roman" w:eastAsia="宋体"/>
          <w:i/>
          <w:color w:val="595959"/>
          <w:sz w:val="21"/>
        </w:rPr>
        <w:t>［原图未能获取：https://www.lawfaremedia.org/article/scaling-laws--is-meta's-oversight-board-a-model-for-ai-governan］</w:t>
      </w:r>
    </w:p>
    <w:p>
      <w:pPr>
        <w:pStyle w:val="DocH1"/>
      </w:pPr>
      <w:hyperlink r:id="rId25">
        <w:r>
          <w:rPr>
            <w:rFonts w:ascii="Times New Roman" w:hAnsi="Times New Roman" w:eastAsia="宋体"/>
            <w:color w:val="0563C1"/>
            <w:sz w:val="24"/>
            <w:u w:val="single"/>
          </w:rPr>
          <w:t xml:space="preserve"> Invisible Source Skew </w:t>
        </w:r>
      </w:hyperlink>
    </w:p>
    <w:p>
      <w:pPr>
        <w:pStyle w:val="DocBody"/>
      </w:pPr>
      <w:hyperlink r:id="rId17">
        <w:r>
          <w:rPr>
            <w:rFonts w:ascii="Times New Roman" w:hAnsi="Times New Roman" w:eastAsia="宋体"/>
            <w:color w:val="0563C1"/>
            <w:sz w:val="24"/>
            <w:u w:val="single"/>
          </w:rPr>
          <w:t xml:space="preserve"> Kate Klonick </w:t>
        </w:r>
      </w:hyperlink>
      <w:r>
        <w:rPr>
          <w:rFonts w:ascii="Times New Roman" w:hAnsi="Times New Roman" w:eastAsia="宋体"/>
          <w:sz w:val="24"/>
        </w:rPr>
        <w:t xml:space="preserve"> </w:t>
      </w:r>
      <w:hyperlink r:id="rId26">
        <w:r>
          <w:rPr>
            <w:rFonts w:ascii="Times New Roman" w:hAnsi="Times New Roman" w:eastAsia="宋体"/>
            <w:color w:val="0563C1"/>
            <w:sz w:val="24"/>
            <w:u w:val="single"/>
          </w:rPr>
          <w:t xml:space="preserve"> Renée DiResta </w:t>
        </w:r>
      </w:hyperlink>
    </w:p>
    <w:p>
      <w:pPr>
        <w:pStyle w:val="DocBody"/>
      </w:pPr>
      <w:r>
        <w:rPr>
          <w:rFonts w:ascii="Times New Roman" w:hAnsi="Times New Roman" w:eastAsia="宋体"/>
          <w:sz w:val="24"/>
        </w:rPr>
        <w:t>Aug 28, 2026 Our information flows aren’t just threatened by slop or foreign actors. They're being reshaped by invisible decisions from AI companies.</w:t>
      </w:r>
    </w:p>
    <w:p>
      <w:pPr>
        <w:jc w:val="center"/>
      </w:pPr>
      <w:r>
        <w:rPr>
          <w:rFonts w:ascii="Times New Roman" w:hAnsi="Times New Roman" w:eastAsia="宋体"/>
          <w:i/>
          <w:color w:val="595959"/>
          <w:sz w:val="21"/>
        </w:rPr>
        <w:t>［原图未能获取：https://www.lawfaremedia.org/article/scaling-laws--is-meta's-oversight-board-a-model-for-ai-governan］</w:t>
      </w:r>
    </w:p>
    <w:p>
      <w:pPr>
        <w:pStyle w:val="DocH1"/>
      </w:pPr>
      <w:hyperlink r:id="rId27">
        <w:r>
          <w:rPr>
            <w:rFonts w:ascii="Times New Roman" w:hAnsi="Times New Roman" w:eastAsia="宋体"/>
            <w:color w:val="0563C1"/>
            <w:sz w:val="24"/>
            <w:u w:val="single"/>
          </w:rPr>
          <w:t xml:space="preserve"> U.K. Supreme Court Opens Door for Spyware Victims to Sue Foreign States </w:t>
        </w:r>
      </w:hyperlink>
    </w:p>
    <w:p>
      <w:pPr>
        <w:pStyle w:val="DocBody"/>
      </w:pPr>
      <w:hyperlink r:id="rId28">
        <w:r>
          <w:rPr>
            <w:rFonts w:ascii="Times New Roman" w:hAnsi="Times New Roman" w:eastAsia="宋体"/>
            <w:color w:val="0563C1"/>
            <w:sz w:val="24"/>
            <w:u w:val="single"/>
          </w:rPr>
          <w:t xml:space="preserve"> Siena Anstis </w:t>
        </w:r>
      </w:hyperlink>
      <w:r>
        <w:rPr>
          <w:rFonts w:ascii="Times New Roman" w:hAnsi="Times New Roman" w:eastAsia="宋体"/>
          <w:sz w:val="24"/>
        </w:rPr>
        <w:t xml:space="preserve"> </w:t>
      </w:r>
      <w:hyperlink r:id="rId29">
        <w:r>
          <w:rPr>
            <w:rFonts w:ascii="Times New Roman" w:hAnsi="Times New Roman" w:eastAsia="宋体"/>
            <w:color w:val="0563C1"/>
            <w:sz w:val="24"/>
            <w:u w:val="single"/>
          </w:rPr>
          <w:t xml:space="preserve"> Natalia Krapiva </w:t>
        </w:r>
      </w:hyperlink>
      <w:r>
        <w:rPr>
          <w:rFonts w:ascii="Times New Roman" w:hAnsi="Times New Roman" w:eastAsia="宋体"/>
          <w:sz w:val="24"/>
        </w:rPr>
        <w:t xml:space="preserve"> </w:t>
      </w:r>
      <w:hyperlink r:id="rId30">
        <w:r>
          <w:rPr>
            <w:rFonts w:ascii="Times New Roman" w:hAnsi="Times New Roman" w:eastAsia="宋体"/>
            <w:color w:val="0563C1"/>
            <w:sz w:val="24"/>
            <w:u w:val="single"/>
          </w:rPr>
          <w:t xml:space="preserve"> Kate Pundyk </w:t>
        </w:r>
      </w:hyperlink>
    </w:p>
    <w:p>
      <w:pPr>
        <w:pStyle w:val="DocBody"/>
      </w:pPr>
      <w:r>
        <w:rPr>
          <w:rFonts w:ascii="Times New Roman" w:hAnsi="Times New Roman" w:eastAsia="宋体"/>
          <w:sz w:val="24"/>
        </w:rPr>
        <w:t>Aug 28, 2026 The Kingdom of Bahrain cannot claim immunity from a suit by exiled dissidents over harm caused by spyware surveillance on U.K. soil.</w:t>
      </w:r>
    </w:p>
    <w:p>
      <w:pPr>
        <w:jc w:val="center"/>
      </w:pPr>
      <w:r>
        <w:rPr>
          <w:rFonts w:ascii="Times New Roman" w:hAnsi="Times New Roman" w:eastAsia="宋体"/>
          <w:i/>
          <w:color w:val="595959"/>
          <w:sz w:val="21"/>
        </w:rPr>
        <w:t>［原图未能获取：https://www.lawfaremedia.org/article/scaling-laws--is-meta's-oversight-board-a-model-for-ai-governan］</w:t>
      </w:r>
    </w:p>
    <w:p>
      <w:pPr>
        <w:pStyle w:val="DocH1"/>
      </w:pPr>
      <w:hyperlink r:id="rId31">
        <w:r>
          <w:rPr>
            <w:rFonts w:ascii="Times New Roman" w:hAnsi="Times New Roman" w:eastAsia="宋体"/>
            <w:color w:val="0563C1"/>
            <w:sz w:val="24"/>
            <w:u w:val="single"/>
          </w:rPr>
          <w:t xml:space="preserve"> Scaling Laws, Founders &amp; Founders: Brandon Mitchell of WriteSea </w:t>
        </w:r>
      </w:hyperlink>
    </w:p>
    <w:p>
      <w:pPr>
        <w:pStyle w:val="DocBody"/>
      </w:pPr>
      <w:hyperlink r:id="rId13">
        <w:r>
          <w:rPr>
            <w:rFonts w:ascii="Times New Roman" w:hAnsi="Times New Roman" w:eastAsia="宋体"/>
            <w:color w:val="0563C1"/>
            <w:sz w:val="24"/>
            <w:u w:val="single"/>
          </w:rPr>
          <w:t xml:space="preserve"> Kevin Frazier </w:t>
        </w:r>
      </w:hyperlink>
      <w:r>
        <w:rPr>
          <w:rFonts w:ascii="Times New Roman" w:hAnsi="Times New Roman" w:eastAsia="宋体"/>
          <w:sz w:val="24"/>
        </w:rPr>
        <w:t xml:space="preserve"> </w:t>
      </w:r>
      <w:hyperlink r:id="rId32">
        <w:r>
          <w:rPr>
            <w:rFonts w:ascii="Times New Roman" w:hAnsi="Times New Roman" w:eastAsia="宋体"/>
            <w:color w:val="0563C1"/>
            <w:sz w:val="24"/>
            <w:u w:val="single"/>
          </w:rPr>
          <w:t xml:space="preserve"> Brandon Mitchell </w:t>
        </w:r>
      </w:hyperlink>
    </w:p>
    <w:p>
      <w:pPr>
        <w:pStyle w:val="DocBody"/>
      </w:pPr>
      <w:r>
        <w:rPr>
          <w:rFonts w:ascii="Times New Roman" w:hAnsi="Times New Roman" w:eastAsia="宋体"/>
          <w:sz w:val="24"/>
        </w:rPr>
        <w:t>Aug 28, 2026</w:t>
      </w:r>
    </w:p>
    <w:p>
      <w:pPr>
        <w:pStyle w:val="DocH1"/>
      </w:pPr>
      <w:r>
        <w:rPr>
          <w:rFonts w:ascii="Times New Roman" w:hAnsi="Times New Roman" w:eastAsia="宋体"/>
          <w:sz w:val="24"/>
        </w:rPr>
        <w:t>Other Topics</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pStyle w:val="DocH2"/>
      </w:pP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B006-010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awfaremedia.org/article/scaling-laws--is-meta's-oversight-board-a-model-for-ai-governance" TargetMode="External"/><Relationship Id="rId12" Type="http://schemas.openxmlformats.org/officeDocument/2006/relationships/image" Target="media/image1.png"/><Relationship Id="rId13" Type="http://schemas.openxmlformats.org/officeDocument/2006/relationships/hyperlink" Target="https://www.lawfaremedia.org/contributors/kfrazier" TargetMode="External"/><Relationship Id="rId14" Type="http://schemas.openxmlformats.org/officeDocument/2006/relationships/hyperlink" Target="https://twitter.com/@kevintfrazier" TargetMode="External"/><Relationship Id="rId15" Type="http://schemas.openxmlformats.org/officeDocument/2006/relationships/hyperlink" Target="https://bsky.app/profile/kevintfrazier.bsky.social" TargetMode="External"/><Relationship Id="rId16" Type="http://schemas.openxmlformats.org/officeDocument/2006/relationships/image" Target="media/image2.jpg"/><Relationship Id="rId17" Type="http://schemas.openxmlformats.org/officeDocument/2006/relationships/hyperlink" Target="https://www.lawfaremedia.org/contributors/kklonick" TargetMode="External"/><Relationship Id="rId18" Type="http://schemas.openxmlformats.org/officeDocument/2006/relationships/image" Target="media/image3.png"/><Relationship Id="rId19" Type="http://schemas.openxmlformats.org/officeDocument/2006/relationships/hyperlink" Target="https://www.lawfaremedia.org/contributors/koshino" TargetMode="External"/><Relationship Id="rId20" Type="http://schemas.openxmlformats.org/officeDocument/2006/relationships/hyperlink" Target="https://www.lawfaremedia.org/article/scaling-laws--is-meta's-oversight-board-a-model-for-ai-governance#postContributors" TargetMode="External"/><Relationship Id="rId21" Type="http://schemas.openxmlformats.org/officeDocument/2006/relationships/hyperlink" Target="https://www.lawfaremedia.org/podcasts-multimedia/podcast/scaling-laws" TargetMode="External"/><Relationship Id="rId22" Type="http://schemas.openxmlformats.org/officeDocument/2006/relationships/hyperlink" Target="http://www.patreon.com/lawfare" TargetMode="External"/><Relationship Id="rId23" Type="http://schemas.openxmlformats.org/officeDocument/2006/relationships/hyperlink" Target="https://givebutter.com/lawfare-institute" TargetMode="External"/><Relationship Id="rId24" Type="http://schemas.openxmlformats.org/officeDocument/2006/relationships/hyperlink" Target="https://www.lawfaremedia.org/article/scaling-laws--is-meta's-oversight-board-a-model-for-ai-governance#site-main" TargetMode="External"/><Relationship Id="rId25" Type="http://schemas.openxmlformats.org/officeDocument/2006/relationships/hyperlink" Target="https://www.lawfaremedia.org/article/invisible-source-skew" TargetMode="External"/><Relationship Id="rId26" Type="http://schemas.openxmlformats.org/officeDocument/2006/relationships/hyperlink" Target="https://www.lawfaremedia.org/contributors/rdiresta" TargetMode="External"/><Relationship Id="rId27" Type="http://schemas.openxmlformats.org/officeDocument/2006/relationships/hyperlink" Target="https://www.lawfaremedia.org/article/u.k.-supreme-court-opens-door-for-spyware-victims-to-sue-foreign-states" TargetMode="External"/><Relationship Id="rId28" Type="http://schemas.openxmlformats.org/officeDocument/2006/relationships/hyperlink" Target="https://www.lawfaremedia.org/contributors/sanstis" TargetMode="External"/><Relationship Id="rId29" Type="http://schemas.openxmlformats.org/officeDocument/2006/relationships/hyperlink" Target="https://www.lawfaremedia.org/contributors/nkrapiva" TargetMode="External"/><Relationship Id="rId30" Type="http://schemas.openxmlformats.org/officeDocument/2006/relationships/hyperlink" Target="https://www.lawfaremedia.org/contributors/kpundyk" TargetMode="External"/><Relationship Id="rId31" Type="http://schemas.openxmlformats.org/officeDocument/2006/relationships/hyperlink" Target="https://www.lawfaremedia.org/article/scaling-laws--founders---founders--brandon-mitchell-of-writesea" TargetMode="External"/><Relationship Id="rId32" Type="http://schemas.openxmlformats.org/officeDocument/2006/relationships/hyperlink" Target="https://www.lawfaremedia.org/contributors/bmitch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Scaling Laws: Is Meta's Oversight Board a Model for AI Governance?</dc:title>
  <dc:subject/>
  <dc:creator>briefing-article-kb</dc:creator>
  <cp:keywords/>
  <dc:description>https://www.lawfaremedia.org/article/scaling-laws--is-meta's-oversight-board-a-model-for-ai-governance</dc:description>
  <cp:lastModifiedBy/>
  <cp:revision>1</cp:revision>
  <dcterms:created xsi:type="dcterms:W3CDTF">2013-12-23T23:15:00Z</dcterms:created>
  <dcterms:modified xsi:type="dcterms:W3CDTF">2013-12-23T23:15:00Z</dcterms:modified>
  <cp:category/>
</cp:coreProperties>
</file>