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B007-006</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RAND（RAND Corporation - Research Reports）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2026-08-31</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Tax Policy Options to Promote Employment and Mitigate Federal Revenue Impacts in the Age of AI</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https://www.rand.org/pubs/perspectives/PEA4392-3.html</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B007（2026-08-31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B007-006-Rand corporation - research reports -tax-policy-options-to-promote-employment-and-mit-202608.md</w:t>
            </w:r>
          </w:p>
        </w:tc>
      </w:tr>
    </w:tbl>
    <w:p/>
    <w:p>
      <w:pPr>
        <w:pStyle w:val="DocTitle"/>
      </w:pPr>
      <w:r>
        <w:t>Tax Policy Options to Promote Employment and Mitigate Federal Revenue Impacts in the Age of AI</w:t>
      </w:r>
    </w:p>
    <w:p>
      <w:pPr>
        <w:pStyle w:val="DocH1"/>
      </w:pPr>
      <w:r>
        <w:rPr>
          <w:rFonts w:ascii="Times New Roman" w:hAnsi="Times New Roman" w:eastAsia="宋体"/>
          <w:sz w:val="24"/>
        </w:rPr>
        <w:t>Full Report (PDF followed)</w:t>
      </w:r>
    </w:p>
    <w:p>
      <w:pPr>
        <w:pStyle w:val="DocBody"/>
        <w:ind w:left="510"/>
      </w:pPr>
      <w:r>
        <w:rPr>
          <w:rFonts w:ascii="Times New Roman" w:hAnsi="Times New Roman" w:eastAsia="宋体"/>
          <w:sz w:val="24"/>
        </w:rPr>
        <w:t>Source PDF: https://www.rand.org/content/dam/rand/pubs/perspectives/PEA4300/PEA4392-3/RAND_PEA4392-3.pdf</w:t>
      </w:r>
    </w:p>
    <w:p>
      <w:pPr>
        <w:pStyle w:val="DocBody"/>
        <w:ind w:left="510"/>
      </w:pPr>
      <w:r>
        <w:rPr>
          <w:rFonts w:ascii="Times New Roman" w:hAnsi="Times New Roman" w:eastAsia="宋体"/>
          <w:sz w:val="24"/>
        </w:rPr>
        <w:t>抓取自介绍页: https://www.rand.org/pubs/perspectives/PEA4392-3.html</w:t>
      </w:r>
    </w:p>
    <w:p>
      <w:pPr>
        <w:pStyle w:val="DocBody"/>
      </w:pPr>
      <w:r>
        <w:rPr>
          <w:rFonts w:ascii="Times New Roman" w:hAnsi="Times New Roman" w:eastAsia="宋体"/>
          <w:sz w:val="24"/>
        </w:rPr>
        <w:t>A rtificial intelligence (AI) may put pressure on the U.S. workforce by replacing knowledge workers in the near term, and AI-empowered robot- ics could expand to many skilled physical labor roles.1 Among the many profound implications of AI displacing workers is a systemic threat to the U.S. government’s source of revenue. Currently, about two-thirds of federal revenue comes from labor in the form of payroll taxes and federal income tax. The rest comes from either consumption or capital.</w:t>
      </w:r>
    </w:p>
    <w:p>
      <w:pPr>
        <w:pStyle w:val="DocBody"/>
      </w:pPr>
      <w:r>
        <w:rPr>
          <w:rFonts w:ascii="Times New Roman" w:hAnsi="Times New Roman" w:eastAsia="宋体"/>
          <w:sz w:val="24"/>
        </w:rPr>
        <w:t>Furthermore, portions of the tax system may exacerbate the labor risks from AI by penalizing employment. In this analysis, we identify the tax policies that penalize employment, explore the components of a tax system that broadens the base, and describe a revenue approach that is resilient to AI-driven labor displace- ment. Considering an environment in which AI may put pressure on the value of human labor, we identify six tax policy changes that could alleviate the bias against human labor in the tax code.</w:t>
      </w:r>
    </w:p>
    <w:p>
      <w:pPr>
        <w:pStyle w:val="DocBody"/>
      </w:pPr>
      <w:r>
        <w:rPr>
          <w:rFonts w:ascii="Times New Roman" w:hAnsi="Times New Roman" w:eastAsia="宋体"/>
          <w:sz w:val="24"/>
        </w:rPr>
        <w:t>CARTER C. PRICE, JEFFREY B. WENGER Tax Policy Options to Promote Employment and Mitigate Federal Revenue Impacts in the Age of AI Expert Insights PERSPECTIVE ON A TIMELY POLICY ISSUE August 2026</w:t>
      </w:r>
    </w:p>
    <w:p>
      <w:pPr>
        <w:pStyle w:val="DocBody"/>
      </w:pPr>
      <w:r>
        <w:rPr>
          <w:rFonts w:ascii="Times New Roman" w:hAnsi="Times New Roman" w:eastAsia="宋体"/>
          <w:sz w:val="24"/>
        </w:rPr>
        <w:t>Key Takeaways Artificial intelligence (AI)–driven automation threatens to shift income from labor to capital at precisely the moment when two- thirds of federal tax revenue depends on labor income. The tax code compounds this risk by taxing capital income at pref- erential rates and penalizing employment through employer-side payroll taxes (see Price and Suresh, 2026). This shift could substantially reduce federal revenue because 65 percent of federal revenue is tied to human labor. In this paper, we examine options for maintaining federal revenue while keeping human labor competitive.</w:t>
      </w:r>
    </w:p>
    <w:p>
      <w:pPr>
        <w:pStyle w:val="DocBody"/>
      </w:pPr>
      <w:r>
        <w:rPr>
          <w:rFonts w:ascii="Times New Roman" w:hAnsi="Times New Roman" w:eastAsia="宋体"/>
          <w:sz w:val="24"/>
        </w:rPr>
        <w:t>We propose a six-category framework to identify which parts of the tax code exacerbate this risk, which parts are resilient to it, and what reforms could stabilize revenue while protecting the demand for human labor. We offer the following options based on the framework, and each involves trade-offs in revenue, growth, and feasibility.</w:t>
      </w:r>
    </w:p>
    <w:p>
      <w:pPr>
        <w:pStyle w:val="DocBody"/>
      </w:pPr>
      <w:r>
        <w:rPr>
          <w:rFonts w:ascii="Times New Roman" w:hAnsi="Times New Roman" w:eastAsia="宋体"/>
          <w:sz w:val="24"/>
        </w:rPr>
        <w:t>Options to Alter the Tax Code to Raise Labor Demand •  Replace payroll taxes with business income taxes: Payroll taxes on employers reduce employer demand for labor.</w:t>
      </w:r>
    </w:p>
    <w:p>
      <w:pPr>
        <w:pStyle w:val="DocBody"/>
      </w:pPr>
      <w:r>
        <w:rPr>
          <w:rFonts w:ascii="Times New Roman" w:hAnsi="Times New Roman" w:eastAsia="宋体"/>
          <w:sz w:val="24"/>
        </w:rPr>
        <w:t>Replacing those payroll taxes with business income taxes would eliminate one tax penalty for hiring workers and could be designed to be deficit neutral or raise additional revenue.a •  Establish a progressive corporate tax on per-capita profits: Corporate profits are taxed at effective rates well below the statutory 21-percent corporate rate because of avoidance mechanisms, such as intellectual property shifting. A progressive tax on per-employee profits would target excess returns while structuring business incentives to favor employee retention.</w:t>
      </w:r>
    </w:p>
    <w:p>
      <w:pPr>
        <w:pStyle w:val="DocBody"/>
      </w:pPr>
      <w:r>
        <w:rPr>
          <w:rFonts w:ascii="Times New Roman" w:hAnsi="Times New Roman" w:eastAsia="宋体"/>
          <w:sz w:val="24"/>
        </w:rPr>
        <w:t>Options to Replace Tax Revenue from Lost Labor Income •  Tax long-term capital gains at ordinary income rates: Long-term capital gains tax rates are capped at 20 percent versus 37 percent for labor income, meaning that as AI shifts income from labor to capital, the effective tax rate on national income will fall automatically. Raising long-term capital gains taxes to the rate of income tax could raise an estimated $100 billion or more annually while altering the distribution of the tax burden and potentially increasing avoidance.</w:t>
      </w:r>
    </w:p>
    <w:p>
      <w:pPr>
        <w:pStyle w:val="DocBody"/>
      </w:pPr>
      <w:r>
        <w:rPr>
          <w:rFonts w:ascii="Times New Roman" w:hAnsi="Times New Roman" w:eastAsia="宋体"/>
          <w:sz w:val="24"/>
        </w:rPr>
        <w:t>•  Create a federal value-added tax (VAT): Unlike all other Organization for Economic Co-operation and Development countries, the United States has no federal VAT, leaving it without the most AI-resilient revenue instrument available. A federal VAT taxes consumption similar to a sales tax regardless of whether purchasing power comes from labor or capital income and could generate nearly 20 percent of federal revenue if structured similarly to VATs in other developed countries.</w:t>
      </w:r>
    </w:p>
    <w:p>
      <w:pPr>
        <w:pStyle w:val="DocBody"/>
      </w:pPr>
      <w:r>
        <w:rPr>
          <w:rFonts w:ascii="Times New Roman" w:hAnsi="Times New Roman" w:eastAsia="宋体"/>
          <w:sz w:val="24"/>
        </w:rPr>
        <w:t>•  Create a federal wealth tax: Although many local and state governments have real estate or property taxes, and some are considering a broader wealth tax, there is no federal property or wealth tax. State and local property taxes raised $721 bil- lion in 2024, which is equivalent to about 30 percent of the revenue raised by federal personal income taxes (U.S. Census Bureau, 2026). However, there are significant barriers to a federal wealth tax because it has been ruled unconstitutional. Any wealth tax program would need to be carefully structured to avoid a decline in investment that reduces economic growth.</w:t>
      </w:r>
    </w:p>
    <w:p>
      <w:pPr>
        <w:pStyle w:val="DocBody"/>
      </w:pPr>
      <w:r>
        <w:rPr>
          <w:rFonts w:ascii="Times New Roman" w:hAnsi="Times New Roman" w:eastAsia="宋体"/>
          <w:sz w:val="24"/>
        </w:rPr>
        <w:t>•  Repeal or limit step-up basis at death: The step-up in basis at death allows lifetime unrealized capital gains to pass to heirs permanently untaxed. Reforms to the basis rules would change how intergenerational wealth transfers are taxed and could generate tens of billions of dollars in additional revenue (or more, if AI increases asset values).</w:t>
      </w:r>
    </w:p>
    <w:p>
      <w:pPr>
        <w:pStyle w:val="DocBody"/>
      </w:pPr>
      <w:r>
        <w:rPr>
          <w:rFonts w:ascii="Times New Roman" w:hAnsi="Times New Roman" w:eastAsia="宋体"/>
          <w:sz w:val="24"/>
        </w:rPr>
        <w:t>Some of these options have significant barriers to implementation. For example, because a federal wealth tax has been ruled unconstitutional, a constitutional amendment would be required to implement such a tax. Additionally, a VAT or a wealth tax would require new tax collection infrastructure. Alternatively, changes to the rates or the structure of existing taxes could be accomplished by normal legislative processes.</w:t>
      </w:r>
    </w:p>
    <w:p>
      <w:pPr>
        <w:pStyle w:val="DocBody"/>
      </w:pPr>
      <w:r>
        <w:rPr>
          <w:rFonts w:ascii="Times New Roman" w:hAnsi="Times New Roman" w:eastAsia="宋体"/>
          <w:sz w:val="24"/>
        </w:rPr>
        <w:t>Furthermore, any change to the tax system would have implications for the competitiveness of U.S. businesses and as the United States as a destination for top international talent. To the extent that capital is mobile, policies that raise taxes on busi- nesses or capital could result in shifts to other jurisdictions. These types of trade-offs should be explored in future work.</w:t>
      </w:r>
    </w:p>
    <w:p>
      <w:pPr>
        <w:pStyle w:val="DocBody"/>
      </w:pPr>
      <w:r>
        <w:rPr>
          <w:rFonts w:ascii="Times New Roman" w:hAnsi="Times New Roman" w:eastAsia="宋体"/>
          <w:sz w:val="24"/>
        </w:rPr>
        <w:t>a In practice, to substitute the business portion of payroll taxes, the effective corporate tax rate would need to be doubled, which would be approximately at the nominal corporate tax rate (21 percent, as of this writing). Additionally, payroll taxes are used to fund specific programs, such as Medicare and Social Security, with any surplus going into a trust fund; therefore, such a change would need to earmark these addi- tional funds to go to the programs funded by payroll taxes to be fiscally balanced.</w:t>
      </w:r>
    </w:p>
    <w:p>
      <w:pPr>
        <w:pStyle w:val="DocBody"/>
      </w:pPr>
      <w:r>
        <w:rPr>
          <w:rFonts w:ascii="Times New Roman" w:hAnsi="Times New Roman" w:eastAsia="宋体"/>
          <w:sz w:val="24"/>
        </w:rPr>
        <w:t>Estimates suggest that AI will displace approximately 10 to 15 percent of labor hours over a ten- to 15-year hori- zon (Acemoglu, 2024; International Monetary Fund [IMF], 2024), with white-collar, high-wage workers dispropor- tionately exposed in the near term (Eloundou et al., 2024).</w:t>
      </w:r>
    </w:p>
    <w:p>
      <w:pPr>
        <w:pStyle w:val="DocBody"/>
      </w:pPr>
      <w:r>
        <w:rPr>
          <w:rFonts w:ascii="Times New Roman" w:hAnsi="Times New Roman" w:eastAsia="宋体"/>
          <w:sz w:val="24"/>
        </w:rPr>
        <w:t>To make up for any decline in federal revenue caused by reductions in employment, policymakers may need to raise taxes on other factors, such as windfall profits or capital income. In a working paper released in February 2026, economists Acemoglu, Autor, and Johnson hypothesized the characteristics of pro-worker AI systems. By their assessment, AI systems that increase the productivity of human workers and complement workers’ skills rather than substitute for their labor can be thought of as pro-worker.</w:t>
      </w:r>
    </w:p>
    <w:p>
      <w:pPr>
        <w:pStyle w:val="DocBody"/>
      </w:pPr>
      <w:r>
        <w:rPr>
          <w:rFonts w:ascii="Times New Roman" w:hAnsi="Times New Roman" w:eastAsia="宋体"/>
          <w:sz w:val="24"/>
        </w:rPr>
        <w:t>Similarly, we assert that a tax system that broadens the tax base in an era of labor-replacing AI could be structured to promote employment. First and foremost, such a tax policy should reduce penalties to employment on either the labor supply or the labor demand side. Additionally, it would preserve the tax base, meaning that it would pro- vide sufficient income to cover the federal government’s expenses.</w:t>
      </w:r>
    </w:p>
    <w:p>
      <w:pPr>
        <w:pStyle w:val="DocBody"/>
      </w:pPr>
      <w:r>
        <w:rPr>
          <w:rFonts w:ascii="Times New Roman" w:hAnsi="Times New Roman" w:eastAsia="宋体"/>
          <w:sz w:val="24"/>
        </w:rPr>
        <w:t>While labor taxes have provided the majority of fed- eral revenue since the 1960s, business income taxes, excise taxes, and customs taxes used to make up a large share of federal revenue. Figure 1 presents federal revenue by source as a share of gross domestic product (GDP). Taxation of each income source has different implications for workers, and the magnitude of these effects depends on the relation- ship of the taxed factor to employment. For example, how do hours worked change with a change in capital, income, or wealth taxes? Taxes on labor directly raise the cost of employment. Business income taxes, employer-side payroll taxes, and taxes on production inputs reduce the demand</w:t>
      </w:r>
    </w:p>
    <w:p>
      <w:pPr>
        <w:pStyle w:val="DocBody"/>
      </w:pPr>
      <w:r>
        <w:rPr>
          <w:rFonts w:ascii="Times New Roman" w:hAnsi="Times New Roman" w:eastAsia="宋体"/>
          <w:sz w:val="24"/>
        </w:rPr>
        <w:t>FIGURE 1 Federal Income as a Share of GDP, by Source, from Fiscal Year 1929 to Fiscal Year 2024 Year Percentage of GDP SOURCE: Features data from U.S. Bureau of Economic Analysis, 2025a.</w:t>
      </w:r>
    </w:p>
    <w:p>
      <w:pPr>
        <w:pStyle w:val="DocBody"/>
      </w:pPr>
      <w:r>
        <w:rPr>
          <w:rFonts w:ascii="Times New Roman" w:hAnsi="Times New Roman" w:eastAsia="宋体"/>
          <w:sz w:val="24"/>
        </w:rPr>
        <w:t>Personal income tax Payroll taxes Business income tax Excise taxes Custom taxes Other for labor by reducing the profitability of hiring. Personal income taxes, employee-side payroll taxes, and consump- tion taxes reduce the supply of labor by reducing the take- home compensation of work or the value of that compensa- tion. Excess profit taxes and wealth taxes are theorized to have the smallest labor distortions because they tax returns to capital ownership instead of taxing decisions to hire or work. We do not show profit or wealth taxes in Figure 1 because they either comprise a tiny fraction of revenue (profit taxes) or are unconstitutional (wealth taxes).</w:t>
      </w:r>
    </w:p>
    <w:p>
      <w:pPr>
        <w:pStyle w:val="DocBody"/>
      </w:pPr>
      <w:r>
        <w:rPr>
          <w:rFonts w:ascii="Times New Roman" w:hAnsi="Times New Roman" w:eastAsia="宋体"/>
          <w:sz w:val="24"/>
        </w:rPr>
        <w:t>Characterizing Tax Policy One way to categorize taxes is by the economic activity or resource being taxed, which economists refer to as the tax base. There are four broad classes of tax bases: income (both business and individual), consumption, wealth, and specific activities. Additionally, because taxes on regular business income and above-normal returns (which are profits beyond a normal return on capital) generate dif- ferent behavioral responses, we also include above-normal returns as a category.</w:t>
      </w:r>
    </w:p>
    <w:p>
      <w:pPr>
        <w:pStyle w:val="DocBody"/>
      </w:pPr>
      <w:r>
        <w:rPr>
          <w:rFonts w:ascii="Times New Roman" w:hAnsi="Times New Roman" w:eastAsia="宋体"/>
          <w:sz w:val="24"/>
        </w:rPr>
        <w:t>Table 1 lists the magnitude of the tax bases associated with the different classes.2 Each of these classes has differ- ent characteristics that are relevant to labor demand, capi- tal allocation, and resilience to labor-displacing technology.</w:t>
      </w:r>
    </w:p>
    <w:p>
      <w:pPr>
        <w:pStyle w:val="DocBody"/>
      </w:pPr>
      <w:r>
        <w:rPr>
          <w:rFonts w:ascii="Times New Roman" w:hAnsi="Times New Roman" w:eastAsia="宋体"/>
          <w:sz w:val="24"/>
        </w:rPr>
        <w:t>We calculate the taxes on labor earnings from the wage and salary component of individual income taxes and from payroll taxes paid by workers and employers for Social Security and Medicare. These taxes directly affect the cost of labor and account for approximately 66 percent of federal revenue, which is the primary fiscal vulnerability under AI-driven labor displacement. The other tax catego- ries are as follows:</w:t>
      </w:r>
    </w:p>
    <w:p>
      <w:pPr>
        <w:pStyle w:val="DocBody"/>
      </w:pPr>
      <w:r>
        <w:rPr>
          <w:rFonts w:ascii="Times New Roman" w:hAnsi="Times New Roman" w:eastAsia="宋体"/>
          <w:sz w:val="24"/>
        </w:rPr>
        <w:t>•  Capital income taxes cover interest, dividends, and long-term realized capital gains, taxed at preferen- tial rates of 0 to 20 percent compared with the top ordinary income rate of 37 percent.</w:t>
      </w:r>
    </w:p>
    <w:p>
      <w:pPr>
        <w:pStyle w:val="DocBody"/>
      </w:pPr>
      <w:r>
        <w:rPr>
          <w:rFonts w:ascii="Times New Roman" w:hAnsi="Times New Roman" w:eastAsia="宋体"/>
          <w:sz w:val="24"/>
        </w:rPr>
        <w:t>•  Consumption taxes at the federal level consist of excise taxes on fuel, tobacco, alcohol, and avia- tion, plus customs duties. The United States has no federal value-added tax (VAT), unlike every other Organization for Economic Co-operation and Development (OECD) economy. A VAT taxes the use of income regardless of its source, making it the most AI-resilient major revenue instrument avail- able. VATs in developed countries typically provide 17 percent of government revenue (OECD, 2025).</w:t>
      </w:r>
    </w:p>
    <w:p>
      <w:pPr>
        <w:pStyle w:val="DocBody"/>
      </w:pPr>
      <w:r>
        <w:rPr>
          <w:rFonts w:ascii="Times New Roman" w:hAnsi="Times New Roman" w:eastAsia="宋体"/>
          <w:sz w:val="24"/>
        </w:rPr>
        <w:t>•  Wealth and net worth taxes apply to the accumu- lated stock of assets rather than the annual flow of income. No federal wealth tax currently exists, and enacting one would face constitutional hurdles.</w:t>
      </w:r>
    </w:p>
    <w:p>
      <w:pPr>
        <w:pStyle w:val="DocBody"/>
      </w:pPr>
      <w:r>
        <w:rPr>
          <w:rFonts w:ascii="Times New Roman" w:hAnsi="Times New Roman" w:eastAsia="宋体"/>
          <w:sz w:val="24"/>
        </w:rPr>
        <w:t>Revenue from a federal wealth tax would grow in response to AI-driven wealth concentration and TABLE 1 Size of Different Tax Bases Category Tax Base ($ trillions)</w:t>
      </w:r>
    </w:p>
    <w:p>
      <w:pPr>
        <w:pStyle w:val="DocBody"/>
      </w:pPr>
      <w:r>
        <w:rPr>
          <w:rFonts w:ascii="Times New Roman" w:hAnsi="Times New Roman" w:eastAsia="宋体"/>
          <w:sz w:val="24"/>
        </w:rPr>
        <w:t>Source Wage and salary income 11.7 U.S. Bureau of Economic Analysis, 2025b Personal incomea 23.6 U.S. Bureau of Economic Analysis, 2026a Corporate profit 4.5 U.S. Bureau of Economic Analysis, 2026b Consumption 21.9 U.S. Bureau of Economic Analysis, 2026c Wealth 168.8 Board of Governors of the Federal Reserve System, 2026 Annual transfer through inheritance 4.0 Cerulli, 2022 Above-normal returns and rents Highly variable The business cycle adds volatility to estimates; calculation is complex and requires numerous assumptions (see Barkai, 2020).</w:t>
      </w:r>
    </w:p>
    <w:p>
      <w:pPr>
        <w:pStyle w:val="DocBody"/>
      </w:pPr>
      <w:r>
        <w:rPr>
          <w:rFonts w:ascii="Times New Roman" w:hAnsi="Times New Roman" w:eastAsia="宋体"/>
          <w:sz w:val="24"/>
        </w:rPr>
        <w:t>NOTE: Not all of the categories here completely align with the tax categories described later in this paper because comprehensive data are not publicly available.</w:t>
      </w:r>
    </w:p>
    <w:p>
      <w:pPr>
        <w:pStyle w:val="DocBody"/>
      </w:pPr>
      <w:r>
        <w:rPr>
          <w:rFonts w:ascii="Times New Roman" w:hAnsi="Times New Roman" w:eastAsia="宋体"/>
          <w:sz w:val="24"/>
        </w:rPr>
        <w:t>a This includes income from wages and salaries, dividends, rent, and interest, as well as business income and income from retirement plans. Personal income is the tax base for income taxes, whereas wages and salaries are the tax base for payroll taxes; thus, we include both separately.</w:t>
      </w:r>
    </w:p>
    <w:p>
      <w:pPr>
        <w:pStyle w:val="DocBody"/>
      </w:pPr>
      <w:r>
        <w:rPr>
          <w:rFonts w:ascii="Times New Roman" w:hAnsi="Times New Roman" w:eastAsia="宋体"/>
          <w:sz w:val="24"/>
        </w:rPr>
        <w:t>would be structurally immune to the labor-to- capital income shift that erodes income tax bases.</w:t>
      </w:r>
    </w:p>
    <w:p>
      <w:pPr>
        <w:pStyle w:val="DocBody"/>
      </w:pPr>
      <w:r>
        <w:rPr>
          <w:rFonts w:ascii="Times New Roman" w:hAnsi="Times New Roman" w:eastAsia="宋体"/>
          <w:sz w:val="24"/>
        </w:rPr>
        <w:t>State and local taxes on property (typically real estate) brought in $761 billion in 2024, which is approximately 30 percent of the revenue from federal personal income taxes (U.S. Census Bureau, 2026).</w:t>
      </w:r>
    </w:p>
    <w:p>
      <w:pPr>
        <w:pStyle w:val="DocBody"/>
      </w:pPr>
      <w:r>
        <w:rPr>
          <w:rFonts w:ascii="Times New Roman" w:hAnsi="Times New Roman" w:eastAsia="宋体"/>
          <w:sz w:val="24"/>
        </w:rPr>
        <w:t>•  Transfer and inheritance taxes apply to intergen- erational transfers of wealth. The federal estate tax raises approximately $35 billion per year and is subject to a high exemption threshold and perva- sive avoidance mechanisms. The step-up in basis at death permanently extinguishes unrealized capital gains at inheritance, costing an estimated $40 bil- lion to $50 billion annually in forgone revenue.</w:t>
      </w:r>
    </w:p>
    <w:p>
      <w:pPr>
        <w:pStyle w:val="DocBody"/>
      </w:pPr>
      <w:r>
        <w:rPr>
          <w:rFonts w:ascii="Times New Roman" w:hAnsi="Times New Roman" w:eastAsia="宋体"/>
          <w:sz w:val="24"/>
        </w:rPr>
        <w:t>Tax progressivity, in which higher earners pay a higher share, varies substantially across these categories. Labor earnings taxes are highly progressive because wages are con- centrated and marginal rates rise steeply with income. Pay- roll taxes, by contrast, are regressive because they are a flat rate for all earnings up to the statutory cap (e.g., $184,500 for 2026) and zero for earnings above the cap. Capital income is more concentrated than labor income; however, because of preferential rates and deferral mechanisms, capital income taxation is not strictly more progressive than labor income taxation. Consumption taxes are typically regressive but can be made approximately neutral with a low-income rebate.</w:t>
      </w:r>
    </w:p>
    <w:p>
      <w:pPr>
        <w:pStyle w:val="DocBody"/>
      </w:pPr>
      <w:r>
        <w:rPr>
          <w:rFonts w:ascii="Times New Roman" w:hAnsi="Times New Roman" w:eastAsia="宋体"/>
          <w:sz w:val="24"/>
        </w:rPr>
        <w:t>Wealth and inheritance taxes are the most-progressive instruments available because net worth is far more concen- trated than either income or consumption.</w:t>
      </w:r>
    </w:p>
    <w:p>
      <w:pPr>
        <w:pStyle w:val="DocBody"/>
      </w:pPr>
      <w:r>
        <w:rPr>
          <w:rFonts w:ascii="Times New Roman" w:hAnsi="Times New Roman" w:eastAsia="宋体"/>
          <w:sz w:val="24"/>
        </w:rPr>
        <w:t>Each of these categories has distinct effects on labor demand and supply and different degrees of vulnerability to AI-driven labor displacement. Table 2 summarizes these properties. We explain how we arrived at these six catego- ries in Appendix A.</w:t>
      </w:r>
    </w:p>
    <w:p>
      <w:pPr>
        <w:pStyle w:val="DocBody"/>
      </w:pPr>
      <w:r>
        <w:rPr>
          <w:rFonts w:ascii="Times New Roman" w:hAnsi="Times New Roman" w:eastAsia="宋体"/>
          <w:sz w:val="24"/>
        </w:rPr>
        <w:t>A Six-Category Framework for Broadening the Tax Base Considering these labor effects, we apply the six-category framework to each component of the federal tax system, identifying which provisions penalize employment, which are neutral, and which could be redesigned to make human labor more competitive in an AI-augmented economy. Our analysis draws on the optimal taxation literature, particu- larly Mirrlees (1971), Diamond and Mirrlees (1971a, 1971b), and Saez (2001), alongside recent empirical work on AI’s labor market effects. More details about these works are available in Appendixes A and B.</w:t>
      </w:r>
    </w:p>
    <w:p>
      <w:pPr>
        <w:pStyle w:val="DocBody"/>
      </w:pPr>
      <w:r>
        <w:rPr>
          <w:rFonts w:ascii="Times New Roman" w:hAnsi="Times New Roman" w:eastAsia="宋体"/>
          <w:sz w:val="24"/>
        </w:rPr>
        <w:t>Category 1: Labor Earnings Taxes Labor earnings taxes are simultaneously the largest revenue source and the most directly threatened by AI displace- ment. The most important change the U.S. government Labor earnings taxes are simultaneously the largest revenue source and the most directly threatened by AI displacement.</w:t>
      </w:r>
    </w:p>
    <w:p>
      <w:pPr>
        <w:pStyle w:val="DocBody"/>
      </w:pPr>
      <w:r>
        <w:rPr>
          <w:rFonts w:ascii="Times New Roman" w:hAnsi="Times New Roman" w:eastAsia="宋体"/>
          <w:sz w:val="24"/>
        </w:rPr>
        <w:t>can make within this category to broaden the tax base is to eliminate provisions that increase the cost of hiring relative to the cost of automation. The employer-side payroll tax is the clearest example: It taxes the act of employing a worker, thereby raising the effective cost of labor without raising take-home pay. In practice, to substitute for the revenue that comes from the employer’s side of payroll taxes, the effective corporate tax rate would need to be doubled, which would be approximately at the nominal corporate tax rate (21 percent, as of this writing). A revenue-neutral shift from employer-side payroll taxes toward corporate income taxes or consumption taxes would reduce the rela- tive cost of human labor for employers.</w:t>
      </w:r>
    </w:p>
    <w:p>
      <w:pPr>
        <w:pStyle w:val="DocBody"/>
      </w:pPr>
      <w:r>
        <w:rPr>
          <w:rFonts w:ascii="Times New Roman" w:hAnsi="Times New Roman" w:eastAsia="宋体"/>
          <w:sz w:val="24"/>
        </w:rPr>
        <w:t>Meanwhile, the Earned Income Tax Credit (EITC)</w:t>
      </w:r>
    </w:p>
    <w:p>
      <w:pPr>
        <w:pStyle w:val="DocBody"/>
      </w:pPr>
      <w:r>
        <w:rPr>
          <w:rFonts w:ascii="Times New Roman" w:hAnsi="Times New Roman" w:eastAsia="宋体"/>
          <w:sz w:val="24"/>
        </w:rPr>
        <w:t>increases the effective take-home pay associated with employment for lower-income households and is strongly employment-supportive through the labor supply channel.</w:t>
      </w:r>
    </w:p>
    <w:p>
      <w:pPr>
        <w:pStyle w:val="DocBody"/>
      </w:pPr>
      <w:r>
        <w:rPr>
          <w:rFonts w:ascii="Times New Roman" w:hAnsi="Times New Roman" w:eastAsia="宋体"/>
          <w:sz w:val="24"/>
        </w:rPr>
        <w:t>This instrument will become more important as AI dis- placement expands from white-collar roles to lower-wage occupations over time.</w:t>
      </w:r>
    </w:p>
    <w:p>
      <w:pPr>
        <w:pStyle w:val="DocBody"/>
      </w:pPr>
      <w:r>
        <w:rPr>
          <w:rFonts w:ascii="Times New Roman" w:hAnsi="Times New Roman" w:eastAsia="宋体"/>
          <w:sz w:val="24"/>
        </w:rPr>
        <w:t>Eliminating business-side payroll taxes would reduce federal revenue but could be partially offset by reduced fed- eral spending on safety-net programs and increased labor income if it induces additional employment or if it were completely offset by other taxes.</w:t>
      </w:r>
    </w:p>
    <w:p>
      <w:pPr>
        <w:pStyle w:val="DocBody"/>
      </w:pPr>
      <w:r>
        <w:rPr>
          <w:rFonts w:ascii="Times New Roman" w:hAnsi="Times New Roman" w:eastAsia="宋体"/>
          <w:sz w:val="24"/>
        </w:rPr>
        <w:t>TABLE 2 Labor Effects for Each Tax Category Tax Category Labor Effects AI-Era Vulnerability Labor earnings taxes (wages, salaries, payroll)</w:t>
      </w:r>
    </w:p>
    <w:p>
      <w:pPr>
        <w:pStyle w:val="DocBody"/>
      </w:pPr>
      <w:r>
        <w:rPr>
          <w:rFonts w:ascii="Times New Roman" w:hAnsi="Times New Roman" w:eastAsia="宋体"/>
          <w:sz w:val="24"/>
        </w:rPr>
        <w:t>Directly taxes labor supply This category contributes ~66% of federal revenue. The primary fiscal vulnerability is as follows:</w:t>
      </w:r>
    </w:p>
    <w:p>
      <w:pPr>
        <w:pStyle w:val="DocBody"/>
      </w:pPr>
      <w:r>
        <w:rPr>
          <w:rFonts w:ascii="Times New Roman" w:hAnsi="Times New Roman" w:eastAsia="宋体"/>
          <w:sz w:val="24"/>
        </w:rPr>
        <w:t>Revenue falls as labor hours decline; the progressive rate structure for income tax amplifies the loss when high earners are displaced first; flat payroll taxes reduce some progressivity.</w:t>
      </w:r>
    </w:p>
    <w:p>
      <w:pPr>
        <w:pStyle w:val="DocBody"/>
      </w:pPr>
      <w:r>
        <w:rPr>
          <w:rFonts w:ascii="Times New Roman" w:hAnsi="Times New Roman" w:eastAsia="宋体"/>
          <w:sz w:val="24"/>
        </w:rPr>
        <w:t>Taxes on above-normal returns and rents No direct labor effect This is a highly variable tax base, although some firms may see windfall profits associated with worker displacement or other factors.</w:t>
      </w:r>
    </w:p>
    <w:p>
      <w:pPr>
        <w:pStyle w:val="DocBody"/>
      </w:pPr>
      <w:r>
        <w:rPr>
          <w:rFonts w:ascii="Times New Roman" w:hAnsi="Times New Roman" w:eastAsia="宋体"/>
          <w:sz w:val="24"/>
        </w:rPr>
        <w:t>Capital income taxes (interest, dividends, capital gains)</w:t>
      </w:r>
    </w:p>
    <w:p>
      <w:pPr>
        <w:pStyle w:val="DocBody"/>
      </w:pPr>
      <w:r>
        <w:rPr>
          <w:rFonts w:ascii="Times New Roman" w:hAnsi="Times New Roman" w:eastAsia="宋体"/>
          <w:sz w:val="24"/>
        </w:rPr>
        <w:t>No direct labor effect Revenue could rise temporarily during an AI asset-price boom, then decline if deflation erodes nominal values. The step-up in basis at death and deferral reduce effective collections as wealth concentrates.</w:t>
      </w:r>
    </w:p>
    <w:p>
      <w:pPr>
        <w:pStyle w:val="DocBody"/>
      </w:pPr>
      <w:r>
        <w:rPr>
          <w:rFonts w:ascii="Times New Roman" w:hAnsi="Times New Roman" w:eastAsia="宋体"/>
          <w:sz w:val="24"/>
        </w:rPr>
        <w:t>Consumption taxes (excise, customs; potential federal VAT)</w:t>
      </w:r>
    </w:p>
    <w:p>
      <w:pPr>
        <w:pStyle w:val="DocBody"/>
      </w:pPr>
      <w:r>
        <w:rPr>
          <w:rFonts w:ascii="Times New Roman" w:hAnsi="Times New Roman" w:eastAsia="宋体"/>
          <w:sz w:val="24"/>
        </w:rPr>
        <w:t>Modestly reduces labor supply via purchasing power This is the most AI-resilient revenue base—it taxes consumption regardless of income source.</w:t>
      </w:r>
    </w:p>
    <w:p>
      <w:pPr>
        <w:pStyle w:val="DocBody"/>
      </w:pPr>
      <w:r>
        <w:rPr>
          <w:rFonts w:ascii="Times New Roman" w:hAnsi="Times New Roman" w:eastAsia="宋体"/>
          <w:sz w:val="24"/>
        </w:rPr>
        <w:t>No federal VAT currently exists; this channel is largely unavailable at the national level.</w:t>
      </w:r>
    </w:p>
    <w:p>
      <w:pPr>
        <w:pStyle w:val="DocBody"/>
      </w:pPr>
      <w:r>
        <w:rPr>
          <w:rFonts w:ascii="Times New Roman" w:hAnsi="Times New Roman" w:eastAsia="宋体"/>
          <w:sz w:val="24"/>
        </w:rPr>
        <w:t>Wealth and net worth taxes (annual stock of assets)</w:t>
      </w:r>
    </w:p>
    <w:p>
      <w:pPr>
        <w:pStyle w:val="DocBody"/>
      </w:pPr>
      <w:r>
        <w:rPr>
          <w:rFonts w:ascii="Times New Roman" w:hAnsi="Times New Roman" w:eastAsia="宋体"/>
          <w:sz w:val="24"/>
        </w:rPr>
        <w:t>No direct labor effect This tax base grows proportionally to AI-driven wealth concentration. It is the most progressive instrument available but does not currently exist at the federal level.</w:t>
      </w:r>
    </w:p>
    <w:p>
      <w:pPr>
        <w:pStyle w:val="DocBody"/>
      </w:pPr>
      <w:r>
        <w:rPr>
          <w:rFonts w:ascii="Times New Roman" w:hAnsi="Times New Roman" w:eastAsia="宋体"/>
          <w:sz w:val="24"/>
        </w:rPr>
        <w:t>Transfer and inheritance taxes (estates, gifts, bequests)</w:t>
      </w:r>
    </w:p>
    <w:p>
      <w:pPr>
        <w:pStyle w:val="DocBody"/>
      </w:pPr>
      <w:r>
        <w:rPr>
          <w:rFonts w:ascii="Times New Roman" w:hAnsi="Times New Roman" w:eastAsia="宋体"/>
          <w:sz w:val="24"/>
        </w:rPr>
        <w:t>No direct labor effect This category contributes low revenue (approximately $35 billion per year). The step-up in basis allows wealth to transfer untaxed across generations. Our proposed reforms would adjust tax rates to be labor-neutral revenue while reducing dynastic concentration of AI ownership.</w:t>
      </w:r>
    </w:p>
    <w:p>
      <w:pPr>
        <w:pStyle w:val="DocBody"/>
      </w:pPr>
      <w:r>
        <w:rPr>
          <w:rFonts w:ascii="Times New Roman" w:hAnsi="Times New Roman" w:eastAsia="宋体"/>
          <w:sz w:val="24"/>
        </w:rPr>
        <w:t>Category 2: Above-Normal Returns and Rent Taxes The least-developed category (both in that there is not the same degree of economic theory on the topic or the same history of windfall taxes) for broadening the tax base is the taxation of businesses’ above-normal returns. These are profits that firms generate in excess of a normal com- petitive return on capital. Piketty, Saez, and Stantcheva (2014) demonstrated that taxing excess returns carries no efficiency cost: A firm making monopolistic profits cannot reduce the size of that windfall by reducing production, because the above-normal returns come from the fact that the firm is a monopoly rather than additional production.</w:t>
      </w:r>
    </w:p>
    <w:p>
      <w:pPr>
        <w:pStyle w:val="DocBody"/>
      </w:pPr>
      <w:r>
        <w:rPr>
          <w:rFonts w:ascii="Times New Roman" w:hAnsi="Times New Roman" w:eastAsia="宋体"/>
          <w:sz w:val="24"/>
        </w:rPr>
        <w:t>In this sense, taxing above-normal returns is uniquely consistent with the Acemoglu, Autor, and Johnson (2026)</w:t>
      </w:r>
    </w:p>
    <w:p>
      <w:pPr>
        <w:pStyle w:val="DocBody"/>
      </w:pPr>
      <w:r>
        <w:rPr>
          <w:rFonts w:ascii="Times New Roman" w:hAnsi="Times New Roman" w:eastAsia="宋体"/>
          <w:sz w:val="24"/>
        </w:rPr>
        <w:t>framework: It recaptures a share of the U.S. government’s labor-based revenue that AI displaced without penaliz- ing firms that use AI to complement rather than replace workers.</w:t>
      </w:r>
    </w:p>
    <w:p>
      <w:pPr>
        <w:pStyle w:val="DocBody"/>
      </w:pPr>
      <w:r>
        <w:rPr>
          <w:rFonts w:ascii="Times New Roman" w:hAnsi="Times New Roman" w:eastAsia="宋体"/>
          <w:sz w:val="24"/>
        </w:rPr>
        <w:t>Existing tax policies have resulted in substantial varia- tion in the effective tax rate for corporations by sector.</w:t>
      </w:r>
    </w:p>
    <w:p>
      <w:pPr>
        <w:pStyle w:val="DocBody"/>
      </w:pPr>
      <w:r>
        <w:rPr>
          <w:rFonts w:ascii="Times New Roman" w:hAnsi="Times New Roman" w:eastAsia="宋体"/>
          <w:sz w:val="24"/>
        </w:rPr>
        <w:t>Sectors such as finance and utilities pay roughly 5 percent of their net income in taxes, whereas manufacturing and transportation pay closer to 10 percent. Cheng, Schuh, and Trinh (2026) proposed a progressive corporate income tax as a mechanism to respond to the erosion of labor tax reve- nue from AI. Assessing a progressive corporate income tax on a per-capita basis would both broaden the tax base and collect the most from companies with the largest above- normal returns.</w:t>
      </w:r>
    </w:p>
    <w:p>
      <w:pPr>
        <w:pStyle w:val="DocBody"/>
      </w:pPr>
      <w:r>
        <w:rPr>
          <w:rFonts w:ascii="Times New Roman" w:hAnsi="Times New Roman" w:eastAsia="宋体"/>
          <w:sz w:val="24"/>
        </w:rPr>
        <w:t>An alternative to a progressive corporate tax on per- capita profits is an allowance for corporate equity, which permits firms to deduct a risk-free rate of return on equity from taxable income, leaving only above-normal returns in the tax base. Used in the Nordic dual income tax system (Sørensen, 1994), this approach is revenue-equivalent in competitive markets but captures substantially more reve- nue when AI concentration generates large rents. Strength- ening Global Intangible Low-Taxed Income (GILTI) provi- sions is a precondition for any of these reforms because shifting intellectual property to low-tax jurisdictions remains the primary tax avoidance mechanism.</w:t>
      </w:r>
    </w:p>
    <w:p>
      <w:pPr>
        <w:pStyle w:val="DocBody"/>
      </w:pPr>
      <w:r>
        <w:rPr>
          <w:rFonts w:ascii="Times New Roman" w:hAnsi="Times New Roman" w:eastAsia="宋体"/>
          <w:sz w:val="24"/>
        </w:rPr>
        <w:t>Given the current tax base, additional taxation of corporate profits would not offset the loss of federal rev- enue caused by a large unemployment scenario, but that may change if corporate profits rise because of AI or other factors.</w:t>
      </w:r>
    </w:p>
    <w:p>
      <w:pPr>
        <w:pStyle w:val="DocBody"/>
      </w:pPr>
      <w:r>
        <w:rPr>
          <w:rFonts w:ascii="Times New Roman" w:hAnsi="Times New Roman" w:eastAsia="宋体"/>
          <w:sz w:val="24"/>
        </w:rPr>
        <w:t>Category 3: Capital Income Taxes The United States caps long-term capital gains tax rates at 20 percent, compared with 37 percent for labor income.</w:t>
      </w:r>
    </w:p>
    <w:p>
      <w:pPr>
        <w:pStyle w:val="DocBody"/>
      </w:pPr>
      <w:r>
        <w:rPr>
          <w:rFonts w:ascii="Times New Roman" w:hAnsi="Times New Roman" w:eastAsia="宋体"/>
          <w:sz w:val="24"/>
        </w:rPr>
        <w:t>This means that as AI shifts income from labor to capital, the effective tax rate on national income falls automatically.</w:t>
      </w:r>
    </w:p>
    <w:p>
      <w:pPr>
        <w:pStyle w:val="DocBody"/>
      </w:pPr>
      <w:r>
        <w:rPr>
          <w:rFonts w:ascii="Times New Roman" w:hAnsi="Times New Roman" w:eastAsia="宋体"/>
          <w:sz w:val="24"/>
        </w:rPr>
        <w:t>Treating long-term capital gains as ordinary income for taxpayers would reduce the rate gap that rewards capital substitution for labor.</w:t>
      </w:r>
    </w:p>
    <w:p>
      <w:pPr>
        <w:pStyle w:val="DocBody"/>
      </w:pPr>
      <w:r>
        <w:rPr>
          <w:rFonts w:ascii="Times New Roman" w:hAnsi="Times New Roman" w:eastAsia="宋体"/>
          <w:sz w:val="24"/>
        </w:rPr>
        <w:t>However, policymakers should note the timing asym- metry: Capital income tax revenue will likely increase in the near term as an AI investment boom inflates asset prices. This temporary rise should not be read as evidence that the tax system is adapting to AI but instead as a lead- ing indicator of concentration that precedes the larger structural erosion of the labor tax base.</w:t>
      </w:r>
    </w:p>
    <w:p>
      <w:pPr>
        <w:pStyle w:val="DocBody"/>
      </w:pPr>
      <w:r>
        <w:rPr>
          <w:rFonts w:ascii="Times New Roman" w:hAnsi="Times New Roman" w:eastAsia="宋体"/>
          <w:sz w:val="24"/>
        </w:rPr>
        <w:t>Over time, to the extent that capital income replaces labor income, treating it the same as labor income would replace revenue from labor taxation. However, the distri- bution of the tax burden would be substantially different, and higher concentration could lead to a higher prevalence of tax avoidance. According to the Internal Revenue Ser- vice’s Statistics of Income, realized capital gains averaged about $1.4 trillion from 2021 to 2023 (the latest years avail- able), and the average effective tax rate for those was about 18 percent (Internal Revenue Service, 2026, Table A). Were capital gains taxed as ordinary income, we would expect that to raise at least an additional $100 billion annually.</w:t>
      </w:r>
    </w:p>
    <w:p>
      <w:pPr>
        <w:pStyle w:val="DocBody"/>
      </w:pPr>
      <w:r>
        <w:rPr>
          <w:rFonts w:ascii="Times New Roman" w:hAnsi="Times New Roman" w:eastAsia="宋体"/>
          <w:sz w:val="24"/>
        </w:rPr>
        <w:t>Category 4: Consumption Taxes Consumption taxes are the most AI-resilient revenue base available because they tax the use of purchasing power, regardless of whether it derives from labor income, capi- tal income, or government transfers. The Diamond and Mirrlees (1971a, 1971b) production efficiency result pro- vides the theoretical foundation: Taxing final consump- tion rather than production inputs avoids the cascading distortions that reduce labor demand. However, increased effective prices reduce effective wages and therefore can be expected to reduce labor supply.</w:t>
      </w:r>
    </w:p>
    <w:p>
      <w:pPr>
        <w:pStyle w:val="DocBody"/>
      </w:pPr>
      <w:r>
        <w:rPr>
          <w:rFonts w:ascii="Times New Roman" w:hAnsi="Times New Roman" w:eastAsia="宋体"/>
          <w:sz w:val="24"/>
        </w:rPr>
        <w:t>The United States is the only OECD country without a national VAT. Our baseline calculation finds that a federal VAT at even a modest rate of 5 percent with a low-income rebate would generate approximately $500 billion to $700 billion in annual revenue structurally independent of the labor-capital income split, which is about 20 to 30 per- cent of the personal income tax revenue. In the Mirrlees Review, the Institute for Fiscal Studies and Mirrlees (2011)</w:t>
      </w:r>
    </w:p>
    <w:p>
      <w:pPr>
        <w:pStyle w:val="DocBody"/>
      </w:pPr>
      <w:r>
        <w:rPr>
          <w:rFonts w:ascii="Times New Roman" w:hAnsi="Times New Roman" w:eastAsia="宋体"/>
          <w:sz w:val="24"/>
        </w:rPr>
        <w:t>recommended a broad VAT base as the most efficient rev- enue instrument available, with progressivity addressed through the transfer system, such as a rebate system for low-income households. VAT proceeds directed toward wage subsidies, retraining programs, or expanded income support would make a VAT policy worker-friendly in its distributional effect even if neutral in its tax structure.</w:t>
      </w:r>
    </w:p>
    <w:p>
      <w:pPr>
        <w:pStyle w:val="DocBody"/>
      </w:pPr>
      <w:r>
        <w:rPr>
          <w:rFonts w:ascii="Times New Roman" w:hAnsi="Times New Roman" w:eastAsia="宋体"/>
          <w:sz w:val="24"/>
        </w:rPr>
        <w:t>Category 5: Wealth and Net Worth Taxes An annual wealth tax on ultra-high net worth is the most structurally appropriate instrument for recapturing a share of the value generated by AI concentration. Under Saez and Zucman’s (2019) proposal, a 1- to 2-percent annual tax on net worth above $10 million would raise approximately $200 billion to $300 billion per year (in 2018 dollars) at the wealth levels of the early 2020s and would grow as An annual wealth tax on ultra-high net worth is the most structurally appropriate instrument for recapturing a share of the value generated by AI concentration.</w:t>
      </w:r>
    </w:p>
    <w:p>
      <w:pPr>
        <w:pStyle w:val="DocBody"/>
      </w:pPr>
      <w:r>
        <w:rPr>
          <w:rFonts w:ascii="Times New Roman" w:hAnsi="Times New Roman" w:eastAsia="宋体"/>
          <w:sz w:val="24"/>
        </w:rPr>
        <w:t>asset ownership concentrates. This makes the instrument counter­cyclical to labor displacement: Revenue increases precisely when and where AI rents are largest.</w:t>
      </w:r>
    </w:p>
    <w:p>
      <w:pPr>
        <w:pStyle w:val="DocBody"/>
      </w:pPr>
      <w:r>
        <w:rPr>
          <w:rFonts w:ascii="Times New Roman" w:hAnsi="Times New Roman" w:eastAsia="宋体"/>
          <w:sz w:val="24"/>
        </w:rPr>
        <w:t>A wealth tax has two base-broadening properties beyond its revenue effect: (1) It would narrow the post-tax return gap between capital and labor, and (2) if proceeds fund displaced workers via a universal income floor or an expanded EITC, it would create a direct redistribution from the beneficiaries of AI to those displaced by it. Leg- islation framed as a minimum income tax on unrealized gains would achieve similar economic effects while operat- ing within settled constitutional ground.</w:t>
      </w:r>
    </w:p>
    <w:p>
      <w:pPr>
        <w:pStyle w:val="DocBody"/>
      </w:pPr>
      <w:r>
        <w:rPr>
          <w:rFonts w:ascii="Times New Roman" w:hAnsi="Times New Roman" w:eastAsia="宋体"/>
          <w:sz w:val="24"/>
        </w:rPr>
        <w:t>This has by far the largest tax base but could lead to a reduction in investment and therefore growth. Similarly, a wealth tax could lead to substantial tax avoidance activities that would reduce its efficiency. Thus, although a wealth tax could replace much of the revenue lost from labor taxa- tion, it would require careful design to minimize negative unintended consequences.</w:t>
      </w:r>
    </w:p>
    <w:p>
      <w:pPr>
        <w:pStyle w:val="DocBody"/>
      </w:pPr>
      <w:r>
        <w:rPr>
          <w:rFonts w:ascii="Times New Roman" w:hAnsi="Times New Roman" w:eastAsia="宋体"/>
          <w:sz w:val="24"/>
        </w:rPr>
        <w:t>Category 6: Transfer and Inheritance Taxes The federal estate tax in its current form raises little rev- enue from large estates because of its high exemption threshold, the step-up in basis, and widely available trust structures. In an AI economy in which a small number of individuals may accumulate extraordinary wealth through ownership of foundational AI systems, this failure to tax intergenerational transfers is a direct subsidy to dynastic concentration of AI ownership.</w:t>
      </w:r>
    </w:p>
    <w:p>
      <w:pPr>
        <w:pStyle w:val="DocBody"/>
      </w:pPr>
      <w:r>
        <w:rPr>
          <w:rFonts w:ascii="Times New Roman" w:hAnsi="Times New Roman" w:eastAsia="宋体"/>
          <w:sz w:val="24"/>
        </w:rPr>
        <w:t>Two reforms would have the highest impact. First, repealing the step-up in basis at death would subject unreal- ized gains to capital gains tax at inheritance, which is the single largest source of forgone revenue among the low- administrative-complexity changes. Second, replacing the onetime estate tax with a cumulative lifetime receipts tax assessed on heirs rather than estates, as recommended by the Mirrlees Review (Institute for Fiscal Studies and Mirrlees, 2011), would make tax avoidance through trust structures substantially harder. Piketty and Saez (2013) derived optimal inheritance tax rates of 50 to 60 percent or higher for large bequests under standard parameter values; effective rates have been well below this range in recent years. The step-up basis and estate taxes could replace about one-sixth of labor tax income if they were taxed as regular income.</w:t>
      </w:r>
    </w:p>
    <w:p>
      <w:pPr>
        <w:pStyle w:val="DocBody"/>
      </w:pPr>
      <w:r>
        <w:rPr>
          <w:rFonts w:ascii="Times New Roman" w:hAnsi="Times New Roman" w:eastAsia="宋体"/>
          <w:sz w:val="24"/>
        </w:rPr>
        <w:t>Expansive Tax Base Policies Applying these six categories of changes to the U.S. tax code shows that there are approaches that could reduce the structural bias in the code favoring capital income over labor income. However, these would require fundamental tax policy reform (rather than merely adding credits to the existing set of policies) to truly increase the tax base. Build- ing on these six categories, we can evaluate the provisions already in the U.S. tax code against the following ques- tion: Does this provision make human labor more or less competitive relative to capital, and does that effect change under AI-driven automation?</w:t>
      </w:r>
    </w:p>
    <w:p>
      <w:pPr>
        <w:pStyle w:val="DocBody"/>
      </w:pPr>
      <w:r>
        <w:rPr>
          <w:rFonts w:ascii="Times New Roman" w:hAnsi="Times New Roman" w:eastAsia="宋体"/>
          <w:sz w:val="24"/>
        </w:rPr>
        <w:t>The assessment reveals that our expanded tax base covers a wide variety of potential policy changes, including some that are unambiguously oriented toward increasing employment, some that depend entirely on how firms use these policies, and at least one category that actively subsi- dizes labor displacement when applied to AI and robotics</w:t>
      </w:r>
    </w:p>
    <w:p>
      <w:pPr>
        <w:pStyle w:val="DocBody"/>
      </w:pPr>
      <w:r>
        <w:rPr>
          <w:rFonts w:ascii="Times New Roman" w:hAnsi="Times New Roman" w:eastAsia="宋体"/>
          <w:sz w:val="24"/>
        </w:rPr>
        <w:t>capital. The inventory that follows maps five existing provi- sion types to our six-category schema:</w:t>
      </w:r>
    </w:p>
    <w:p>
      <w:pPr>
        <w:pStyle w:val="DocBody"/>
      </w:pPr>
      <w:r>
        <w:rPr>
          <w:rFonts w:ascii="Times New Roman" w:hAnsi="Times New Roman" w:eastAsia="宋体"/>
          <w:sz w:val="24"/>
        </w:rPr>
        <w:t>•  Deductions for salaries and wages (U.S. Code, Title 26, Section 162; labor earnings category).</w:t>
      </w:r>
    </w:p>
    <w:p>
      <w:pPr>
        <w:pStyle w:val="DocBody"/>
      </w:pPr>
      <w:r>
        <w:rPr>
          <w:rFonts w:ascii="Times New Roman" w:hAnsi="Times New Roman" w:eastAsia="宋体"/>
          <w:sz w:val="24"/>
        </w:rPr>
        <w:t>Under Section 162, businesses may deduct salaries and compensation paid to employees as an ordinary and necessary business expense. For the 2020 tax year, corporations claimed approximately $2.76 tril- lion in these deductions, which is the second-largest single business deduction in the tax code, after the deduction for the cost of goods sold (Internal Rev- enue Service, 2023). Within our six-category frame- work, this provision operates in the labor earnings category: It reduces the firm-side cost of employing workers by converting a share of wages equal to the firm’s marginal tax rate into a federal subsidy.</w:t>
      </w:r>
    </w:p>
    <w:p>
      <w:pPr>
        <w:pStyle w:val="DocBody"/>
      </w:pPr>
      <w:r>
        <w:rPr>
          <w:rFonts w:ascii="Times New Roman" w:hAnsi="Times New Roman" w:eastAsia="宋体"/>
          <w:sz w:val="24"/>
        </w:rPr>
        <w:t>It straightforwardly supports employment in both design and effect. Its limitation in the AI context is structural: The code provides identical deduction treatment to capital expenditures (through depre- ciation), so the wage deduction creates no tax-based preference for employing workers over purchasing machines. As corporate tax liability falls through other channels—such as accelerated depreciation of AI systems, losses, and research and development credits—the value of the wage deduction erodes in tandem.</w:t>
      </w:r>
    </w:p>
    <w:p>
      <w:pPr>
        <w:pStyle w:val="DocBody"/>
      </w:pPr>
      <w:r>
        <w:rPr>
          <w:rFonts w:ascii="Times New Roman" w:hAnsi="Times New Roman" w:eastAsia="宋体"/>
          <w:sz w:val="24"/>
        </w:rPr>
        <w:t>•  Accelerated amortization and depreciation (U.S.</w:t>
      </w:r>
    </w:p>
    <w:p>
      <w:pPr>
        <w:pStyle w:val="DocBody"/>
      </w:pPr>
      <w:r>
        <w:rPr>
          <w:rFonts w:ascii="Times New Roman" w:hAnsi="Times New Roman" w:eastAsia="宋体"/>
          <w:sz w:val="24"/>
        </w:rPr>
        <w:t>Code, Title 26, Sections 167, 168, and 174; capital income and rent categories). Sections 167 and 168 govern general depreciation of business assets; Sec- tion 174, as amended by the Tax Cuts and Jobs Act of 2017 (Pub. L. 115-97, 2017), governs amortization of research and development expenditures. Accelerated depreciation allows firms to claim the economic cost of long-lived investments before the assets actually wear out, raising the after-tax return on investment by reducing its present value of tax cost. In our six- category framework, these provisions operate in the capital income and above-normal returns categories.</w:t>
      </w:r>
    </w:p>
    <w:p>
      <w:pPr>
        <w:pStyle w:val="DocBody"/>
      </w:pPr>
      <w:r>
        <w:rPr>
          <w:rFonts w:ascii="Times New Roman" w:hAnsi="Times New Roman" w:eastAsia="宋体"/>
          <w:sz w:val="24"/>
        </w:rPr>
        <w:t>Whether they support employment depends entirely on the nature of the investment. When applied to equipment or software that augments worker pro- ductivity without reducing head count, accelerated depreciation indirectly supports labor demand.</w:t>
      </w:r>
    </w:p>
    <w:p>
      <w:pPr>
        <w:pStyle w:val="DocBody"/>
      </w:pPr>
      <w:r>
        <w:rPr>
          <w:rFonts w:ascii="Times New Roman" w:hAnsi="Times New Roman" w:eastAsia="宋体"/>
          <w:sz w:val="24"/>
        </w:rPr>
        <w:t>When applied to robotic systems, AI software, or other labor-substituting capital, it functions as a direct subsidy to displacement by lowering the after- tax hurdle rate for automation investments without regard to their employment effects. The tax code makes no distinction between these uses. For the 2020 tax year, firms claimed approximately $707 bil- lion in depreciation and $165 billion in amortization for a combined $872 billion that shapes the capital- versus-labor cost calculus for every major business investment (Price and Suresh, 2026). In the AI era, making this provision employment-neutral requires either denying accelerated treatment for labor- replacing automation or creating a compensating incentive for employment retention that offsets the automation subsidy.</w:t>
      </w:r>
    </w:p>
    <w:p>
      <w:pPr>
        <w:pStyle w:val="DocBody"/>
      </w:pPr>
      <w:r>
        <w:rPr>
          <w:rFonts w:ascii="Times New Roman" w:hAnsi="Times New Roman" w:eastAsia="宋体"/>
          <w:sz w:val="24"/>
        </w:rPr>
        <w:t>•  Work Opportunity Tax Credit (WOTC) (U.S.</w:t>
      </w:r>
    </w:p>
    <w:p>
      <w:pPr>
        <w:pStyle w:val="DocBody"/>
      </w:pPr>
      <w:r>
        <w:rPr>
          <w:rFonts w:ascii="Times New Roman" w:hAnsi="Times New Roman" w:eastAsia="宋体"/>
          <w:sz w:val="24"/>
        </w:rPr>
        <w:t>Code, Title 26, Sections 51 and 52; labor earnings category). Before it expired at the end of 2025, the WOTC provided a tax credit equal to 40 percent of qualified first-year wages (up to $6,000) and</w:t>
      </w:r>
    </w:p>
    <w:p>
      <w:pPr>
        <w:pStyle w:val="DocBody"/>
      </w:pPr>
      <w:r>
        <w:rPr>
          <w:rFonts w:ascii="Times New Roman" w:hAnsi="Times New Roman" w:eastAsia="宋体"/>
          <w:sz w:val="24"/>
        </w:rPr>
        <w:t>25 percent in the second year for workers hired from ten targeted groups with weak labor market attach- ment, including recipients of Supplemental Nutri- tion Assistance Program benefits, veterans, people with prior felony convictions, and the long-term unemployed. Within our six-category framework, the WOTC operated in the labor earnings category:</w:t>
      </w:r>
    </w:p>
    <w:p>
      <w:pPr>
        <w:pStyle w:val="DocBody"/>
      </w:pPr>
      <w:r>
        <w:rPr>
          <w:rFonts w:ascii="Times New Roman" w:hAnsi="Times New Roman" w:eastAsia="宋体"/>
          <w:sz w:val="24"/>
        </w:rPr>
        <w:t>It converted a share of wage cost into a tax credit, which is more valuable dollar-for-dollar than a deduction at any positive tax rate. This provision was unambiguously employment-supportive in both design and intent because it targeted hiring pre- cisely for workers most at risk of structural displace- ment. Its practical limitation was administrative complexity. The qualification and certification pro- cess required filing paperwork with state workforce agencies before or shortly after hire, and evidence from a study by Fenizia, Li, and Citino (2026) indi- cated that many firms with eligible workers did not claim the credit because of compliance burden. This complexity was a failure of policy design rather than an inherent problem with the policy intent. A sim- plified WOTC that retains targeting criteria while reducing compliance friction would be substantially more effective, and expanding the covered catego- ries to include workers displaced by AI-related job loss would make it a frontline instrument in the transition response.</w:t>
      </w:r>
    </w:p>
    <w:p>
      <w:pPr>
        <w:pStyle w:val="DocBody"/>
      </w:pPr>
      <w:r>
        <w:rPr>
          <w:rFonts w:ascii="Times New Roman" w:hAnsi="Times New Roman" w:eastAsia="宋体"/>
          <w:sz w:val="24"/>
        </w:rPr>
        <w:t>•  Paycheck Protection Program (PPP) (Corona­ virus Aid, Relief, and Economic Security [CARES] Act [Pub. L. 116–136, 2020]; labor earnings cat- egory, emergency). The PPP provided forgivable loans to small businesses conditioned on payroll maintenance during the coronavirus disease 2019 (COVID-19) shutdown, ultimately costing approxi- mately $800 billion. Within our six-category frame- work, the PPP was an emergency payroll subsidy in the labor earnings category that was routed through banks rather than the tax code directly but was functionally equivalent to a temporary wage subsidy.</w:t>
      </w:r>
    </w:p>
    <w:p>
      <w:pPr>
        <w:pStyle w:val="DocBody"/>
      </w:pPr>
      <w:r>
        <w:rPr>
          <w:rFonts w:ascii="Times New Roman" w:hAnsi="Times New Roman" w:eastAsia="宋体"/>
          <w:sz w:val="24"/>
        </w:rPr>
        <w:t>Research by Autor et al. (2022) found that the PPP preserved between 2 million and 3 million job-years of employment over 14 months, at a cost of approxi- mately $169,000 to $258,000 per job-year retained, with only 23 to 34 percent of funds reaching workers who would otherwise have lost jobs. The remainder was accrued to business owners, shareholders, and creditors. The PPP’s instructional value for AI dis- placement policy is precisely this gap between intent and targeting: A payroll-protection mechanism designed for structural displacement would require far tighter conditionality to avoid replicating the PPP’s efficiency losses at far larger scale. Thus, as with the WOTC, program design choices limited the overall efficacy and efficiency of the policy.</w:t>
      </w:r>
    </w:p>
    <w:p>
      <w:pPr>
        <w:pStyle w:val="DocBody"/>
      </w:pPr>
      <w:r>
        <w:rPr>
          <w:rFonts w:ascii="Times New Roman" w:hAnsi="Times New Roman" w:eastAsia="宋体"/>
          <w:sz w:val="24"/>
        </w:rPr>
        <w:t>•  Industry-specific niche provisions (multiple cat- egories). The tax code contains hundreds of nar- rowly targeted industry-specific provisions with incidental effects on labor demand, such as the mine rescue team training credit (U.S. Code, Title 26, Section 45N), employer-provided child care cred- its (U.S. Code, Title 26, Section 45F), and various energy production credits that generate construc- tion and operations employment, among many others. These provisions are distributed across multiple categories in our six-category framework,</w:t>
      </w:r>
    </w:p>
    <w:p>
      <w:pPr>
        <w:pStyle w:val="DocBody"/>
      </w:pPr>
      <w:r>
        <w:rPr>
          <w:rFonts w:ascii="Times New Roman" w:hAnsi="Times New Roman" w:eastAsia="宋体"/>
          <w:sz w:val="24"/>
        </w:rPr>
        <w:t>depending on their structure. As a class, they are difficult to evaluate in aggregate: Their compliance cost is high relative to their labor effect, and their coverage is inherently reactive and fragmented.</w:t>
      </w:r>
    </w:p>
    <w:p>
      <w:pPr>
        <w:pStyle w:val="DocBody"/>
      </w:pPr>
      <w:r>
        <w:rPr>
          <w:rFonts w:ascii="Times New Roman" w:hAnsi="Times New Roman" w:eastAsia="宋体"/>
          <w:sz w:val="24"/>
        </w:rPr>
        <w:t>More importantly, industry-specific carve-outs are not a scalable response to an economy-wide struc- tural shift. AI displacement will affect nearly every sector; a sector-by-sector patchwork of tax credits cannot substitute for reforms that operate across the full economy.</w:t>
      </w:r>
    </w:p>
    <w:p>
      <w:pPr>
        <w:pStyle w:val="DocBody"/>
      </w:pPr>
      <w:r>
        <w:rPr>
          <w:rFonts w:ascii="Times New Roman" w:hAnsi="Times New Roman" w:eastAsia="宋体"/>
          <w:sz w:val="24"/>
        </w:rPr>
        <w:t>Mapping existing provisions against the six-category framework reveals a clear pattern: The capital-versus-labor tax rate structure is the core problem. The WOTC is the only provision in the U.S. tax code that is unambiguously employment-supportive in both mechanism and target- ing. The Section 162 wage deduction supports employment structurally but provides no advantage over automation capital. Accelerated depreciation is at best neutral and at worst an active subsidy to displacement when applied to AI and robotics. The PPP demonstrated that emergency pay- roll support can work but is difficult to target efficiently.</w:t>
      </w:r>
    </w:p>
    <w:p>
      <w:pPr>
        <w:pStyle w:val="DocBody"/>
      </w:pPr>
      <w:r>
        <w:rPr>
          <w:rFonts w:ascii="Times New Roman" w:hAnsi="Times New Roman" w:eastAsia="宋体"/>
          <w:sz w:val="24"/>
        </w:rPr>
        <w:t>Niche provisions are too narrow to do material work at scale.</w:t>
      </w:r>
    </w:p>
    <w:p>
      <w:pPr>
        <w:pStyle w:val="DocBody"/>
      </w:pPr>
      <w:r>
        <w:rPr>
          <w:rFonts w:ascii="Times New Roman" w:hAnsi="Times New Roman" w:eastAsia="宋体"/>
          <w:sz w:val="24"/>
        </w:rPr>
        <w:t>None of the provisions discussed above addresses the structural asymmetry at the heart of the problem: A tax rate structure in which capital income faces lower effective rates than labor income means that, as automation shifts production from labor to capital, the after-tax return on displacing workers rises automatically under existing law.</w:t>
      </w:r>
    </w:p>
    <w:p>
      <w:pPr>
        <w:pStyle w:val="DocBody"/>
      </w:pPr>
      <w:r>
        <w:rPr>
          <w:rFonts w:ascii="Times New Roman" w:hAnsi="Times New Roman" w:eastAsia="宋体"/>
          <w:sz w:val="24"/>
        </w:rPr>
        <w:t>Addressing this structural tilt, rather than layering new credits onto the existing code, is the primary task of the broad-based tax reform agenda that we propose in this paper.</w:t>
      </w:r>
    </w:p>
    <w:p>
      <w:pPr>
        <w:pStyle w:val="DocBody"/>
      </w:pPr>
      <w:r>
        <w:rPr>
          <w:rFonts w:ascii="Times New Roman" w:hAnsi="Times New Roman" w:eastAsia="宋体"/>
          <w:sz w:val="24"/>
        </w:rPr>
        <w:t>The Capital-Labor Rate Gap Labor-displacing AI will inherently shift income from labor to capital, but, at present, capital income tax rates are less than labor tax rates. Firms are taxed at a notional marginal rate of 21 percent, although the effective rate is typically much lower and is frequently zero. Capital gains, meanwhile, are taxed, at most, at a rate of 20 percent, and capital gains on inheritances are frequently not taxed at all.</w:t>
      </w:r>
    </w:p>
    <w:p>
      <w:pPr>
        <w:pStyle w:val="DocBody"/>
      </w:pPr>
      <w:r>
        <w:rPr>
          <w:rFonts w:ascii="Times New Roman" w:hAnsi="Times New Roman" w:eastAsia="宋体"/>
          <w:sz w:val="24"/>
        </w:rPr>
        <w:t>By comparison, for the 2025 tax year, an individual who made $50,401 paid a marginal rate of 22 percent, and many tax brackets were over 30 percent.</w:t>
      </w:r>
    </w:p>
    <w:p>
      <w:pPr>
        <w:pStyle w:val="DocBody"/>
      </w:pPr>
      <w:r>
        <w:rPr>
          <w:rFonts w:ascii="Times New Roman" w:hAnsi="Times New Roman" w:eastAsia="宋体"/>
          <w:sz w:val="24"/>
        </w:rPr>
        <w:t>In a world with labor-replacing AI, the federal gov- ernment will likely need additional revenue from capital to make up for declining revenue from labor income;</w:t>
      </w:r>
    </w:p>
    <w:p>
      <w:pPr>
        <w:pStyle w:val="DocBody"/>
      </w:pPr>
      <w:r>
        <w:rPr>
          <w:rFonts w:ascii="Times New Roman" w:hAnsi="Times New Roman" w:eastAsia="宋体"/>
          <w:sz w:val="24"/>
        </w:rPr>
        <w:t>therefore, lawmakers will likely need to reduce the rate gap between capital and labor taxes. Shifting more of the tax burden onto capital would not inherently sup- Mapping existing provisions against the six-category framework reveals a clear pattern:</w:t>
      </w:r>
    </w:p>
    <w:p>
      <w:pPr>
        <w:pStyle w:val="DocBody"/>
      </w:pPr>
      <w:r>
        <w:rPr>
          <w:rFonts w:ascii="Times New Roman" w:hAnsi="Times New Roman" w:eastAsia="宋体"/>
          <w:sz w:val="24"/>
        </w:rPr>
        <w:t>The capital-versus-labor tax rate structure is the core problem.</w:t>
      </w:r>
    </w:p>
    <w:p>
      <w:pPr>
        <w:pStyle w:val="DocBody"/>
      </w:pPr>
      <w:r>
        <w:rPr>
          <w:rFonts w:ascii="Times New Roman" w:hAnsi="Times New Roman" w:eastAsia="宋体"/>
          <w:sz w:val="24"/>
        </w:rPr>
        <w:t>port or undermine employment, but, as described above, some approaches to taxing capital income would be more employment-supporting than others.</w:t>
      </w:r>
    </w:p>
    <w:p>
      <w:pPr>
        <w:pStyle w:val="DocBody"/>
      </w:pPr>
      <w:r>
        <w:rPr>
          <w:rFonts w:ascii="Times New Roman" w:hAnsi="Times New Roman" w:eastAsia="宋体"/>
          <w:sz w:val="24"/>
        </w:rPr>
        <w:t>Given the rapid pace of advancement in AI and the general-purpose nature of the technology, it is unlikely that lawmakers could accurately and consistently distinguish between labor-replacing and productivity-enhancing auto- mation. So, instead of targeting the input technologies, it may be more effective to target the outcomes. Specifically, the number of employees within a firm could be a useful proxy for the adoption of productivity-enhancing technolo- gies rather than labor-replacing automation. One approach for generating revenue this way would be a progressive corporate tax that is charged based on net income per worker. Under a progressive corporate tax on net income per worker, firms would be incentivized to retain more workers than in the status quo because the utility calcula- tion would include both the productivity of the worker and the marginal tax reduction associated with each additional worker. Essentially, each additional employee would gener- ate a small tax break for the firm, making it good business to keep workers who can produce some value.</w:t>
      </w:r>
    </w:p>
    <w:p>
      <w:pPr>
        <w:pStyle w:val="DocBody"/>
      </w:pPr>
      <w:r>
        <w:rPr>
          <w:rFonts w:ascii="Times New Roman" w:hAnsi="Times New Roman" w:eastAsia="宋体"/>
          <w:sz w:val="24"/>
        </w:rPr>
        <w:t>When designing a broad-based tax code that consid- ers AI, policymakers need to balance the promotion of automation that results in a larger economic pie against the protection of demand for human labor that supports a broad well-being. So, although a ban on labor-replacing AI would preserve jobs, it could also prevent the economy from benefiting from greater efficiency. Likewise, an econ- omy that restricts the adoption of new methods would not grow at the same pace, particularly if other countries con- tinue to develop and deploy automation technologies. In principle, policymakers could have the best of both worlds by restricting the adoption of only labor-replacing AI sys- tems. However, that would require policymakers to be able to identify those technologies in advance.</w:t>
      </w:r>
    </w:p>
    <w:p>
      <w:pPr>
        <w:pStyle w:val="DocBody"/>
      </w:pPr>
      <w:r>
        <w:rPr>
          <w:rFonts w:ascii="Times New Roman" w:hAnsi="Times New Roman" w:eastAsia="宋体"/>
          <w:sz w:val="24"/>
        </w:rPr>
        <w:t>Synthesis: A Broad-Based Tax Reform Package Our six-category analysis points to a potential coherent reform package for the U.S. government to stabilize its revenue even as AI displaces workers. The core logic is to reduce the tax penalty on human labor, increase the tax burden on the rents and concentrated wealth that AI gener- The core logic is to reduce the tax penalty on human labor, increase the tax burden on the rents and concentrated wealth that AI generates, and build a consumption- based revenue base that is robust to the labor-to- capital income shift.</w:t>
      </w:r>
    </w:p>
    <w:p>
      <w:pPr>
        <w:pStyle w:val="DocBody"/>
      </w:pPr>
      <w:r>
        <w:rPr>
          <w:rFonts w:ascii="Times New Roman" w:hAnsi="Times New Roman" w:eastAsia="宋体"/>
          <w:sz w:val="24"/>
        </w:rPr>
        <w:t>ates, and build a consumption-based revenue base that is robust to the labor-to-capital income shift, which could be achieved by the following tax changes:</w:t>
      </w:r>
    </w:p>
    <w:p>
      <w:pPr>
        <w:pStyle w:val="DocBody"/>
      </w:pPr>
      <w:r>
        <w:rPr>
          <w:rFonts w:ascii="Times New Roman" w:hAnsi="Times New Roman" w:eastAsia="宋体"/>
          <w:sz w:val="24"/>
        </w:rPr>
        <w:t>•  On the labor earnings side, shifting employer-side payroll taxes toward a per-worker corporate tax incentive would reduce the cost of employment and would be revenue-neutral.</w:t>
      </w:r>
    </w:p>
    <w:p>
      <w:pPr>
        <w:pStyle w:val="DocBody"/>
      </w:pPr>
      <w:r>
        <w:rPr>
          <w:rFonts w:ascii="Times New Roman" w:hAnsi="Times New Roman" w:eastAsia="宋体"/>
          <w:sz w:val="24"/>
        </w:rPr>
        <w:t>•  On the personal income side, changes could be made to capital income taxation, such as eliminat- ing the step-up in basis and narrowing the capital- labor rate gap.</w:t>
      </w:r>
    </w:p>
    <w:p>
      <w:pPr>
        <w:pStyle w:val="DocBody"/>
      </w:pPr>
      <w:r>
        <w:rPr>
          <w:rFonts w:ascii="Times New Roman" w:hAnsi="Times New Roman" w:eastAsia="宋体"/>
          <w:sz w:val="24"/>
        </w:rPr>
        <w:t>•  On the rent side, an allowance for corporate equity or progressive per-worker corporate tax would capture AI rents without taxing normal returns to productive capital.</w:t>
      </w:r>
    </w:p>
    <w:p>
      <w:pPr>
        <w:pStyle w:val="DocBody"/>
      </w:pPr>
      <w:r>
        <w:rPr>
          <w:rFonts w:ascii="Times New Roman" w:hAnsi="Times New Roman" w:eastAsia="宋体"/>
          <w:sz w:val="24"/>
        </w:rPr>
        <w:t>•  On the consumption side, a federal VAT with a low- income rebate would provide a revenue floor that is independent of the labor-capital split.</w:t>
      </w:r>
    </w:p>
    <w:p>
      <w:pPr>
        <w:pStyle w:val="DocBody"/>
      </w:pPr>
      <w:r>
        <w:rPr>
          <w:rFonts w:ascii="Times New Roman" w:hAnsi="Times New Roman" w:eastAsia="宋体"/>
          <w:sz w:val="24"/>
        </w:rPr>
        <w:t>•  Although wealth taxes are currently unconstitu- tional, research could be done to explore the trade- offs, feasibility, and design of such a tax. Then, policy­makers and the public could assess the suit- ability of such a tax and whether a constitutional amendment is warranted.</w:t>
      </w:r>
    </w:p>
    <w:p>
      <w:pPr>
        <w:pStyle w:val="DocBody"/>
      </w:pPr>
      <w:r>
        <w:rPr>
          <w:rFonts w:ascii="Times New Roman" w:hAnsi="Times New Roman" w:eastAsia="宋体"/>
          <w:sz w:val="24"/>
        </w:rPr>
        <w:t>•  On the wealth and inheritance side, a minimum income tax on unrealized gains and a cumulative gift tax would address dynastic concentration with- out requiring new constitutional authority.</w:t>
      </w:r>
    </w:p>
    <w:p>
      <w:pPr>
        <w:pStyle w:val="DocBody"/>
      </w:pPr>
      <w:r>
        <w:rPr>
          <w:rFonts w:ascii="Times New Roman" w:hAnsi="Times New Roman" w:eastAsia="宋体"/>
          <w:sz w:val="24"/>
        </w:rPr>
        <w:t>None of these reforms requires predicting which specific AI technologies will be labor-replacing versus productivity-enhancing, which is a distinction that is administratively impractical to enforce, as noted above.</w:t>
      </w:r>
    </w:p>
    <w:p>
      <w:pPr>
        <w:pStyle w:val="DocBody"/>
      </w:pPr>
      <w:r>
        <w:rPr>
          <w:rFonts w:ascii="Times New Roman" w:hAnsi="Times New Roman" w:eastAsia="宋体"/>
          <w:sz w:val="24"/>
        </w:rPr>
        <w:t>The reforms instead target outcomes: taxing the rents and wealth that result from labor displacement regard- less of the technological path that produced them. Taken together, these reforms represent the most direct available path toward a tax code that does not accelerate the erosion of demand for human labor. And, if taken in combination, they could replace the revenue lost from labor-based taxes that is needed to keep the federal government solvent.</w:t>
      </w:r>
    </w:p>
    <w:p>
      <w:pPr>
        <w:pStyle w:val="DocBody"/>
      </w:pPr>
      <w:r>
        <w:rPr>
          <w:rFonts w:ascii="Times New Roman" w:hAnsi="Times New Roman" w:eastAsia="宋体"/>
          <w:sz w:val="24"/>
        </w:rPr>
        <w:t>APPENDIX A Derivation of the Six-Category Tax Framework The six-category framework we used in our analysis—labor earnings, above-normal returns and rents, capital income, consumption, wealth and net worth, and transfer and inheritance—emerged from a long sequence of develop- ments in public finance theory that progressively disaggre- gated what the earliest comprehensive income frameworks treated as a single unified tax base. In this appendix, we trace that intellectual lineage and explain why each cat- egory requires separate analytical treatment.</w:t>
      </w:r>
    </w:p>
    <w:p>
      <w:pPr>
        <w:pStyle w:val="DocBody"/>
      </w:pPr>
      <w:r>
        <w:rPr>
          <w:rFonts w:ascii="Times New Roman" w:hAnsi="Times New Roman" w:eastAsia="宋体"/>
          <w:sz w:val="24"/>
        </w:rPr>
        <w:t>The Haig-Simons Starting Point: One Tax Base The modern income tax concept derives from the Haig- Simons comprehensive income definition: Taxable income equals consumption plus the change in net worth over a period. In this definition, labor earnings and capital income are both components of a single tax base, and there is no principled reason to tax them at different rates. Both Haig (1921) and Simons (1938) emphasized comprehensive-</w:t>
      </w:r>
    </w:p>
    <w:p>
      <w:pPr>
        <w:pStyle w:val="DocBody"/>
      </w:pPr>
      <w:r>
        <w:rPr>
          <w:rFonts w:ascii="Times New Roman" w:hAnsi="Times New Roman" w:eastAsia="宋体"/>
          <w:sz w:val="24"/>
        </w:rPr>
        <w:t>ness as the central virtue of a sound income tax: an accre- tion concept that includes wages, dividends, interest, rents, and unrealized capital gains alike. The appeal is simplicity and horizontal equity: Two taxpayers with the same eco- nomic income would face the same tax burden regardless of source.</w:t>
      </w:r>
    </w:p>
    <w:p>
      <w:pPr>
        <w:pStyle w:val="DocBody"/>
      </w:pPr>
      <w:r>
        <w:rPr>
          <w:rFonts w:ascii="Times New Roman" w:hAnsi="Times New Roman" w:eastAsia="宋体"/>
          <w:sz w:val="24"/>
        </w:rPr>
        <w:t>The practical U.S. tax code departs from Haig-Simons in nearly every dimension: Capital gains are taxed only on realization at preferential rates, unrealized gains pass to heirs free of income tax via the step-up in basis, and busi- ness income is taxed through a separate corporate system.</w:t>
      </w:r>
    </w:p>
    <w:p>
      <w:pPr>
        <w:pStyle w:val="DocBody"/>
      </w:pPr>
      <w:r>
        <w:rPr>
          <w:rFonts w:ascii="Times New Roman" w:hAnsi="Times New Roman" w:eastAsia="宋体"/>
          <w:sz w:val="24"/>
        </w:rPr>
        <w:t>Understanding why—and under what conditions—optimal tax theory departed from the Haig-Simons definition is the foundation for our six-category framework.</w:t>
      </w:r>
    </w:p>
    <w:p>
      <w:pPr>
        <w:pStyle w:val="DocBody"/>
      </w:pPr>
      <w:r>
        <w:rPr>
          <w:rFonts w:ascii="Times New Roman" w:hAnsi="Times New Roman" w:eastAsia="宋体"/>
          <w:sz w:val="24"/>
        </w:rPr>
        <w:t>Why Labor and Capital Were Separated:</w:t>
      </w:r>
    </w:p>
    <w:p>
      <w:pPr>
        <w:pStyle w:val="DocBody"/>
      </w:pPr>
      <w:r>
        <w:rPr>
          <w:rFonts w:ascii="Times New Roman" w:hAnsi="Times New Roman" w:eastAsia="宋体"/>
          <w:sz w:val="24"/>
        </w:rPr>
        <w:t>Ramsey and Diamond-Mirrlees Ramsey’s 1927 paper on optimal commodity taxation established that tax rates on different goods and factors should be inversely proportional to their price elasticities— the inverse elasticity rule. Capital, in theory, has a more elastic long-run supply than labor because it can move across borders or be deferred through timing choices, which provides an initial theoretical basis for taxing it at lower rates.</w:t>
      </w:r>
    </w:p>
    <w:p>
      <w:pPr>
        <w:pStyle w:val="DocBody"/>
      </w:pPr>
      <w:r>
        <w:rPr>
          <w:rFonts w:ascii="Times New Roman" w:hAnsi="Times New Roman" w:eastAsia="宋体"/>
          <w:sz w:val="24"/>
        </w:rPr>
        <w:t>Diamond and Mirrlees (1971a, 1971b) extended opti- mal tax theory to a production economy and established the production efficiency theorem: Optimal tax policy should not distort firms’ choices between factors of produc- tion. This theorem implies that taxing final consumption is preferable to taxing factor inputs directly—an important motivation for the consumption tax category. Mirrlees (1971) introduced the nonlinear optimal income tax model by asking how to design a progressive tax schedule when the government cannot observe individual productivity, only reported earnings. His framework established why progressive labor income taxation is theoretically justified and why it constitutes a distinct category: The relevant behavioral response—labor supply—differs fundamentally from the savings decisions that drive capital income.</w:t>
      </w:r>
    </w:p>
    <w:p>
      <w:pPr>
        <w:pStyle w:val="DocBody"/>
      </w:pPr>
      <w:r>
        <w:rPr>
          <w:rFonts w:ascii="Times New Roman" w:hAnsi="Times New Roman" w:eastAsia="宋体"/>
          <w:sz w:val="24"/>
        </w:rPr>
        <w:t>The Zero Capital Tax Results: Atkinson- Stiglitz and Chamley-Judd Two findings from research in the 1970s and 1980s raised strong theoretical objections to taxing capital income at all.</w:t>
      </w:r>
    </w:p>
    <w:p>
      <w:pPr>
        <w:pStyle w:val="DocBody"/>
      </w:pPr>
      <w:r>
        <w:rPr>
          <w:rFonts w:ascii="Times New Roman" w:hAnsi="Times New Roman" w:eastAsia="宋体"/>
          <w:sz w:val="24"/>
        </w:rPr>
        <w:t>Atkinson and Stiglitz (1976) showed that, if consumer pref- erences are weakly separable between consumption and labor supply, optimal commodity taxes should be uniform, and the optimal tax on capital income is zero. The logic is as follows: Taxing capital income is equivalent to taxing future consumption at a higher rate than present consump- tion, which distorts intertemporal choices without a redis- tributive benefit when preferences have this separability structure.</w:t>
      </w:r>
    </w:p>
    <w:p>
      <w:pPr>
        <w:pStyle w:val="DocBody"/>
      </w:pPr>
      <w:r>
        <w:rPr>
          <w:rFonts w:ascii="Times New Roman" w:hAnsi="Times New Roman" w:eastAsia="宋体"/>
          <w:sz w:val="24"/>
        </w:rPr>
        <w:t>Chamley (1986) and Judd (1985) independently derived a related result in dynamic general equilibrium: In a model with infinite-horizon households, the long-run optimal capital income tax converges to zero. Even a small tax on capital compounds over time into a growing intertemporal distortion that eventually dominates any redistributive benefit. These results were highly influential in policy dis- cussions, underpinning arguments for capital gains prefer- ences and the Blueprints for Basic Tax Reform (Bradford, 1986; U.S. Department of the Treasury, 1977), which pro-</w:t>
      </w:r>
    </w:p>
    <w:p>
      <w:pPr>
        <w:pStyle w:val="DocBody"/>
      </w:pPr>
      <w:r>
        <w:rPr>
          <w:rFonts w:ascii="Times New Roman" w:hAnsi="Times New Roman" w:eastAsia="宋体"/>
          <w:sz w:val="24"/>
        </w:rPr>
        <w:t>posed replacing the income tax with a consumption-based tax that would exempt the fair-market gains from savings.</w:t>
      </w:r>
    </w:p>
    <w:p>
      <w:pPr>
        <w:pStyle w:val="DocBody"/>
      </w:pPr>
      <w:r>
        <w:rPr>
          <w:rFonts w:ascii="Times New Roman" w:hAnsi="Times New Roman" w:eastAsia="宋体"/>
          <w:sz w:val="24"/>
        </w:rPr>
        <w:t>The Rehabilitation of Capital Taxation:</w:t>
      </w:r>
    </w:p>
    <w:p>
      <w:pPr>
        <w:pStyle w:val="DocBody"/>
      </w:pPr>
      <w:r>
        <w:rPr>
          <w:rFonts w:ascii="Times New Roman" w:hAnsi="Times New Roman" w:eastAsia="宋体"/>
          <w:sz w:val="24"/>
        </w:rPr>
        <w:t>Straub-Werning and New Dynamic Public Finance Subsequent research demonstrated that the Chamley-Judd results depend on assumptions that break down in realistic settings. Straub and Werning (2020), working within the exact models that Chamley and Judd specified, showed that the zero-capital-tax conclusion holds only when the intertemporal elasticity of substitution equals exactly one (logarithmic utility). For empirically estimated preference parameters—which consistently fall below one—the opti- mal long-run capital tax is strictly positive. This finding effectively closed the theoretical case against capital taxa- tion and rehabilitated it as a sound policy instrument.</w:t>
      </w:r>
    </w:p>
    <w:p>
      <w:pPr>
        <w:pStyle w:val="DocBody"/>
      </w:pPr>
      <w:r>
        <w:rPr>
          <w:rFonts w:ascii="Times New Roman" w:hAnsi="Times New Roman" w:eastAsia="宋体"/>
          <w:sz w:val="24"/>
        </w:rPr>
        <w:t>A parallel strand—the New Dynamic Public Finance, developed by Golosov, Kocherlakota, and Tsyvinski (2003)—extended the Mirrlees (1971) model to dynamic settings in which agents’ productivities evolve stochasti- cally and are unobservable by the government. In these models, capital income taxes serve as instruments for providing insurance against productivity shocks, and posi- tive optimal capital tax rates emerge naturally. Saez (2001)</w:t>
      </w:r>
    </w:p>
    <w:p>
      <w:pPr>
        <w:pStyle w:val="DocBody"/>
      </w:pPr>
      <w:r>
        <w:rPr>
          <w:rFonts w:ascii="Times New Roman" w:hAnsi="Times New Roman" w:eastAsia="宋体"/>
          <w:sz w:val="24"/>
        </w:rPr>
        <w:t>derived tractable optimal marginal income tax formulas in terms of observable elasticities, making the theoretical literature directly applicable to empirical tax policy. Pik- etty, Saez, and Stantcheva (2014) extended this to show that when rents are present—returns attributable to bargaining power rather than marginal productivity—optimal top marginal rates can substantially exceed 70 percent without efficiency loss.</w:t>
      </w:r>
    </w:p>
    <w:p>
      <w:pPr>
        <w:pStyle w:val="DocBody"/>
      </w:pPr>
      <w:r>
        <w:rPr>
          <w:rFonts w:ascii="Times New Roman" w:hAnsi="Times New Roman" w:eastAsia="宋体"/>
          <w:sz w:val="24"/>
        </w:rPr>
        <w:t>The Dual Income Tax System: A Pragmatic Resolution Sørensen (1994) described the Nordic dual income tax system as a practical resolution of the labor-capital rate tension. Under the dual income tax system, labor income is taxed at progressive rates while capital income—dividends, interest, capital gains, and business profits—is taxed at a single flat rate equal to the lowest marginal labor income tax rate. The flat rate prevents avoidance through income shifting while preserving progressivity on wages. The Mirrlees Review (Institute for Fiscal Studies and Mirrlees, 2011), the most comprehensive post–Chamley-Judd synthe- sis of optimal tax theory and policy design, reached a simi- lar pragmatic conclusion: Moderate and consistent taxation of normal returns to capital is justified but should be at a lower rate than that on labor income, with above-normal returns taxed at higher rates.</w:t>
      </w:r>
    </w:p>
    <w:p>
      <w:pPr>
        <w:pStyle w:val="DocBody"/>
      </w:pPr>
      <w:r>
        <w:rPr>
          <w:rFonts w:ascii="Times New Roman" w:hAnsi="Times New Roman" w:eastAsia="宋体"/>
          <w:sz w:val="24"/>
        </w:rPr>
        <w:t>Why Rents Require Their Own Category Above-normal returns—profits in excess of the competi- tive return to capital—arise from market power, network effects, intellectual property, or first-mover advantages in technology markets. From a tax design perspective, rents are qualitatively different from normal capital returns:</w:t>
      </w:r>
    </w:p>
    <w:p>
      <w:pPr>
        <w:pStyle w:val="DocBody"/>
      </w:pPr>
      <w:r>
        <w:rPr>
          <w:rFonts w:ascii="Times New Roman" w:hAnsi="Times New Roman" w:eastAsia="宋体"/>
          <w:sz w:val="24"/>
        </w:rPr>
        <w:t>They are not necessary to induce investment, so, in theory, taxing them imposes no distortion on investment decisions. This is the theoretical basis for the Diamond-</w:t>
      </w:r>
    </w:p>
    <w:p>
      <w:pPr>
        <w:pStyle w:val="DocBody"/>
      </w:pPr>
      <w:r>
        <w:rPr>
          <w:rFonts w:ascii="Times New Roman" w:hAnsi="Times New Roman" w:eastAsia="宋体"/>
          <w:sz w:val="24"/>
        </w:rPr>
        <w:t>Mirrlees prescription that economic rents should bear higher effective rates than those on normal capital returns.</w:t>
      </w:r>
    </w:p>
    <w:p>
      <w:pPr>
        <w:pStyle w:val="DocBody"/>
      </w:pPr>
      <w:r>
        <w:rPr>
          <w:rFonts w:ascii="Times New Roman" w:hAnsi="Times New Roman" w:eastAsia="宋体"/>
          <w:sz w:val="24"/>
        </w:rPr>
        <w:t>In the AI context, this distinction is crucial. AI-driven market concentration is expected to generate very large above-normal returns for firms with proprietary models, data advantages, and platform lock-in. These rents are cur- rently captured within the corporate income tax base, but effective corporate rates for large technology firms have run well below the statutory 21 percent because of accelerated depreciation, stock-based compensation deductions, and offshore profit allocation. A policy instrument specifically designed to reach above-normal returns—such as an allow- ance for corporate equity that exempts normal returns while taxing above-normal returns at full rates—is therefore a distinct and higher-priority instrument than the standard corporate income tax. This is why above-normal returns and rents constitute a separate category in our framework.</w:t>
      </w:r>
    </w:p>
    <w:p>
      <w:pPr>
        <w:pStyle w:val="DocBody"/>
      </w:pPr>
      <w:r>
        <w:rPr>
          <w:rFonts w:ascii="Times New Roman" w:hAnsi="Times New Roman" w:eastAsia="宋体"/>
          <w:sz w:val="24"/>
        </w:rPr>
        <w:t>Why Wealth and Inheritance Are Not Capital Income Capital income taxes reach the annual flow of returns:</w:t>
      </w:r>
    </w:p>
    <w:p>
      <w:pPr>
        <w:pStyle w:val="DocBody"/>
      </w:pPr>
      <w:r>
        <w:rPr>
          <w:rFonts w:ascii="Times New Roman" w:hAnsi="Times New Roman" w:eastAsia="宋体"/>
          <w:sz w:val="24"/>
        </w:rPr>
        <w:t>dividends, interest, rents, and realized gains. Wealth taxes reach the stock of accumulated assets directly, regardless of whether those assets generate reportable income in a given year. These are genuinely different tax bases with differ- ent distributional and behavioral properties. Many large fortunes generate little or no reportable income annually because appreciation is unrealized or channeled through tax-preferred structures, yet the wealth stock continues to grow. In an economy in which AI-driven asset apprecia- tion accelerates wealth accumulation at the top, a wealth tax would capture a share of this appreciation annually without depending on realization events. Saez and Zucman (2019) proposed a graduated annual wealth tax of 1 to 2 percent on fortunes greater than $10 million, estimated to raise $200 billion to $300 billion annually at wealth levels of the early 2020s.</w:t>
      </w:r>
    </w:p>
    <w:p>
      <w:pPr>
        <w:pStyle w:val="DocBody"/>
      </w:pPr>
      <w:r>
        <w:rPr>
          <w:rFonts w:ascii="Times New Roman" w:hAnsi="Times New Roman" w:eastAsia="宋体"/>
          <w:sz w:val="24"/>
        </w:rPr>
        <w:t>Inheritance taxes are further distinguished from both capital income and wealth taxes: They apply specifically to the transfer of accumulated wealth across generations.</w:t>
      </w:r>
    </w:p>
    <w:p>
      <w:pPr>
        <w:pStyle w:val="DocBody"/>
      </w:pPr>
      <w:r>
        <w:rPr>
          <w:rFonts w:ascii="Times New Roman" w:hAnsi="Times New Roman" w:eastAsia="宋体"/>
          <w:sz w:val="24"/>
        </w:rPr>
        <w:t>The step-up in basis at death—which resets the cost basis of inherited assets to fair market value at inheritance, perma- nently exempting lifetime unrealized gains from income tax—represents the structural gap at this intersection.</w:t>
      </w:r>
    </w:p>
    <w:p>
      <w:pPr>
        <w:pStyle w:val="DocBody"/>
      </w:pPr>
      <w:r>
        <w:rPr>
          <w:rFonts w:ascii="Times New Roman" w:hAnsi="Times New Roman" w:eastAsia="宋体"/>
          <w:sz w:val="24"/>
        </w:rPr>
        <w:t>Piketty and Saez (2013) derived optimal inheritance tax rates of 50 to 60 percent or higher for large bequests under standard parameter values. The federal estate tax of the early 2020s raises approximately $35 billion per year from an annual transfer base estimated at $5 trillion to $10 tril- lion, implying an effective rate less than 1 percent. The distinct behavioral and distributional logic of intergenera- tional wealth transfer—including the multigenerational compounding of concentrated AI wealth—justifies treating inheritance as a sixth separate category.</w:t>
      </w:r>
    </w:p>
    <w:p>
      <w:pPr>
        <w:pStyle w:val="DocBody"/>
      </w:pPr>
      <w:r>
        <w:rPr>
          <w:rFonts w:ascii="Times New Roman" w:hAnsi="Times New Roman" w:eastAsia="宋体"/>
          <w:sz w:val="24"/>
        </w:rPr>
        <w:t>APPENDIX B Baseline Assumptions:</w:t>
      </w:r>
    </w:p>
    <w:p>
      <w:pPr>
        <w:pStyle w:val="DocBody"/>
      </w:pPr>
      <w:r>
        <w:rPr>
          <w:rFonts w:ascii="Times New Roman" w:hAnsi="Times New Roman" w:eastAsia="宋体"/>
          <w:sz w:val="24"/>
        </w:rPr>
        <w:t>AI Productivity and Labor Displacement The quantitative projections in our analysis are grounded in a set of explicit baseline assumptions about the pace of AI adoption, the scale of labor displacement, the magni- tude of productivity gains, and the distributional pattern of effects across the workforce. In this appendix, we state</w:t>
      </w:r>
    </w:p>
    <w:p>
      <w:pPr>
        <w:pStyle w:val="DocBody"/>
      </w:pPr>
      <w:r>
        <w:rPr>
          <w:rFonts w:ascii="Times New Roman" w:hAnsi="Times New Roman" w:eastAsia="宋体"/>
          <w:sz w:val="24"/>
        </w:rPr>
        <w:t>those assumptions clearly, identify the key sources for each, and note where judgment has been required to reconcile conflicting estimates.</w:t>
      </w:r>
    </w:p>
    <w:p>
      <w:pPr>
        <w:pStyle w:val="DocBody"/>
      </w:pPr>
      <w:r>
        <w:rPr>
          <w:rFonts w:ascii="Times New Roman" w:hAnsi="Times New Roman" w:eastAsia="宋体"/>
          <w:sz w:val="24"/>
        </w:rPr>
        <w:t>Task Exposure: Which Workers Face Substitution Risk?</w:t>
      </w:r>
    </w:p>
    <w:p>
      <w:pPr>
        <w:pStyle w:val="DocBody"/>
      </w:pPr>
      <w:r>
        <w:rPr>
          <w:rFonts w:ascii="Times New Roman" w:hAnsi="Times New Roman" w:eastAsia="宋体"/>
          <w:sz w:val="24"/>
        </w:rPr>
        <w:t>The foundational empirical question is as follows: What share of the workforce performs tasks that existing or near- term AI systems could perform at comparable or lower cost? The literature has converged on a substantially lower estimate than the widely cited early work in this area.</w:t>
      </w:r>
    </w:p>
    <w:p>
      <w:pPr>
        <w:pStyle w:val="DocBody"/>
      </w:pPr>
      <w:r>
        <w:rPr>
          <w:rFonts w:ascii="Times New Roman" w:hAnsi="Times New Roman" w:eastAsia="宋体"/>
          <w:sz w:val="24"/>
        </w:rPr>
        <w:t>Frey and Osborne (2017), using a methodology that assigned overall susceptibility scores to entire occupations, estimated that 47 percent of U.S. employment is at high risk of automation. Similar work using more granular task- level analysis came up with a substantially lower estimate.</w:t>
      </w:r>
    </w:p>
    <w:p>
      <w:pPr>
        <w:pStyle w:val="DocBody"/>
      </w:pPr>
      <w:r>
        <w:rPr>
          <w:rFonts w:ascii="Times New Roman" w:hAnsi="Times New Roman" w:eastAsia="宋体"/>
          <w:sz w:val="24"/>
        </w:rPr>
        <w:t>Arntz, Gregory, and Zierahn (2016), working with OECD data and focusing on task bundles rather than occupations, estimated that approximately 9 percent of jobs in OECD countries face a high risk of automation. We do not use the Frey and Osborne 47-percent estimate as a baseline in our analysis because most occupations contain a mix of automatable and non-automatable tasks; assuming that an entire occupation disappears if any major task is automat- able overstates substitution risk.</w:t>
      </w:r>
    </w:p>
    <w:p>
      <w:pPr>
        <w:pStyle w:val="DocBody"/>
      </w:pPr>
      <w:r>
        <w:rPr>
          <w:rFonts w:ascii="Times New Roman" w:hAnsi="Times New Roman" w:eastAsia="宋体"/>
          <w:sz w:val="24"/>
        </w:rPr>
        <w:t>Eloundou et al. (2024) assessed the exposure of U.S.</w:t>
      </w:r>
    </w:p>
    <w:p>
      <w:pPr>
        <w:pStyle w:val="DocBody"/>
      </w:pPr>
      <w:r>
        <w:rPr>
          <w:rFonts w:ascii="Times New Roman" w:hAnsi="Times New Roman" w:eastAsia="宋体"/>
          <w:sz w:val="24"/>
        </w:rPr>
        <w:t>occupational tasks to generative pretrained transformer (GPT)–class models and found that approximately 80 per- cent of U.S. workers had at least 10 percent of their tasks exposed to large language model capabilities and approxi- mately 19 percent had more than 50 percent of their tasks exposed. Critically, Eloundou et al. found that exposure was highest among high-wage, high-education work- ers in professional services, finance, and information technology—a reversal of the pattern in industrial auto- mation, in which displacement was concentrated among middle-skill routine workers. This inversion has significant fiscal implications because the top decile of earners paid approximately 76 percent of federal income taxes in 2021 (Werfel and Johnson, 2024, Figure F).</w:t>
      </w:r>
    </w:p>
    <w:p>
      <w:pPr>
        <w:pStyle w:val="DocBody"/>
      </w:pPr>
      <w:r>
        <w:rPr>
          <w:rFonts w:ascii="Times New Roman" w:hAnsi="Times New Roman" w:eastAsia="宋体"/>
          <w:sz w:val="24"/>
        </w:rPr>
        <w:t>Baseline assumption used in our analysis: We used the Eloundou et al. (2024) task-exposure framework as a baseline assumption to identify which sectors and income groups face near-term risk. The Arntz, Gregory, and Zierahn (2016) estimates provide a check on the magnitude of actual displacement probability. We explicitly excluded the Frey and Osborne estimate from our baseline.</w:t>
      </w:r>
    </w:p>
    <w:p>
      <w:pPr>
        <w:pStyle w:val="DocBody"/>
      </w:pPr>
      <w:r>
        <w:rPr>
          <w:rFonts w:ascii="Times New Roman" w:hAnsi="Times New Roman" w:eastAsia="宋体"/>
          <w:sz w:val="24"/>
        </w:rPr>
        <w:t>Labor Displacement: Hours and Employment Task exposure does not translate one for one into job loss. Workers, firms, and markets adjust: Tasks are reas- signed, job definitions change, and new occupations emerge. The relevant quantity for fiscal modeling is actual displacement—reduction in labor hours or employment attributable to AI substitution.</w:t>
      </w:r>
    </w:p>
    <w:p>
      <w:pPr>
        <w:pStyle w:val="DocBody"/>
      </w:pPr>
      <w:r>
        <w:rPr>
          <w:rFonts w:ascii="Times New Roman" w:hAnsi="Times New Roman" w:eastAsia="宋体"/>
          <w:sz w:val="24"/>
        </w:rPr>
        <w:t>Acemoglu and Restrepo (2020) studied U.S. labor markets from 1990 to 2007 and found that each additional robot per 1,000 workers reduced employment by approxi- mately 0.2 percentage points and wages by 0.4 percent.</w:t>
      </w:r>
    </w:p>
    <w:p>
      <w:pPr>
        <w:pStyle w:val="DocBody"/>
      </w:pPr>
      <w:r>
        <w:rPr>
          <w:rFonts w:ascii="Times New Roman" w:hAnsi="Times New Roman" w:eastAsia="宋体"/>
          <w:sz w:val="24"/>
        </w:rPr>
        <w:t>Their framework distinguished between displacement effects and reinstatement effects—new tasks created by technology that restore labor demand—and showed that the net employment effect of automation depends on which</w:t>
      </w:r>
    </w:p>
    <w:p>
      <w:pPr>
        <w:pStyle w:val="DocBody"/>
      </w:pPr>
      <w:r>
        <w:rPr>
          <w:rFonts w:ascii="Times New Roman" w:hAnsi="Times New Roman" w:eastAsia="宋体"/>
          <w:sz w:val="24"/>
        </w:rPr>
        <w:t>force dominates. IMF’s April 2024 World Economic Out- look estimated that approximately 40 percent of jobs in advanced economies had high AI exposure, with roughly half of that group likely to see productivity augmentation rather than displacement, implying a net displacement of 5 to 15 percent of employment hours over a ten-year horizon under moderate adoption. Price and Suresh (2026) used a baseline shock of 10 percent employment displacement for their U.S. federal revenue analysis, consistent with the lower bound of IMF’s estimates.</w:t>
      </w:r>
    </w:p>
    <w:p>
      <w:pPr>
        <w:pStyle w:val="DocBody"/>
      </w:pPr>
      <w:r>
        <w:rPr>
          <w:rFonts w:ascii="Times New Roman" w:hAnsi="Times New Roman" w:eastAsia="宋体"/>
          <w:sz w:val="24"/>
        </w:rPr>
        <w:t>Baseline assumption used in our analysis: We used a central estimate of 10 to 15 percent displacement of total labor hours over a ten- to 15-year horizon. This is consis- tent with IMF (2024), the Acemoglu and Restrepo (2020)</w:t>
      </w:r>
    </w:p>
    <w:p>
      <w:pPr>
        <w:pStyle w:val="DocBody"/>
      </w:pPr>
      <w:r>
        <w:rPr>
          <w:rFonts w:ascii="Times New Roman" w:hAnsi="Times New Roman" w:eastAsia="宋体"/>
          <w:sz w:val="24"/>
        </w:rPr>
        <w:t>extrapolations, and the Price and Suresh (2026) baseline scenario. It represents a substantial but not catastrophic labor market shock—roughly comparable in magnitude to the employment disruption of deindustrialization in the 1980s and 1990s but compressed into a shorter time frame and concentrated in higher-wage occupations.</w:t>
      </w:r>
    </w:p>
    <w:p>
      <w:pPr>
        <w:pStyle w:val="DocBody"/>
      </w:pPr>
      <w:r>
        <w:rPr>
          <w:rFonts w:ascii="Times New Roman" w:hAnsi="Times New Roman" w:eastAsia="宋体"/>
          <w:sz w:val="24"/>
        </w:rPr>
        <w:t>Productivity Gains: GDP Effects AI-driven automation is expected to raise total factor pro- ductivity. The magnitude of this effect is genuinely uncer- tain. Acemoglu (2024), in a National Bureau of Economic Research working paper, offered a deliberately conservative estimate: Accounting for the existing distribution of AI adoption across tasks, the aggregate productivity boost over a ten-year horizon was approximately 0.5 percent of GDP. The key point is that AI currently performs well on a narrow set of tasks, and those tasks are not the bind- ing constraints on overall economic output. Hatzius et al.</w:t>
      </w:r>
    </w:p>
    <w:p>
      <w:pPr>
        <w:pStyle w:val="DocBody"/>
      </w:pPr>
      <w:r>
        <w:rPr>
          <w:rFonts w:ascii="Times New Roman" w:hAnsi="Times New Roman" w:eastAsia="宋体"/>
          <w:sz w:val="24"/>
        </w:rPr>
        <w:t>(2023) projected that AI could raise global GDP by approx- imately 7 percent over ten years, or 0.7 percentage points per year, through automation of roughly 25 percent of existing work tasks. Brynjolfsson, Li, and Raymond (2025)</w:t>
      </w:r>
    </w:p>
    <w:p>
      <w:pPr>
        <w:pStyle w:val="DocBody"/>
      </w:pPr>
      <w:r>
        <w:rPr>
          <w:rFonts w:ascii="Times New Roman" w:hAnsi="Times New Roman" w:eastAsia="宋体"/>
          <w:sz w:val="24"/>
        </w:rPr>
        <w:t>found productivity gains of approximately 14 percent for customer support workers assisted by AI tools—a narrower sectoral estimate that suggests that augmentation effects can be substantial in specific applications.</w:t>
      </w:r>
    </w:p>
    <w:p>
      <w:pPr>
        <w:pStyle w:val="DocBody"/>
      </w:pPr>
      <w:r>
        <w:rPr>
          <w:rFonts w:ascii="Times New Roman" w:hAnsi="Times New Roman" w:eastAsia="宋体"/>
          <w:sz w:val="24"/>
        </w:rPr>
        <w:t>Baseline assumption used in our analysis: We assumed an additional 0.5 to 1.0 percentage points of GDP growth per year attributable to AI over the projection horizon. The lower bound reflects the Acemoglu (2024) estimate and the existing distribution of AI capabilities. The upper bound reflects the Hatzius et al. (2023) estimate under broader adoption assumptions. This range implies a cumulative GDP that is 5 to 10 percent higher after ten years than in a no-AI counterfactual—a meaningful dividend, but one whose fiscal and distributional effects depend heavily on who captures the gains.</w:t>
      </w:r>
    </w:p>
    <w:p>
      <w:pPr>
        <w:pStyle w:val="DocBody"/>
      </w:pPr>
      <w:r>
        <w:rPr>
          <w:rFonts w:ascii="Times New Roman" w:hAnsi="Times New Roman" w:eastAsia="宋体"/>
          <w:sz w:val="24"/>
        </w:rPr>
        <w:t>Abbreviations AI artificial intelligence EITC Earned Income Tax Credit GDP gross domestic product IMF International Monetary Fund OECD Organization for Economic Co-operation and Development PPP Paycheck Protection Program VAT value-added tax WOTC Work Opportunity Tax Credit</w:t>
      </w:r>
    </w:p>
    <w:p>
      <w:pPr>
        <w:pStyle w:val="DocBody"/>
      </w:pPr>
      <w:r>
        <w:rPr>
          <w:rFonts w:ascii="Times New Roman" w:hAnsi="Times New Roman" w:eastAsia="宋体"/>
          <w:sz w:val="24"/>
        </w:rPr>
        <w:t>Distributional Pattern: Who Gains and Who Loses?</w:t>
      </w:r>
    </w:p>
    <w:p>
      <w:pPr>
        <w:pStyle w:val="DocBody"/>
      </w:pPr>
      <w:r>
        <w:rPr>
          <w:rFonts w:ascii="Times New Roman" w:hAnsi="Times New Roman" w:eastAsia="宋体"/>
          <w:sz w:val="24"/>
        </w:rPr>
        <w:t>The distributional pattern of AI effects is the most impor- tant driver of fiscal implications. The Eloundou et al.</w:t>
      </w:r>
    </w:p>
    <w:p>
      <w:pPr>
        <w:pStyle w:val="DocBody"/>
      </w:pPr>
      <w:r>
        <w:rPr>
          <w:rFonts w:ascii="Times New Roman" w:hAnsi="Times New Roman" w:eastAsia="宋体"/>
          <w:sz w:val="24"/>
        </w:rPr>
        <w:t>(2024) finding that exposure is concentrated in high-wage professional occupations means that even moderate dis- placement rates in finance, law, software development, and consulting could produce outsize revenue effects: The top decile of earners pays 76 percent of federal income taxes (Werfel and Johnson, 2024, Figure F). At the same time, the productivity gains from AI accrue primarily to the owners of AI systems and to firms that can redeploy displaced high-skill workers to other tasks.</w:t>
      </w:r>
    </w:p>
    <w:p>
      <w:pPr>
        <w:pStyle w:val="DocBody"/>
      </w:pPr>
      <w:r>
        <w:rPr>
          <w:rFonts w:ascii="Times New Roman" w:hAnsi="Times New Roman" w:eastAsia="宋体"/>
          <w:sz w:val="24"/>
        </w:rPr>
        <w:t>Baseline assumption used in our analysis: We assumed a moderate ownership concentration scenario in which AI capabilities are not monopolized but in which the market for frontier AI systems features a high concentration among three to five major providers, with a long tail of spe- cialized applications. Under this assumption, productivity gains accrue primarily to shareholders of AI-developing and AI-deploying firms (with secondary benefits to work- ers whose tasks are complemented rather than replaced by AI tools), and net losses are concentrated among workers in highly exposed occupations who cannot fully redeploy to nonexposed work.</w:t>
      </w:r>
    </w:p>
    <w:p>
      <w:pPr>
        <w:pStyle w:val="DocBody"/>
      </w:pPr>
      <w:r>
        <w:rPr>
          <w:rFonts w:ascii="Times New Roman" w:hAnsi="Times New Roman" w:eastAsia="宋体"/>
          <w:sz w:val="24"/>
        </w:rPr>
        <w:t>Inflation and Deflation Assumptions AI’s effects on the price level are theoretically ambigu- ous. Productivity gains could lower unit costs and create downward pressure in automated sectors, while concentra- tion and demand shifts could generate inflationary pres- sure in other sectors. Price and Suresh (2026) model both scenarios: an inflationary case driven by concentrated AI ownership generating monopoly profits and a deflationary case driven by broad adoption sharply reducing production costs economy-wide. The deflationary scenario poses the most-severe fiscal challenge: Lower nominal prices reduce nominal GDP and therefore the nominal tax base, while federal debt remains denominated in nominal dollars.</w:t>
      </w:r>
    </w:p>
    <w:p>
      <w:pPr>
        <w:pStyle w:val="DocBody"/>
      </w:pPr>
      <w:r>
        <w:rPr>
          <w:rFonts w:ascii="Times New Roman" w:hAnsi="Times New Roman" w:eastAsia="宋体"/>
          <w:sz w:val="24"/>
        </w:rPr>
        <w:t>Baseline assumption used in our analysis: We assumed broadly neutral inflation for the central projection—AI adoption generates modest downward price pressure in directly affected service sectors, which is offset by contin- ued nominal growth elsewhere, and net inflation remains near the Federal Reserve’s 2-percent target. The deflation- ary scenario is treated as a tail risk with substantially larger fiscal implications. Revenue projections in the main body of this paper are based on the central neutral-inflation assumption unless stated otherwise.</w:t>
      </w:r>
    </w:p>
    <w:p>
      <w:pPr>
        <w:pStyle w:val="DocBody"/>
      </w:pPr>
      <w:r>
        <w:rPr>
          <w:rFonts w:ascii="Times New Roman" w:hAnsi="Times New Roman" w:eastAsia="宋体"/>
          <w:sz w:val="24"/>
        </w:rPr>
        <w:t>Notes 1 In this paper, we assume that AI replaces human labor and that control of those AI systems is concentrated in a small number of companies rather than broadly distributed. As of mid-2026, this second assumption about the market is true; there are numerous places along the technol- ogy stack that are concentrated. For example, the AI model, cloud computing, and graphics processing unit providers are all concentrated in a few companies. The federal revenue implications of other scenarios are explored in Price and Suresh (2026). The key implication of our assumption is that these firms would generate above-normal returns through capital.</w:t>
      </w:r>
    </w:p>
    <w:p>
      <w:pPr>
        <w:pStyle w:val="DocBody"/>
      </w:pPr>
      <w:r>
        <w:rPr>
          <w:rFonts w:ascii="Times New Roman" w:hAnsi="Times New Roman" w:eastAsia="宋体"/>
          <w:sz w:val="24"/>
        </w:rPr>
        <w:t>2 We include inheritance taxes in Table 1 as a type of wealth tax. The base for taxes on specific activities is, by its nature, dependent on the activity, and so we do not include that.</w:t>
      </w:r>
    </w:p>
    <w:p>
      <w:pPr>
        <w:pStyle w:val="DocBody"/>
      </w:pPr>
      <w:r>
        <w:rPr>
          <w:rFonts w:ascii="Times New Roman" w:hAnsi="Times New Roman" w:eastAsia="宋体"/>
          <w:sz w:val="24"/>
        </w:rPr>
        <w:t>References Acemoglu, Daron, “The Simple Macroeconomics of AI,” National Bureau of Economic Research, Working Paper 32487, May 2024.</w:t>
      </w:r>
    </w:p>
    <w:p>
      <w:pPr>
        <w:pStyle w:val="DocBody"/>
      </w:pPr>
      <w:r>
        <w:rPr>
          <w:rFonts w:ascii="Times New Roman" w:hAnsi="Times New Roman" w:eastAsia="宋体"/>
          <w:sz w:val="24"/>
        </w:rPr>
        <w:t>Acemoglu, Daron, David Autor, and Simon Johnson, “Building Pro- Worker Artificial Intelligence,” National Bureau of Economic Research, Working Paper 34854, February 2026.</w:t>
      </w:r>
    </w:p>
    <w:p>
      <w:pPr>
        <w:pStyle w:val="DocBody"/>
      </w:pPr>
      <w:r>
        <w:rPr>
          <w:rFonts w:ascii="Times New Roman" w:hAnsi="Times New Roman" w:eastAsia="宋体"/>
          <w:sz w:val="24"/>
        </w:rPr>
        <w:t>Acemoglu, Daron, and Pascual Restrepo, “Robots and Jobs: Evidence from US Labor Markets,” Journal of Political Economy, Vol. 128, No. 6, June 2020.</w:t>
      </w:r>
    </w:p>
    <w:p>
      <w:pPr>
        <w:pStyle w:val="DocBody"/>
      </w:pPr>
      <w:r>
        <w:rPr>
          <w:rFonts w:ascii="Times New Roman" w:hAnsi="Times New Roman" w:eastAsia="宋体"/>
          <w:sz w:val="24"/>
        </w:rPr>
        <w:t>Arntz, Melanie, Terry Gregory, and Ulrich Zierahn, “The Risk of Automation for Jobs in OECD Countries: A Comparative Analysis,”</w:t>
      </w:r>
    </w:p>
    <w:p>
      <w:pPr>
        <w:pStyle w:val="DocBody"/>
      </w:pPr>
      <w:r>
        <w:rPr>
          <w:rFonts w:ascii="Times New Roman" w:hAnsi="Times New Roman" w:eastAsia="宋体"/>
          <w:sz w:val="24"/>
        </w:rPr>
        <w:t>Organisation for Economic Co-operation and Development, OECD Social, Employment and Migration Working Papers No. 189, 2016.</w:t>
      </w:r>
    </w:p>
    <w:p>
      <w:pPr>
        <w:pStyle w:val="DocBody"/>
      </w:pPr>
      <w:r>
        <w:rPr>
          <w:rFonts w:ascii="Times New Roman" w:hAnsi="Times New Roman" w:eastAsia="宋体"/>
          <w:sz w:val="24"/>
        </w:rPr>
        <w:t>Atkinson, A. B., and J. E. Stiglitz, “The Design of Tax Structure: Direct Versus Indirect Taxation,” Journal of Public Economics, Vol. 6, Nos. 1–2, July–August 1976.</w:t>
      </w:r>
    </w:p>
    <w:p>
      <w:pPr>
        <w:pStyle w:val="DocBody"/>
      </w:pPr>
      <w:r>
        <w:rPr>
          <w:rFonts w:ascii="Times New Roman" w:hAnsi="Times New Roman" w:eastAsia="宋体"/>
          <w:sz w:val="24"/>
        </w:rPr>
        <w:t>Autor, David, David Cho, Leland D. Crane, Mita Goldar, Byron Lutz, Joshua K. Montes, William B. Peterman, David D. Ratner, Daniel Villar Vallenas, and Ahu Yildirmaz, “An Evaluation of the Paycheck Protection Program Using Administrative Payroll Microdata,” National Bureau of Economic Research, Working Paper 29972, April 2022.</w:t>
      </w:r>
    </w:p>
    <w:p>
      <w:pPr>
        <w:pStyle w:val="DocBody"/>
      </w:pPr>
      <w:r>
        <w:rPr>
          <w:rFonts w:ascii="Times New Roman" w:hAnsi="Times New Roman" w:eastAsia="宋体"/>
          <w:sz w:val="24"/>
        </w:rPr>
        <w:t>Barkai, Simcha, “Declining Labor and Capital Shares,” Journal of Finance, Vol. 75, No. 5, October 2020.</w:t>
      </w:r>
    </w:p>
    <w:p>
      <w:pPr>
        <w:pStyle w:val="DocBody"/>
      </w:pPr>
      <w:r>
        <w:rPr>
          <w:rFonts w:ascii="Times New Roman" w:hAnsi="Times New Roman" w:eastAsia="宋体"/>
          <w:sz w:val="24"/>
        </w:rPr>
        <w:t>Board of Governors of the Federal Reserve System, “All Sectors; U.S.</w:t>
      </w:r>
    </w:p>
    <w:p>
      <w:pPr>
        <w:pStyle w:val="DocBody"/>
      </w:pPr>
      <w:r>
        <w:rPr>
          <w:rFonts w:ascii="Times New Roman" w:hAnsi="Times New Roman" w:eastAsia="宋体"/>
          <w:sz w:val="24"/>
        </w:rPr>
        <w:t>Wealth, Level (BOGZ1FL892090005Q),” webpage, FRED, Federal Reserve Bank of St. Louis, 2026. As of May 6, 2026:</w:t>
      </w:r>
    </w:p>
    <w:p>
      <w:pPr>
        <w:pStyle w:val="DocBody"/>
      </w:pPr>
      <w:r>
        <w:rPr>
          <w:rFonts w:ascii="Times New Roman" w:hAnsi="Times New Roman" w:eastAsia="宋体"/>
          <w:sz w:val="24"/>
        </w:rPr>
        <w:t>https://fred.stlouisfed.org/series/BOGZ1FL892090005Q Bradford, David F., Untangling the Income Tax, Harvard University Press, 1986.</w:t>
      </w:r>
    </w:p>
    <w:p>
      <w:pPr>
        <w:pStyle w:val="DocBody"/>
      </w:pPr>
      <w:r>
        <w:rPr>
          <w:rFonts w:ascii="Times New Roman" w:hAnsi="Times New Roman" w:eastAsia="宋体"/>
          <w:sz w:val="24"/>
        </w:rPr>
        <w:t>Brynjolfsson, Erik, Danielle Li, and Lindsey R. Raymond, “Generative AI at Work,” Quarterly Journal of Economics, Vol. 140, No. 2, May 2025.</w:t>
      </w:r>
    </w:p>
    <w:p>
      <w:pPr>
        <w:pStyle w:val="DocBody"/>
      </w:pPr>
      <w:r>
        <w:rPr>
          <w:rFonts w:ascii="Times New Roman" w:hAnsi="Times New Roman" w:eastAsia="宋体"/>
          <w:sz w:val="24"/>
        </w:rPr>
        <w:t>Cerulli, “Cerulli Anticipates $84 Trillion in Wealth Transfers Through 2045,” press release, January 20, 2022.</w:t>
      </w:r>
    </w:p>
    <w:p>
      <w:pPr>
        <w:pStyle w:val="DocBody"/>
      </w:pPr>
      <w:r>
        <w:rPr>
          <w:rFonts w:ascii="Times New Roman" w:hAnsi="Times New Roman" w:eastAsia="宋体"/>
          <w:sz w:val="24"/>
        </w:rPr>
        <w:t>Chamley, Christophe, “Optimal Taxation of Capital Income in General Equilibrium with Infinite Lives,” Econometrica, Vol. 54, No. 3, May 1986.</w:t>
      </w:r>
    </w:p>
    <w:p>
      <w:pPr>
        <w:pStyle w:val="DocBody"/>
      </w:pPr>
      <w:r>
        <w:rPr>
          <w:rFonts w:ascii="Times New Roman" w:hAnsi="Times New Roman" w:eastAsia="宋体"/>
          <w:sz w:val="24"/>
        </w:rPr>
        <w:t>Cheng, Deric, Anna Schuh, and Tam Trinh, “A Progressive Global Corporate Tax for the Age of AI,” AGI Social Contract, February 17, 2026.</w:t>
      </w:r>
    </w:p>
    <w:p>
      <w:pPr>
        <w:pStyle w:val="DocBody"/>
      </w:pPr>
      <w:r>
        <w:rPr>
          <w:rFonts w:ascii="Times New Roman" w:hAnsi="Times New Roman" w:eastAsia="宋体"/>
          <w:sz w:val="24"/>
        </w:rPr>
        <w:t>Diamond, Peter A., and James A. Mirrlees, “Optimal Taxation and Public Production I: Production Efficiency,” American Economic Review, Vol. 61, No. 1, March 1971a.</w:t>
      </w:r>
    </w:p>
    <w:p>
      <w:pPr>
        <w:pStyle w:val="DocBody"/>
      </w:pPr>
      <w:r>
        <w:rPr>
          <w:rFonts w:ascii="Times New Roman" w:hAnsi="Times New Roman" w:eastAsia="宋体"/>
          <w:sz w:val="24"/>
        </w:rPr>
        <w:t>Diamond, Peter A., and James A. Mirrlees, “Optimal Taxation and Public Production II: Tax Rules,” American Economic Review, Vol. 61, No. 3, June 1971b.</w:t>
      </w:r>
    </w:p>
    <w:p>
      <w:pPr>
        <w:pStyle w:val="DocBody"/>
      </w:pPr>
      <w:r>
        <w:rPr>
          <w:rFonts w:ascii="Times New Roman" w:hAnsi="Times New Roman" w:eastAsia="宋体"/>
          <w:sz w:val="24"/>
        </w:rPr>
        <w:t>Eloundou, Tyna, Sam Manning, Pamela Mishkin, and Daniel Rock, “GPTs Are GPTs: Labor Market Impact Potential of LLMs,” Science, Vol. 384, No. 6702, June 20, 2024.</w:t>
      </w:r>
    </w:p>
    <w:p>
      <w:pPr>
        <w:pStyle w:val="DocBody"/>
      </w:pPr>
      <w:r>
        <w:rPr>
          <w:rFonts w:ascii="Times New Roman" w:hAnsi="Times New Roman" w:eastAsia="宋体"/>
          <w:sz w:val="24"/>
        </w:rPr>
        <w:t>Fenizia, Alessandra, Nicholas Li, and Luca Citino, “The (In)effectiveness of Targeted Payroll Tax Reductions,” Economic Journal, February 2, 2026.</w:t>
      </w:r>
    </w:p>
    <w:p>
      <w:pPr>
        <w:pStyle w:val="DocBody"/>
      </w:pPr>
      <w:r>
        <w:rPr>
          <w:rFonts w:ascii="Times New Roman" w:hAnsi="Times New Roman" w:eastAsia="宋体"/>
          <w:sz w:val="24"/>
        </w:rPr>
        <w:t>Frey, Carl Benedikt, and Michael A. Osborne, “The Future of Employment: How Susceptible Are Jobs to Computerisation?”</w:t>
      </w:r>
    </w:p>
    <w:p>
      <w:pPr>
        <w:pStyle w:val="DocBody"/>
      </w:pPr>
      <w:r>
        <w:rPr>
          <w:rFonts w:ascii="Times New Roman" w:hAnsi="Times New Roman" w:eastAsia="宋体"/>
          <w:sz w:val="24"/>
        </w:rPr>
        <w:t>Technological Forecasting and Social Change, Vol. 114, January 2017.</w:t>
      </w:r>
    </w:p>
    <w:p>
      <w:pPr>
        <w:pStyle w:val="DocBody"/>
      </w:pPr>
      <w:r>
        <w:rPr>
          <w:rFonts w:ascii="Times New Roman" w:hAnsi="Times New Roman" w:eastAsia="宋体"/>
          <w:sz w:val="24"/>
        </w:rPr>
        <w:t>Golosov, Mikhail, Narayana Kocherlakota, and Aleh Tsyvinski, “Optimal Indirect and Capital Taxation,” Review of Economic Studies, Vol. 70, No. 3, July 2003.</w:t>
      </w:r>
    </w:p>
    <w:p>
      <w:pPr>
        <w:pStyle w:val="DocBody"/>
      </w:pPr>
      <w:r>
        <w:rPr>
          <w:rFonts w:ascii="Times New Roman" w:hAnsi="Times New Roman" w:eastAsia="宋体"/>
          <w:sz w:val="24"/>
        </w:rPr>
        <w:t>Haig, Robert M., “The Concept of Income—Economic and Legal Aspects,” in Robert M. Haig, ed., The Federal Income Tax: A Series of Lectures Delivered at Columbia University in December, 1920, Columbia University Press, 1921.</w:t>
      </w:r>
    </w:p>
    <w:p>
      <w:pPr>
        <w:pStyle w:val="DocBody"/>
      </w:pPr>
      <w:r>
        <w:rPr>
          <w:rFonts w:ascii="Times New Roman" w:hAnsi="Times New Roman" w:eastAsia="宋体"/>
          <w:sz w:val="24"/>
        </w:rPr>
        <w:t>Hatzius, Jan, Joseph Briggs, Devesh Kodnani, and Giovanni Pierdomenico, “The Potentially Large Effects of Artificial Intelligence on Economic Growth (Briggs/Kodnani),” Goldman Sachs Research, Global Economics Analyst, March 26, 2023.</w:t>
      </w:r>
    </w:p>
    <w:p>
      <w:pPr>
        <w:pStyle w:val="DocBody"/>
      </w:pPr>
      <w:r>
        <w:rPr>
          <w:rFonts w:ascii="Times New Roman" w:hAnsi="Times New Roman" w:eastAsia="宋体"/>
          <w:sz w:val="24"/>
        </w:rPr>
        <w:t>IMF—See International Monetary Fund.</w:t>
      </w:r>
    </w:p>
    <w:p>
      <w:pPr>
        <w:pStyle w:val="DocBody"/>
      </w:pPr>
      <w:r>
        <w:rPr>
          <w:rFonts w:ascii="Times New Roman" w:hAnsi="Times New Roman" w:eastAsia="宋体"/>
          <w:sz w:val="24"/>
        </w:rPr>
        <w:t>Institute for Fiscal Studies and James A. Mirrlees, eds., Tax by Design:</w:t>
      </w:r>
    </w:p>
    <w:p>
      <w:pPr>
        <w:pStyle w:val="DocBody"/>
      </w:pPr>
      <w:r>
        <w:rPr>
          <w:rFonts w:ascii="Times New Roman" w:hAnsi="Times New Roman" w:eastAsia="宋体"/>
          <w:sz w:val="24"/>
        </w:rPr>
        <w:t>The Mirrlees Review, Oxford University Press, 2011.</w:t>
      </w:r>
    </w:p>
    <w:p>
      <w:pPr>
        <w:pStyle w:val="DocBody"/>
      </w:pPr>
      <w:r>
        <w:rPr>
          <w:rFonts w:ascii="Times New Roman" w:hAnsi="Times New Roman" w:eastAsia="宋体"/>
          <w:sz w:val="24"/>
        </w:rPr>
        <w:t>Internal Revenue Service, Corporation Income Tax Returns: Complete Report, 2020, U.S. Department of the Treasury, 2023.</w:t>
      </w:r>
    </w:p>
    <w:p>
      <w:pPr>
        <w:pStyle w:val="DocBody"/>
      </w:pPr>
      <w:r>
        <w:rPr>
          <w:rFonts w:ascii="Times New Roman" w:hAnsi="Times New Roman" w:eastAsia="宋体"/>
          <w:sz w:val="24"/>
        </w:rPr>
        <w:t>Internal Revenue Service, “SOI Tax Stats—Individual Income Tax Returns Complete Report (Publication 1304),” webpage, last updated July 22, 2026. As of August 7, 2026:</w:t>
      </w:r>
    </w:p>
    <w:p>
      <w:pPr>
        <w:pStyle w:val="DocBody"/>
      </w:pPr>
      <w:r>
        <w:rPr>
          <w:rFonts w:ascii="Times New Roman" w:hAnsi="Times New Roman" w:eastAsia="宋体"/>
          <w:sz w:val="24"/>
        </w:rPr>
        <w:t>https://www.irs.gov/statistics/soi-tax-stats-individual-income-tax- returns-complete-report-publication-1304 International Monetary Fund, “Slowdown in Global Medium-Term Growth: What Will It Take to Turn the Tide?” in World Economic Outlook—Steady but Slow: Resilience amid Divergence, April 2024.</w:t>
      </w:r>
    </w:p>
    <w:p>
      <w:pPr>
        <w:pStyle w:val="DocBody"/>
      </w:pPr>
      <w:r>
        <w:rPr>
          <w:rFonts w:ascii="Times New Roman" w:hAnsi="Times New Roman" w:eastAsia="宋体"/>
          <w:sz w:val="24"/>
        </w:rPr>
        <w:t>Judd, Kenneth L., “Redistributive Taxation in a Simple Perfect Foresight Model,” Journal of Public Economics, Vol. 28, No. 1, October 1985.</w:t>
      </w:r>
    </w:p>
    <w:p>
      <w:pPr>
        <w:pStyle w:val="DocBody"/>
      </w:pPr>
      <w:r>
        <w:rPr>
          <w:rFonts w:ascii="Times New Roman" w:hAnsi="Times New Roman" w:eastAsia="宋体"/>
          <w:sz w:val="24"/>
        </w:rPr>
        <w:t>Mirrlees, J. A., “An Exploration in the Theory of Optimum Income Taxation,” Review of Economic Studies, Vol. 38, No. 2, April 1971.</w:t>
      </w:r>
    </w:p>
    <w:p>
      <w:pPr>
        <w:pStyle w:val="DocBody"/>
      </w:pPr>
      <w:r>
        <w:rPr>
          <w:rFonts w:ascii="Times New Roman" w:hAnsi="Times New Roman" w:eastAsia="宋体"/>
          <w:sz w:val="24"/>
        </w:rPr>
        <w:t>OECD—See Organization for Economic Co-operation and Development.</w:t>
      </w:r>
    </w:p>
    <w:p>
      <w:pPr>
        <w:pStyle w:val="DocBody"/>
      </w:pPr>
      <w:r>
        <w:rPr>
          <w:rFonts w:ascii="Times New Roman" w:hAnsi="Times New Roman" w:eastAsia="宋体"/>
          <w:sz w:val="24"/>
        </w:rPr>
        <w:t>Organisation for Economic Co-operation and Development, “Revenue Statistics in OECD Member Countries—Comparative Tax Revenues,”</w:t>
      </w:r>
    </w:p>
    <w:p>
      <w:pPr>
        <w:pStyle w:val="DocBody"/>
      </w:pPr>
      <w:r>
        <w:rPr>
          <w:rFonts w:ascii="Times New Roman" w:hAnsi="Times New Roman" w:eastAsia="宋体"/>
          <w:sz w:val="24"/>
        </w:rPr>
        <w:t>dataset, OECD Data Explorer, last updated December 9, 2025.</w:t>
      </w:r>
    </w:p>
    <w:p>
      <w:pPr>
        <w:pStyle w:val="DocBody"/>
      </w:pPr>
      <w:r>
        <w:rPr>
          <w:rFonts w:ascii="Times New Roman" w:hAnsi="Times New Roman" w:eastAsia="宋体"/>
          <w:sz w:val="24"/>
        </w:rPr>
        <w:t>Piketty, Thomas, and Emmanuel Saez, “A Theory of Optimal Inheritance Taxation,” Econometrica, Vol. 81, No. 5, September 2013.</w:t>
      </w:r>
    </w:p>
    <w:p>
      <w:pPr>
        <w:pStyle w:val="DocBody"/>
      </w:pPr>
      <w:r>
        <w:rPr>
          <w:rFonts w:ascii="Times New Roman" w:hAnsi="Times New Roman" w:eastAsia="宋体"/>
          <w:sz w:val="24"/>
        </w:rPr>
        <w:t>Piketty, Thomas, Emmanuel Saez, and Stefanie Stantcheva, “Optimal Taxation of Top Labor Incomes: A Tale of Three Elasticities,” American Economic Journal: Economic Policy, Vol. 6, No. 1, February 2014.</w:t>
      </w:r>
    </w:p>
    <w:p>
      <w:pPr>
        <w:pStyle w:val="DocBody"/>
      </w:pPr>
      <w:r>
        <w:rPr>
          <w:rFonts w:ascii="Times New Roman" w:hAnsi="Times New Roman" w:eastAsia="宋体"/>
          <w:sz w:val="24"/>
        </w:rPr>
        <w:t>Price, Carter C., and Akshaya Suresh, Federal Revenue When AI Replaces Labor: An Examination of Economic Scenarios with Highly Capable Artificial Intelligence, RAND Corporation, RR-A4980-1, 2026.</w:t>
      </w:r>
    </w:p>
    <w:p>
      <w:pPr>
        <w:pStyle w:val="DocBody"/>
      </w:pPr>
      <w:r>
        <w:rPr>
          <w:rFonts w:ascii="Times New Roman" w:hAnsi="Times New Roman" w:eastAsia="宋体"/>
          <w:sz w:val="24"/>
        </w:rPr>
        <w:t>As of August 25, 2026:</w:t>
      </w:r>
    </w:p>
    <w:p>
      <w:pPr>
        <w:pStyle w:val="DocBody"/>
      </w:pPr>
      <w:r>
        <w:rPr>
          <w:rFonts w:ascii="Times New Roman" w:hAnsi="Times New Roman" w:eastAsia="宋体"/>
          <w:sz w:val="24"/>
        </w:rPr>
        <w:t>https://www.rand.org/pubs/research_reports/RRA4980-1.html Public Law 115-97, Tax Cuts and Jobs Act, November 2, 2017.</w:t>
      </w:r>
    </w:p>
    <w:p>
      <w:pPr>
        <w:pStyle w:val="DocBody"/>
      </w:pPr>
      <w:r>
        <w:rPr>
          <w:rFonts w:ascii="Times New Roman" w:hAnsi="Times New Roman" w:eastAsia="宋体"/>
          <w:sz w:val="24"/>
        </w:rPr>
        <w:t>Public Law 116-136, Coronavirus Aid, Relief, and Economic Security Act, March 27, 2020.</w:t>
      </w:r>
    </w:p>
    <w:p>
      <w:pPr>
        <w:pStyle w:val="DocBody"/>
      </w:pPr>
      <w:r>
        <w:rPr>
          <w:rFonts w:ascii="Times New Roman" w:hAnsi="Times New Roman" w:eastAsia="宋体"/>
          <w:sz w:val="24"/>
        </w:rPr>
        <w:t>Ramsey, F. P., “A Contribution to the Theory of Taxation,” Economic Journal, Vol. 37, No. 145, March 1927.</w:t>
      </w:r>
    </w:p>
    <w:p>
      <w:pPr>
        <w:pStyle w:val="DocBody"/>
      </w:pPr>
      <w:r>
        <w:rPr>
          <w:rFonts w:ascii="Times New Roman" w:hAnsi="Times New Roman" w:eastAsia="宋体"/>
          <w:sz w:val="24"/>
        </w:rPr>
        <w:t>Saez, Emmanuel, “Using Elasticities to Derive Optimal Income Tax Rates,” Review of Economic Studies, Vol. 68, No. 1, January 2001.</w:t>
      </w:r>
    </w:p>
    <w:p>
      <w:pPr>
        <w:pStyle w:val="DocBody"/>
      </w:pPr>
      <w:r>
        <w:rPr>
          <w:rFonts w:ascii="Times New Roman" w:hAnsi="Times New Roman" w:eastAsia="宋体"/>
          <w:sz w:val="24"/>
        </w:rPr>
        <w:t>Saez, Emmanuel, and Gabriel Zucman, “Progressive Wealth Taxation,”</w:t>
      </w:r>
    </w:p>
    <w:p>
      <w:pPr>
        <w:pStyle w:val="DocBody"/>
      </w:pPr>
      <w:r>
        <w:rPr>
          <w:rFonts w:ascii="Times New Roman" w:hAnsi="Times New Roman" w:eastAsia="宋体"/>
          <w:sz w:val="24"/>
        </w:rPr>
        <w:t>Brookings Papers on Economic Activity, Fall 2019.</w:t>
      </w:r>
    </w:p>
    <w:p>
      <w:pPr>
        <w:pStyle w:val="DocBody"/>
      </w:pPr>
      <w:r>
        <w:rPr>
          <w:rFonts w:ascii="Times New Roman" w:hAnsi="Times New Roman" w:eastAsia="宋体"/>
          <w:sz w:val="24"/>
        </w:rPr>
        <w:t>Simons, Henry C., Personal Income Taxation: The Definition of Income as a Problem of Fiscal Policy, University of Chicago Press, 1938.</w:t>
      </w:r>
    </w:p>
    <w:p>
      <w:pPr>
        <w:pStyle w:val="DocBody"/>
      </w:pPr>
      <w:r>
        <w:rPr>
          <w:rFonts w:ascii="Times New Roman" w:hAnsi="Times New Roman" w:eastAsia="宋体"/>
          <w:sz w:val="24"/>
        </w:rPr>
        <w:t>Sørensen, Peter Birch, “From the Global Income Tax to the Dual Income Tax: Recent Tax Reforms in the Nordic Countries,” International Tax and Public Finance, Vol. 1, No. 1, February 1994.</w:t>
      </w:r>
    </w:p>
    <w:p>
      <w:pPr>
        <w:pStyle w:val="DocBody"/>
      </w:pPr>
      <w:r>
        <w:rPr>
          <w:rFonts w:ascii="Times New Roman" w:hAnsi="Times New Roman" w:eastAsia="宋体"/>
          <w:sz w:val="24"/>
        </w:rPr>
        <w:t>Straub, Ludwig, and Iván Werning, “Positive Long-Run Capital Taxation: Chamley-Judd Revisited,” American Economic Review, Vol. 110, No. 1, January 2020.</w:t>
      </w:r>
    </w:p>
    <w:p>
      <w:pPr>
        <w:pStyle w:val="DocBody"/>
      </w:pPr>
      <w:r>
        <w:rPr>
          <w:rFonts w:ascii="Times New Roman" w:hAnsi="Times New Roman" w:eastAsia="宋体"/>
          <w:sz w:val="24"/>
        </w:rPr>
        <w:t>U.S. Bureau of Economic Analysis, “Table 1.1.5. Gross Domestic Product,” webpage, FRED, Federal Reserve Bank of St. Louis, March 27, 2025a. As of August 13, 2026:</w:t>
      </w:r>
    </w:p>
    <w:p>
      <w:pPr>
        <w:pStyle w:val="DocBody"/>
      </w:pPr>
      <w:r>
        <w:rPr>
          <w:rFonts w:ascii="Times New Roman" w:hAnsi="Times New Roman" w:eastAsia="宋体"/>
          <w:sz w:val="24"/>
        </w:rPr>
        <w:t>https://fred.stlouisfed.org/release/tables?eid=41047&amp;rid=53 U.S. Bureau of Economic Analysis, “Total Wages and Salaries, BLS (BA06RC1A027NBEA),” webpage, FRED, Federal Reserve Bank of St. Louis, last updated December 30, 2025b. As of June 5, 2026:</w:t>
      </w:r>
    </w:p>
    <w:p>
      <w:pPr>
        <w:pStyle w:val="DocBody"/>
      </w:pPr>
      <w:r>
        <w:rPr>
          <w:rFonts w:ascii="Times New Roman" w:hAnsi="Times New Roman" w:eastAsia="宋体"/>
          <w:sz w:val="24"/>
        </w:rPr>
        <w:t>https://fred.stlouisfed.org/series/BA06RC1A027NBEA U.S. Bureau of Economic Analysis, “Disposable Personal Income (DSPI),” webpage, FRED, Federal Reserve Bank of St. Louis, 2026a. As of May 6, 2026:</w:t>
      </w:r>
    </w:p>
    <w:p>
      <w:pPr>
        <w:pStyle w:val="DocBody"/>
      </w:pPr>
      <w:r>
        <w:rPr>
          <w:rFonts w:ascii="Times New Roman" w:hAnsi="Times New Roman" w:eastAsia="宋体"/>
          <w:sz w:val="24"/>
        </w:rPr>
        <w:t>https://fred.stlouisfed.org/series/DSPI U.S. Bureau of Economic Analysis, “National Income: Corporate Profits Before Tax (Without IVA and CCAdj) (A053RC1Q027SBEA),” webpage, FRED, Federal Reserve Bank of St. Louis, 2026b. As of May 6, 2026:</w:t>
      </w:r>
    </w:p>
    <w:p>
      <w:pPr>
        <w:pStyle w:val="DocBody"/>
      </w:pPr>
      <w:r>
        <w:rPr>
          <w:rFonts w:ascii="Times New Roman" w:hAnsi="Times New Roman" w:eastAsia="宋体"/>
          <w:sz w:val="24"/>
        </w:rPr>
        <w:t>https://fred.stlouisfed.org/series/A053RC1Q027SBEA U.S. Bureau of Economic Analysis, “Personal Consumption Expenditures (PCE),” webpage, FRED, Federal Reserve Bank of St. Louis, 2026c. As of May 6, 2026:</w:t>
      </w:r>
    </w:p>
    <w:p>
      <w:pPr>
        <w:pStyle w:val="DocBody"/>
      </w:pPr>
      <w:r>
        <w:rPr>
          <w:rFonts w:ascii="Times New Roman" w:hAnsi="Times New Roman" w:eastAsia="宋体"/>
          <w:sz w:val="24"/>
        </w:rPr>
        <w:t>https://fred.stlouisfed.org/series/PCE U.S. Census Bureau, “Annual Survey of State and Local Government Finances Announcements: 2024 Data Release,” press release, July 2026.</w:t>
      </w:r>
    </w:p>
    <w:p>
      <w:pPr>
        <w:pStyle w:val="DocBody"/>
      </w:pPr>
      <w:r>
        <w:rPr>
          <w:rFonts w:ascii="Times New Roman" w:hAnsi="Times New Roman" w:eastAsia="宋体"/>
          <w:sz w:val="24"/>
        </w:rPr>
        <w:t>U.S. Code, Title 26, Section 45F, Employer-Provided Child Care Credit.</w:t>
      </w:r>
    </w:p>
    <w:p>
      <w:pPr>
        <w:pStyle w:val="DocBody"/>
      </w:pPr>
      <w:r>
        <w:rPr>
          <w:rFonts w:ascii="Times New Roman" w:hAnsi="Times New Roman" w:eastAsia="宋体"/>
          <w:sz w:val="24"/>
        </w:rPr>
        <w:t>U.S. Code, Title 26, Section 45N, Mine Rescue Team Training Credit.</w:t>
      </w:r>
    </w:p>
    <w:p>
      <w:pPr>
        <w:pStyle w:val="DocBody"/>
      </w:pPr>
      <w:r>
        <w:rPr>
          <w:rFonts w:ascii="Times New Roman" w:hAnsi="Times New Roman" w:eastAsia="宋体"/>
          <w:sz w:val="24"/>
        </w:rPr>
        <w:t>U.S. Code, Title 26, Section 51, Amount of Credit.</w:t>
      </w:r>
    </w:p>
    <w:p>
      <w:pPr>
        <w:pStyle w:val="DocBody"/>
      </w:pPr>
      <w:r>
        <w:rPr>
          <w:rFonts w:ascii="Times New Roman" w:hAnsi="Times New Roman" w:eastAsia="宋体"/>
          <w:sz w:val="24"/>
        </w:rPr>
        <w:t>U.S. Code, Title 26, Section 52, Special Rules.</w:t>
      </w:r>
    </w:p>
    <w:p>
      <w:pPr>
        <w:pStyle w:val="DocBody"/>
      </w:pPr>
      <w:r>
        <w:rPr>
          <w:rFonts w:ascii="Times New Roman" w:hAnsi="Times New Roman" w:eastAsia="宋体"/>
          <w:sz w:val="24"/>
        </w:rPr>
        <w:t>U.S. Code, Title 26, Section 162, Trade or Business Expenses.</w:t>
      </w:r>
    </w:p>
    <w:p>
      <w:pPr>
        <w:pStyle w:val="DocBody"/>
      </w:pPr>
      <w:r>
        <w:rPr>
          <w:rFonts w:ascii="Times New Roman" w:hAnsi="Times New Roman" w:eastAsia="宋体"/>
          <w:sz w:val="24"/>
        </w:rPr>
        <w:t>U.S. Code, Title 26, Section 167, Depreciation.</w:t>
      </w:r>
    </w:p>
    <w:p>
      <w:pPr>
        <w:pStyle w:val="DocBody"/>
      </w:pPr>
      <w:r>
        <w:rPr>
          <w:rFonts w:ascii="Times New Roman" w:hAnsi="Times New Roman" w:eastAsia="宋体"/>
          <w:sz w:val="24"/>
        </w:rPr>
        <w:t>U.S. Code, Title 26, Section 168, Accelerated Cost Recovery System.</w:t>
      </w:r>
    </w:p>
    <w:p>
      <w:pPr>
        <w:pStyle w:val="DocBody"/>
      </w:pPr>
      <w:r>
        <w:rPr>
          <w:rFonts w:ascii="Times New Roman" w:hAnsi="Times New Roman" w:eastAsia="宋体"/>
          <w:sz w:val="24"/>
        </w:rPr>
        <w:t>U.S. Code, Title 26, Section 174, Amortization of Research and Experimental Expenditures.</w:t>
      </w:r>
    </w:p>
    <w:p>
      <w:pPr>
        <w:pStyle w:val="DocBody"/>
      </w:pPr>
      <w:r>
        <w:rPr>
          <w:rFonts w:ascii="Times New Roman" w:hAnsi="Times New Roman" w:eastAsia="宋体"/>
          <w:sz w:val="24"/>
        </w:rPr>
        <w:t>U.S. Department of the Treasury, Blueprints for Basic Tax Reform, 1977.</w:t>
      </w:r>
    </w:p>
    <w:p>
      <w:pPr>
        <w:pStyle w:val="DocBody"/>
      </w:pPr>
      <w:r>
        <w:rPr>
          <w:rFonts w:ascii="Times New Roman" w:hAnsi="Times New Roman" w:eastAsia="宋体"/>
          <w:sz w:val="24"/>
        </w:rPr>
        <w:t>Werfel, Daniel I., and Barry W. Johnson, Statistics of Income—2021 Individual Income Tax Returns, Internal Revenue Service, Publication 1304 (Rev. 4–2024), January 2024.</w:t>
      </w:r>
    </w:p>
    <w:p>
      <w:pPr>
        <w:pStyle w:val="DocBody"/>
      </w:pPr>
      <w:r>
        <w:rPr>
          <w:rFonts w:ascii="Times New Roman" w:hAnsi="Times New Roman" w:eastAsia="宋体"/>
          <w:sz w:val="24"/>
        </w:rPr>
        <w:t>www.rand.org PE-A4392-3 About This Paper Because artificial intelligence (AI) systems have the potential to replace labor and therefore affect tax revenue, we explore changes to federal revenue policy that could broaden the tax base in anticipation of these potential changes. We present a six-category framework of tax policy options that would produce robust revenue for the federal govern- ment while preserving incentives for human employment. This paper is intended to be of interest to policymakers and researchers working on fiscal, labor, or technology policy.</w:t>
      </w:r>
    </w:p>
    <w:p>
      <w:pPr>
        <w:pStyle w:val="DocBody"/>
      </w:pPr>
      <w:r>
        <w:rPr>
          <w:rFonts w:ascii="Times New Roman" w:hAnsi="Times New Roman" w:eastAsia="宋体"/>
          <w:sz w:val="24"/>
        </w:rPr>
        <w:t>RAND Education, Employment, and Infrastructure This work was conducted in RAND Education, Employment, and Infra- structure, a division of RAND that aims to improve educational opportu- nity, economic prosperity, and civic life for all. For more information, visit www.rand.org/eei or email EEI@rand.org.</w:t>
      </w:r>
    </w:p>
    <w:p>
      <w:pPr>
        <w:pStyle w:val="DocBody"/>
      </w:pPr>
      <w:r>
        <w:rPr>
          <w:rFonts w:ascii="Times New Roman" w:hAnsi="Times New Roman" w:eastAsia="宋体"/>
          <w:sz w:val="24"/>
        </w:rPr>
        <w:t>Funding The RAND von Furstenberg Family Budget Model initiative is generously supported by the Diller von Furstenberg Family Foundation and Persh- ing Square Philanthropies. Initial funding for the budget model was provided by the Nick and Leslie Hanauer Foundation.</w:t>
      </w:r>
    </w:p>
    <w:p>
      <w:pPr>
        <w:pStyle w:val="DocBody"/>
      </w:pPr>
      <w:r>
        <w:rPr>
          <w:rFonts w:ascii="Times New Roman" w:hAnsi="Times New Roman" w:eastAsia="宋体"/>
          <w:sz w:val="24"/>
        </w:rPr>
        <w:t>Acknowledgments We are thankful to Patricia Tong for her thoughtful comments on a draft of this paper. In addition to engaging expert human peer reviewers, the quality assurance team used assistive AI tools to suggest writing improvements to the authors.</w:t>
      </w:r>
    </w:p>
    <w:p>
      <w:pPr>
        <w:pStyle w:val="DocBody"/>
      </w:pPr>
      <w:r>
        <w:rPr>
          <w:rFonts w:ascii="Times New Roman" w:hAnsi="Times New Roman" w:eastAsia="宋体"/>
          <w:sz w:val="24"/>
        </w:rPr>
        <w:t>About the Authors Carter C. Price is a senior mathematician at RAND. His research interests include AI, data science, and machine learning, and some of his major projects have studied health care reform, terrorism risk models, defense budgets, and acquisition policies. Price holds a Ph.D.</w:t>
      </w:r>
    </w:p>
    <w:p>
      <w:pPr>
        <w:pStyle w:val="DocBody"/>
      </w:pPr>
      <w:r>
        <w:rPr>
          <w:rFonts w:ascii="Times New Roman" w:hAnsi="Times New Roman" w:eastAsia="宋体"/>
          <w:sz w:val="24"/>
        </w:rPr>
        <w:t>in applied mathematics.</w:t>
      </w:r>
    </w:p>
    <w:p>
      <w:pPr>
        <w:pStyle w:val="DocBody"/>
      </w:pPr>
      <w:r>
        <w:rPr>
          <w:rFonts w:ascii="Times New Roman" w:hAnsi="Times New Roman" w:eastAsia="宋体"/>
          <w:sz w:val="24"/>
        </w:rPr>
        <w:t>Jeffrey B. Wenger is a senior economist at RAND and director of the RAND Lowy Family Middle-Class Pathways Center. His current research examines the effects of working conditions on remaining in the labor force and helping military personnel transition into the civilian labor force. Wenger holds a Ph.D. in policy analysis.</w:t>
      </w:r>
    </w:p>
    <w:p>
      <w:pPr>
        <w:pStyle w:val="DocBody"/>
      </w:pPr>
      <w:r>
        <w:rPr>
          <w:rFonts w:ascii="Times New Roman" w:hAnsi="Times New Roman" w:eastAsia="宋体"/>
          <w:sz w:val="24"/>
        </w:rPr>
        <w:t>RAND is a research organization that develops solutions to public policy challenges to help make communities throughout the world safer and more secure, healthier and more prosperous. RAND is nonprofit, nonpartisan, and committed to the public interest.</w:t>
      </w:r>
    </w:p>
    <w:p>
      <w:pPr>
        <w:pStyle w:val="DocBody"/>
      </w:pPr>
      <w:r>
        <w:rPr>
          <w:rFonts w:ascii="Times New Roman" w:hAnsi="Times New Roman" w:eastAsia="宋体"/>
          <w:sz w:val="24"/>
        </w:rPr>
        <w:t>Research Integrity Our mission to help improve policy and decisionmaking through research and analysis is enabled through our core values of quality and objectivity and our unwavering commitment to the highest level of integrity and ethical behavior. To help ensure our research and analysis are rigorous, objective, and nonpartisan, we subject our research publications to a robust and exacting quality-assurance process; avoid both the appearance and reality of financial and other conflicts of interest through staff training, project screening, and a policy of mandatory disclosure; and pursue transparency in our research engagements through our commitment to the open publication of our research findings and recommendations, disclosure of the source of funding of published research, and policies to ensure intellectual independence. For more information, visit www.rand.org/about/research-integrity.</w:t>
      </w:r>
    </w:p>
    <w:p>
      <w:pPr>
        <w:pStyle w:val="DocBody"/>
      </w:pPr>
      <w:r>
        <w:rPr>
          <w:rFonts w:ascii="Times New Roman" w:hAnsi="Times New Roman" w:eastAsia="宋体"/>
          <w:sz w:val="24"/>
        </w:rPr>
        <w:t>RAND’s publications do not necessarily reflect the opinions of its research clients and sponsors.</w:t>
      </w:r>
    </w:p>
    <w:p>
      <w:pPr>
        <w:pStyle w:val="DocBody"/>
      </w:pPr>
      <w:r>
        <w:rPr>
          <w:rFonts w:ascii="Times New Roman" w:hAnsi="Times New Roman" w:eastAsia="宋体"/>
          <w:sz w:val="24"/>
        </w:rPr>
        <w:t>is a registered trademark.</w:t>
      </w:r>
    </w:p>
    <w:p>
      <w:pPr>
        <w:pStyle w:val="DocBody"/>
      </w:pPr>
      <w:r>
        <w:rPr>
          <w:rFonts w:ascii="Times New Roman" w:hAnsi="Times New Roman" w:eastAsia="宋体"/>
          <w:sz w:val="24"/>
        </w:rPr>
        <w:t>Limited Print and Electronic Distribution Rights This publication and trademark(s) contained herein are protected by law. This representation of RAND intellectual property is provided for noncommercial use only. Unauthorized posting of this publication online is prohibited; linking directly to its webpage on rand.org is encouraged.</w:t>
      </w:r>
    </w:p>
    <w:p>
      <w:pPr>
        <w:pStyle w:val="DocBody"/>
      </w:pPr>
      <w:r>
        <w:rPr>
          <w:rFonts w:ascii="Times New Roman" w:hAnsi="Times New Roman" w:eastAsia="宋体"/>
          <w:sz w:val="24"/>
        </w:rPr>
        <w:t>Permission is required from RAND to reproduce, or reuse in another form, any of its research products for commercial purposes. For information on reprint and reuse permissions, please visit www.rand.org/about/publishing/permissions.</w:t>
      </w:r>
    </w:p>
    <w:p>
      <w:pPr>
        <w:pStyle w:val="DocBody"/>
      </w:pPr>
      <w:r>
        <w:rPr>
          <w:rFonts w:ascii="Times New Roman" w:hAnsi="Times New Roman" w:eastAsia="宋体"/>
          <w:sz w:val="24"/>
        </w:rPr>
        <w:t>For more information on this publication, visit www.rand.org/t/PEA4392-3.</w:t>
      </w:r>
    </w:p>
    <w:p>
      <w:pPr>
        <w:spacing w:line="240" w:lineRule="auto"/>
        <w:jc w:val="center"/>
      </w:pPr>
      <w:r>
        <w:rPr>
          <w:rFonts w:ascii="Times New Roman" w:hAnsi="Times New Roman" w:eastAsia="宋体"/>
          <w:color w:val="595959"/>
          <w:sz w:val="21"/>
        </w:rPr>
        <w:t>— · —</w:t>
      </w:r>
    </w:p>
    <w:p>
      <w:pPr>
        <w:pStyle w:val="DocH1"/>
      </w:pPr>
      <w:r>
        <w:rPr>
          <w:rFonts w:ascii="Times New Roman" w:hAnsi="Times New Roman" w:eastAsia="宋体"/>
          <w:sz w:val="24"/>
        </w:rPr>
        <w:t>Page Summary (original landing page)</w:t>
      </w:r>
    </w:p>
    <w:p>
      <w:pPr>
        <w:pStyle w:val="DocH1"/>
      </w:pPr>
      <w:r>
        <w:rPr>
          <w:rFonts w:ascii="Times New Roman" w:hAnsi="Times New Roman" w:eastAsia="宋体"/>
          <w:sz w:val="24"/>
        </w:rPr>
        <w:t xml:space="preserve">Tax Policy Options to Promote Employment and Mitigate Federal Revenue Impacts in the Age of AI </w:t>
      </w:r>
      <w:hyperlink r:id="rId12">
        <w:r>
          <w:rPr>
            <w:rFonts w:ascii="Times New Roman" w:hAnsi="Times New Roman" w:eastAsia="宋体"/>
            <w:color w:val="0563C1"/>
            <w:sz w:val="24"/>
            <w:u w:val="single"/>
          </w:rPr>
          <w:t>Carter C. Price</w:t>
        </w:r>
      </w:hyperlink>
      <w:r>
        <w:rPr>
          <w:rFonts w:ascii="Times New Roman" w:hAnsi="Times New Roman" w:eastAsia="宋体"/>
          <w:sz w:val="24"/>
        </w:rPr>
        <w:t xml:space="preserve">, </w:t>
      </w:r>
      <w:hyperlink r:id="rId13">
        <w:r>
          <w:rPr>
            <w:rFonts w:ascii="Times New Roman" w:hAnsi="Times New Roman" w:eastAsia="宋体"/>
            <w:color w:val="0563C1"/>
            <w:sz w:val="24"/>
            <w:u w:val="single"/>
          </w:rPr>
          <w:t>Jeffrey B. Wenger</w:t>
        </w:r>
      </w:hyperlink>
    </w:p>
    <w:p>
      <w:r/>
    </w:p>
    <w:p>
      <w:pPr>
        <w:jc w:val="center"/>
      </w:pPr>
      <w:r>
        <w:rPr>
          <w:rFonts w:ascii="Times New Roman" w:hAnsi="Times New Roman" w:eastAsia="宋体"/>
          <w:i/>
          <w:color w:val="595959"/>
          <w:sz w:val="21"/>
        </w:rPr>
        <w:t>［原图未能获取：https://www.rand.org/content/rand/pubs/perspectives/PEA4392-3/_jcr_content/par/product.fit.264x264.j］</w:t>
      </w:r>
    </w:p>
    <w:p>
      <w:pPr>
        <w:pStyle w:val="DocBody"/>
      </w:pPr>
      <w:hyperlink r:id="rId14">
        <w:r>
          <w:rPr>
            <w:rFonts w:ascii="Times New Roman" w:hAnsi="Times New Roman" w:eastAsia="宋体"/>
            <w:color w:val="0563C1"/>
            <w:sz w:val="24"/>
            <w:u w:val="single"/>
          </w:rPr>
          <w:t>Download PDF</w:t>
        </w:r>
      </w:hyperlink>
    </w:p>
    <w:p>
      <w:pPr>
        <w:pStyle w:val="DocBody"/>
        <w:ind w:left="765"/>
      </w:pPr>
      <w:hyperlink r:id="rId15">
        <w:r>
          <w:rPr>
            <w:rFonts w:ascii="Times New Roman" w:hAnsi="Times New Roman" w:eastAsia="宋体"/>
            <w:color w:val="0563C1"/>
            <w:sz w:val="24"/>
            <w:u w:val="single"/>
          </w:rPr>
          <w:t>Share on LinkedIn</w:t>
        </w:r>
      </w:hyperlink>
    </w:p>
    <w:p>
      <w:pPr>
        <w:pStyle w:val="DocBody"/>
        <w:ind w:left="765"/>
      </w:pPr>
      <w:hyperlink r:id="rId16">
        <w:r>
          <w:rPr>
            <w:rFonts w:ascii="Times New Roman" w:hAnsi="Times New Roman" w:eastAsia="宋体"/>
            <w:color w:val="0563C1"/>
            <w:sz w:val="24"/>
            <w:u w:val="single"/>
          </w:rPr>
          <w:t>Share on X</w:t>
        </w:r>
      </w:hyperlink>
    </w:p>
    <w:p>
      <w:pPr>
        <w:pStyle w:val="DocBody"/>
        <w:ind w:left="765"/>
      </w:pPr>
      <w:hyperlink r:id="rId17">
        <w:r>
          <w:rPr>
            <w:rFonts w:ascii="Times New Roman" w:hAnsi="Times New Roman" w:eastAsia="宋体"/>
            <w:color w:val="0563C1"/>
            <w:sz w:val="24"/>
            <w:u w:val="single"/>
          </w:rPr>
          <w:t>Share on Facebook</w:t>
        </w:r>
      </w:hyperlink>
    </w:p>
    <w:p>
      <w:pPr>
        <w:pStyle w:val="DocBody"/>
        <w:ind w:left="765"/>
      </w:pPr>
      <w:r>
        <w:rPr>
          <w:rFonts w:ascii="Times New Roman" w:hAnsi="Times New Roman" w:eastAsia="宋体"/>
          <w:sz w:val="24"/>
        </w:rPr>
        <w:t>Email</w:t>
      </w:r>
    </w:p>
    <w:p>
      <w:pPr>
        <w:pStyle w:val="DocBody"/>
      </w:pPr>
      <w:r>
        <w:rPr>
          <w:rFonts w:ascii="Times New Roman" w:hAnsi="Times New Roman" w:eastAsia="宋体"/>
          <w:sz w:val="24"/>
        </w:rPr>
        <w:t>Estimates suggest that artificial intelligence (AI) could displace approximately 10 to 15 percent of labor hours over a ten- to 15-year horizon. Among the many profound implications of AI displacing workers is a systemic threat to the U.S. government’s source of revenue: About two-thirds of federal revenue comes from labor in the form of payroll taxes and federal income tax. Furthermore, portions of the tax system may exacerbate the labor risks from AI by penalizing employment.</w:t>
      </w:r>
    </w:p>
    <w:p>
      <w:pPr>
        <w:pStyle w:val="DocBody"/>
      </w:pPr>
      <w:r>
        <w:rPr>
          <w:rFonts w:ascii="Times New Roman" w:hAnsi="Times New Roman" w:eastAsia="宋体"/>
          <w:sz w:val="24"/>
        </w:rPr>
        <w:t>In this paper, the authors propose a six-category framework to identify which parts of the tax code exacerbate this risk, which parts are resilient to it, and what reforms could stabilize revenue while protecting the demand for human labor.</w:t>
      </w:r>
    </w:p>
    <w:p>
      <w:pPr>
        <w:pStyle w:val="DocBody"/>
      </w:pPr>
      <w:r>
        <w:rPr>
          <w:rFonts w:ascii="Times New Roman" w:hAnsi="Times New Roman" w:eastAsia="宋体"/>
          <w:sz w:val="24"/>
        </w:rPr>
        <w:t>Policy options include reducing the business share of payroll taxes, implementing a progressive corporate tax on per-capita profits, taxing long-term capital gains at ordinary income rates, introducing a federal value-added tax, exploring a federal wealth tax, and reforming inheritance tax provisions. Each option involves trade-offs in revenue, growth, and feasibility.</w:t>
      </w:r>
    </w:p>
    <w:p>
      <w:pPr>
        <w:pStyle w:val="DocBody"/>
      </w:pPr>
      <w:r>
        <w:rPr>
          <w:rFonts w:ascii="Times New Roman" w:hAnsi="Times New Roman" w:eastAsia="宋体"/>
          <w:sz w:val="24"/>
        </w:rPr>
        <w:t>The authors conclude that a broad-based tax reform package—targeting outcomes rather than specific technologies—can help maintain fiscal stability and support employment in an AI-augmented economy.</w:t>
      </w:r>
    </w:p>
    <w:p>
      <w:pPr>
        <w:pStyle w:val="DocH1"/>
      </w:pPr>
      <w:r>
        <w:rPr>
          <w:rFonts w:ascii="Times New Roman" w:hAnsi="Times New Roman" w:eastAsia="宋体"/>
          <w:sz w:val="24"/>
        </w:rPr>
        <w:t>Related Content</w:t>
      </w:r>
    </w:p>
    <w:p>
      <w:r/>
    </w:p>
    <w:p>
      <w:pPr>
        <w:jc w:val="center"/>
      </w:pPr>
      <w:r>
        <w:rPr>
          <w:rFonts w:ascii="Times New Roman" w:hAnsi="Times New Roman" w:eastAsia="宋体"/>
          <w:i/>
          <w:color w:val="595959"/>
          <w:sz w:val="21"/>
        </w:rPr>
        <w:t>［原图未能获取：https://www.rand.org/content/rand/pubs/research_reports/RRA4980-1/_jcr_content/par/teaser.crop.308x1］</w:t>
      </w:r>
    </w:p>
    <w:p>
      <w:r/>
    </w:p>
    <w:p>
      <w:pPr>
        <w:jc w:val="center"/>
      </w:pPr>
      <w:r>
        <w:rPr>
          <w:rFonts w:ascii="Times New Roman" w:hAnsi="Times New Roman" w:eastAsia="宋体"/>
          <w:i/>
          <w:color w:val="595959"/>
          <w:sz w:val="21"/>
        </w:rPr>
        <w:t>［原图未能获取：https://www.rand.org/content/rand/education-employment-infrastructure/projects/rand-budget-initiativ］</w:t>
      </w:r>
    </w:p>
    <w:p>
      <w:pPr>
        <w:pStyle w:val="DocH1"/>
      </w:pPr>
      <w:r>
        <w:rPr>
          <w:rFonts w:ascii="Times New Roman" w:hAnsi="Times New Roman" w:eastAsia="宋体"/>
          <w:sz w:val="24"/>
        </w:rPr>
        <w:t>Topics</w:t>
      </w:r>
    </w:p>
    <w:p>
      <w:pPr>
        <w:pStyle w:val="DocBody"/>
        <w:ind w:left="765"/>
      </w:pPr>
      <w:hyperlink r:id="rId18">
        <w:r>
          <w:rPr>
            <w:rFonts w:ascii="Times New Roman" w:hAnsi="Times New Roman" w:eastAsia="宋体"/>
            <w:color w:val="0563C1"/>
            <w:sz w:val="24"/>
            <w:u w:val="single"/>
          </w:rPr>
          <w:t>Artificial Intelligence</w:t>
        </w:r>
      </w:hyperlink>
    </w:p>
    <w:p>
      <w:pPr>
        <w:pStyle w:val="DocBody"/>
        <w:ind w:left="765"/>
      </w:pPr>
      <w:hyperlink r:id="rId19">
        <w:r>
          <w:rPr>
            <w:rFonts w:ascii="Times New Roman" w:hAnsi="Times New Roman" w:eastAsia="宋体"/>
            <w:color w:val="0563C1"/>
            <w:sz w:val="24"/>
            <w:u w:val="single"/>
          </w:rPr>
          <w:t>Economic Planning</w:t>
        </w:r>
      </w:hyperlink>
    </w:p>
    <w:p>
      <w:pPr>
        <w:pStyle w:val="DocBody"/>
        <w:ind w:left="765"/>
      </w:pPr>
      <w:hyperlink r:id="rId20">
        <w:r>
          <w:rPr>
            <w:rFonts w:ascii="Times New Roman" w:hAnsi="Times New Roman" w:eastAsia="宋体"/>
            <w:color w:val="0563C1"/>
            <w:sz w:val="24"/>
            <w:u w:val="single"/>
          </w:rPr>
          <w:t>Economic Policy</w:t>
        </w:r>
      </w:hyperlink>
    </w:p>
    <w:p>
      <w:pPr>
        <w:pStyle w:val="DocBody"/>
        <w:ind w:left="765"/>
      </w:pPr>
      <w:hyperlink r:id="rId21">
        <w:r>
          <w:rPr>
            <w:rFonts w:ascii="Times New Roman" w:hAnsi="Times New Roman" w:eastAsia="宋体"/>
            <w:color w:val="0563C1"/>
            <w:sz w:val="24"/>
            <w:u w:val="single"/>
          </w:rPr>
          <w:t>Employment and Unemployment</w:t>
        </w:r>
      </w:hyperlink>
    </w:p>
    <w:p>
      <w:pPr>
        <w:pStyle w:val="DocBody"/>
        <w:ind w:left="765"/>
      </w:pPr>
      <w:hyperlink r:id="rId22">
        <w:r>
          <w:rPr>
            <w:rFonts w:ascii="Times New Roman" w:hAnsi="Times New Roman" w:eastAsia="宋体"/>
            <w:color w:val="0563C1"/>
            <w:sz w:val="24"/>
            <w:u w:val="single"/>
          </w:rPr>
          <w:t>Macroeconomics</w:t>
        </w:r>
      </w:hyperlink>
    </w:p>
    <w:p>
      <w:pPr>
        <w:pStyle w:val="DocBody"/>
        <w:ind w:left="765"/>
      </w:pPr>
      <w:hyperlink r:id="rId23">
        <w:r>
          <w:rPr>
            <w:rFonts w:ascii="Times New Roman" w:hAnsi="Times New Roman" w:eastAsia="宋体"/>
            <w:color w:val="0563C1"/>
            <w:sz w:val="24"/>
            <w:u w:val="single"/>
          </w:rPr>
          <w:t>United States</w:t>
        </w:r>
      </w:hyperlink>
    </w:p>
    <w:p>
      <w:pPr>
        <w:pStyle w:val="DocH1"/>
      </w:pPr>
      <w:r>
        <w:rPr>
          <w:rFonts w:ascii="Times New Roman" w:hAnsi="Times New Roman" w:eastAsia="宋体"/>
          <w:sz w:val="24"/>
        </w:rPr>
        <w:t>Document Details</w:t>
      </w:r>
    </w:p>
    <w:p>
      <w:pPr>
        <w:pStyle w:val="DocBody"/>
        <w:ind w:left="765"/>
      </w:pPr>
      <w:r>
        <w:rPr>
          <w:rFonts w:ascii="Times New Roman" w:hAnsi="Times New Roman" w:eastAsia="宋体"/>
          <w:b/>
          <w:sz w:val="24"/>
        </w:rPr>
        <w:t>Copyright:</w:t>
      </w:r>
      <w:r>
        <w:rPr>
          <w:rFonts w:ascii="Times New Roman" w:hAnsi="Times New Roman" w:eastAsia="宋体"/>
          <w:sz w:val="24"/>
        </w:rPr>
        <w:t xml:space="preserve"> RAND Corporation</w:t>
      </w:r>
    </w:p>
    <w:p>
      <w:pPr>
        <w:pStyle w:val="DocBody"/>
        <w:ind w:left="765"/>
      </w:pPr>
      <w:r>
        <w:rPr>
          <w:rFonts w:ascii="Times New Roman" w:hAnsi="Times New Roman" w:eastAsia="宋体"/>
          <w:b/>
          <w:sz w:val="24"/>
        </w:rPr>
        <w:t>Availability:</w:t>
      </w:r>
      <w:r>
        <w:rPr>
          <w:rFonts w:ascii="Times New Roman" w:hAnsi="Times New Roman" w:eastAsia="宋体"/>
          <w:sz w:val="24"/>
        </w:rPr>
        <w:t xml:space="preserve"> Web-Only</w:t>
      </w:r>
    </w:p>
    <w:p>
      <w:pPr>
        <w:pStyle w:val="DocBody"/>
        <w:ind w:left="765"/>
      </w:pPr>
      <w:r>
        <w:rPr>
          <w:rFonts w:ascii="Times New Roman" w:hAnsi="Times New Roman" w:eastAsia="宋体"/>
          <w:b/>
          <w:sz w:val="24"/>
        </w:rPr>
        <w:t>Year:</w:t>
      </w:r>
      <w:r>
        <w:rPr>
          <w:rFonts w:ascii="Times New Roman" w:hAnsi="Times New Roman" w:eastAsia="宋体"/>
          <w:sz w:val="24"/>
        </w:rPr>
        <w:t xml:space="preserve"> 2026</w:t>
      </w:r>
    </w:p>
    <w:p>
      <w:pPr>
        <w:pStyle w:val="DocBody"/>
        <w:ind w:left="765"/>
      </w:pPr>
      <w:r>
        <w:rPr>
          <w:rFonts w:ascii="Times New Roman" w:hAnsi="Times New Roman" w:eastAsia="宋体"/>
          <w:b/>
          <w:sz w:val="24"/>
        </w:rPr>
        <w:t>Pages:</w:t>
      </w:r>
      <w:r>
        <w:rPr>
          <w:rFonts w:ascii="Times New Roman" w:hAnsi="Times New Roman" w:eastAsia="宋体"/>
          <w:sz w:val="24"/>
        </w:rPr>
        <w:t xml:space="preserve"> 24</w:t>
      </w:r>
    </w:p>
    <w:p>
      <w:pPr>
        <w:pStyle w:val="DocBody"/>
        <w:ind w:left="765"/>
      </w:pPr>
      <w:r>
        <w:rPr>
          <w:rFonts w:ascii="Times New Roman" w:hAnsi="Times New Roman" w:eastAsia="宋体"/>
          <w:b/>
          <w:sz w:val="24"/>
        </w:rPr>
        <w:t>DOI:</w:t>
      </w:r>
      <w:r>
        <w:rPr>
          <w:rFonts w:ascii="Times New Roman" w:hAnsi="Times New Roman" w:eastAsia="宋体"/>
          <w:sz w:val="24"/>
        </w:rPr>
        <w:t xml:space="preserve"> </w:t>
      </w:r>
      <w:hyperlink r:id="rId24">
        <w:r>
          <w:rPr>
            <w:rFonts w:ascii="Times New Roman" w:hAnsi="Times New Roman" w:eastAsia="宋体"/>
            <w:color w:val="0563C1"/>
            <w:sz w:val="24"/>
            <w:u w:val="single"/>
          </w:rPr>
          <w:t>https://doi.org/10.7249/PEA4392-3</w:t>
        </w:r>
      </w:hyperlink>
    </w:p>
    <w:p>
      <w:pPr>
        <w:pStyle w:val="DocBody"/>
        <w:ind w:left="765"/>
      </w:pPr>
      <w:r>
        <w:rPr>
          <w:rFonts w:ascii="Times New Roman" w:hAnsi="Times New Roman" w:eastAsia="宋体"/>
          <w:b/>
          <w:sz w:val="24"/>
        </w:rPr>
        <w:t>Document Number:</w:t>
      </w:r>
      <w:r>
        <w:rPr>
          <w:rFonts w:ascii="Times New Roman" w:hAnsi="Times New Roman" w:eastAsia="宋体"/>
          <w:sz w:val="24"/>
        </w:rPr>
        <w:t xml:space="preserve"> PE-A4392-3</w:t>
      </w:r>
    </w:p>
    <w:p>
      <w:pPr>
        <w:pStyle w:val="DocH1"/>
      </w:pPr>
      <w:r>
        <w:rPr>
          <w:rFonts w:ascii="Times New Roman" w:hAnsi="Times New Roman" w:eastAsia="宋体"/>
          <w:sz w:val="24"/>
        </w:rPr>
        <w:t>Citation</w:t>
      </w:r>
    </w:p>
    <w:p>
      <w:pPr>
        <w:pStyle w:val="DocH1"/>
      </w:pPr>
      <w:r>
        <w:rPr>
          <w:rFonts w:ascii="Times New Roman" w:hAnsi="Times New Roman" w:eastAsia="宋体"/>
          <w:sz w:val="24"/>
        </w:rPr>
        <w:t>RAND Style Manual</w:t>
      </w:r>
    </w:p>
    <w:p>
      <w:pPr>
        <w:pStyle w:val="DocBody"/>
      </w:pPr>
      <w:r>
        <w:rPr>
          <w:rFonts w:ascii="Times New Roman" w:hAnsi="Times New Roman" w:eastAsia="宋体"/>
          <w:sz w:val="24"/>
        </w:rPr>
        <w:t xml:space="preserve">Price, Carter C. and Jeffrey B. Wenger, </w:t>
      </w:r>
      <w:r>
        <w:rPr>
          <w:rFonts w:ascii="Times New Roman" w:hAnsi="Times New Roman" w:eastAsia="宋体"/>
          <w:i/>
          <w:sz w:val="24"/>
        </w:rPr>
        <w:t>Tax Policy Options to Promote Employment and Mitigate Federal Revenue Impacts in the Age of AI,</w:t>
      </w:r>
      <w:r>
        <w:rPr>
          <w:rFonts w:ascii="Times New Roman" w:hAnsi="Times New Roman" w:eastAsia="宋体"/>
          <w:sz w:val="24"/>
        </w:rPr>
        <w:t xml:space="preserve"> RAND Corporation, PE-A4392-3, August 2026. As of August 31, 2026: https://www.rand.org/pubs/perspectives/PEA4392-3.html Copy Text</w:t>
      </w:r>
    </w:p>
    <w:p>
      <w:pPr>
        <w:pStyle w:val="DocH1"/>
      </w:pPr>
      <w:r>
        <w:rPr>
          <w:rFonts w:ascii="Times New Roman" w:hAnsi="Times New Roman" w:eastAsia="宋体"/>
          <w:sz w:val="24"/>
        </w:rPr>
        <w:t>Chicago Manual of Style</w:t>
      </w:r>
    </w:p>
    <w:p>
      <w:pPr>
        <w:pStyle w:val="DocBody"/>
      </w:pPr>
      <w:r>
        <w:rPr>
          <w:rFonts w:ascii="Times New Roman" w:hAnsi="Times New Roman" w:eastAsia="宋体"/>
          <w:sz w:val="24"/>
        </w:rPr>
        <w:t>Price, Carter C. and Jeffrey B. Wenger, Tax Policy Options to Promote Employment and Mitigate Federal Revenue Impacts in the Age of AI. Santa Monica, CA: RAND Corporation, 2026. https://www.rand.org/pubs/perspectives/PEA4392-3.html.</w:t>
      </w:r>
    </w:p>
    <w:p>
      <w:pPr>
        <w:pStyle w:val="DocBody"/>
      </w:pPr>
      <w:r>
        <w:rPr>
          <w:rFonts w:ascii="Times New Roman" w:hAnsi="Times New Roman" w:eastAsia="宋体"/>
          <w:sz w:val="24"/>
        </w:rPr>
        <w:t xml:space="preserve">Copy Text </w:t>
      </w:r>
      <w:hyperlink r:id="rId25">
        <w:r>
          <w:rPr>
            <w:rFonts w:ascii="Times New Roman" w:hAnsi="Times New Roman" w:eastAsia="宋体"/>
            <w:color w:val="0563C1"/>
            <w:sz w:val="24"/>
            <w:u w:val="single"/>
          </w:rPr>
          <w:t>BibTeX</w:t>
        </w:r>
      </w:hyperlink>
      <w:r>
        <w:rPr>
          <w:rFonts w:ascii="Times New Roman" w:hAnsi="Times New Roman" w:eastAsia="宋体"/>
          <w:sz w:val="24"/>
        </w:rPr>
        <w:t xml:space="preserve"> </w:t>
      </w:r>
      <w:hyperlink r:id="rId26">
        <w:r>
          <w:rPr>
            <w:rFonts w:ascii="Times New Roman" w:hAnsi="Times New Roman" w:eastAsia="宋体"/>
            <w:color w:val="0563C1"/>
            <w:sz w:val="24"/>
            <w:u w:val="single"/>
          </w:rPr>
          <w:t>RIS</w:t>
        </w:r>
      </w:hyperlink>
    </w:p>
    <w:p>
      <w:pPr>
        <w:pStyle w:val="DocH1"/>
      </w:pPr>
      <w:r>
        <w:rPr>
          <w:rFonts w:ascii="Times New Roman" w:hAnsi="Times New Roman" w:eastAsia="宋体"/>
          <w:sz w:val="24"/>
        </w:rPr>
        <w:t>Research conducted by</w:t>
      </w:r>
    </w:p>
    <w:p>
      <w:pPr>
        <w:pStyle w:val="DocBody"/>
        <w:ind w:left="765"/>
      </w:pPr>
      <w:hyperlink r:id="rId27">
        <w:r>
          <w:rPr>
            <w:rFonts w:ascii="Times New Roman" w:hAnsi="Times New Roman" w:eastAsia="宋体"/>
            <w:color w:val="0563C1"/>
            <w:sz w:val="24"/>
            <w:u w:val="single"/>
          </w:rPr>
          <w:t>RAND Education, Employment, and Infrastructure</w:t>
        </w:r>
      </w:hyperlink>
    </w:p>
    <w:p>
      <w:pPr>
        <w:pStyle w:val="DocBody"/>
      </w:pPr>
      <w:r>
        <w:rPr>
          <w:rFonts w:ascii="Times New Roman" w:hAnsi="Times New Roman" w:eastAsia="宋体"/>
          <w:sz w:val="24"/>
        </w:rPr>
        <w:t xml:space="preserve">This work was supported by the Diller-von Furstenberg Family Foundation and Pershing Square Philanthropies and conducted by the </w:t>
      </w:r>
      <w:hyperlink r:id="rId28">
        <w:r>
          <w:rPr>
            <w:rFonts w:ascii="Times New Roman" w:hAnsi="Times New Roman" w:eastAsia="宋体"/>
            <w:color w:val="0563C1"/>
            <w:sz w:val="24"/>
            <w:u w:val="single"/>
          </w:rPr>
          <w:t xml:space="preserve">RAND von Furstenberg Family Budget Model Initiative </w:t>
        </w:r>
      </w:hyperlink>
      <w:r>
        <w:rPr>
          <w:rFonts w:ascii="Times New Roman" w:hAnsi="Times New Roman" w:eastAsia="宋体"/>
          <w:sz w:val="24"/>
        </w:rPr>
        <w:t xml:space="preserve"> within </w:t>
      </w:r>
      <w:hyperlink r:id="rId27">
        <w:r>
          <w:rPr>
            <w:rFonts w:ascii="Times New Roman" w:hAnsi="Times New Roman" w:eastAsia="宋体"/>
            <w:color w:val="0563C1"/>
            <w:sz w:val="24"/>
            <w:u w:val="single"/>
          </w:rPr>
          <w:t>RAND Education, Employment, and Infrastructure</w:t>
        </w:r>
      </w:hyperlink>
      <w:r>
        <w:rPr>
          <w:rFonts w:ascii="Times New Roman" w:hAnsi="Times New Roman" w:eastAsia="宋体"/>
          <w:sz w:val="24"/>
        </w:rPr>
        <w:t>.</w:t>
      </w:r>
    </w:p>
    <w:p>
      <w:pPr>
        <w:pStyle w:val="DocBody"/>
      </w:pPr>
      <w:r>
        <w:rPr>
          <w:rFonts w:ascii="Times New Roman" w:hAnsi="Times New Roman" w:eastAsia="宋体"/>
          <w:sz w:val="24"/>
        </w:rPr>
        <w:t>This publication is part of the RAND expert insights series. The expert insights series presents perspectives on timely policy issues.</w:t>
      </w:r>
    </w:p>
    <w:p>
      <w:pPr>
        <w:pStyle w:val="DocBody"/>
      </w:pPr>
      <w:r>
        <w:rPr>
          <w:rFonts w:ascii="Times New Roman" w:hAnsi="Times New Roman" w:eastAsia="宋体"/>
          <w:sz w:val="24"/>
        </w:rPr>
        <w:t xml:space="preserve">This document and trademark(s) contained herein are protected by law. This representation of RAND intellectual property is provided for noncommercial use only. Unauthorized posting of this publication online is prohibited; linking directly to this product page is encouraged. Permission is required from RAND to reproduce, or reuse in another form, any of its research documents for commercial purposes. For information on reprint and reuse permissions, please visit </w:t>
      </w:r>
      <w:hyperlink r:id="rId29">
        <w:r>
          <w:rPr>
            <w:rFonts w:ascii="Times New Roman" w:hAnsi="Times New Roman" w:eastAsia="宋体"/>
            <w:color w:val="0563C1"/>
            <w:sz w:val="24"/>
            <w:u w:val="single"/>
          </w:rPr>
          <w:t>www.rand.org/pubs/permissions</w:t>
        </w:r>
      </w:hyperlink>
      <w:r>
        <w:rPr>
          <w:rFonts w:ascii="Times New Roman" w:hAnsi="Times New Roman" w:eastAsia="宋体"/>
          <w:sz w:val="24"/>
        </w:rPr>
        <w:t>.</w:t>
      </w:r>
    </w:p>
    <w:p>
      <w:pPr>
        <w:pStyle w:val="DocBody"/>
      </w:pPr>
      <w:r>
        <w:rPr>
          <w:rFonts w:ascii="Times New Roman" w:hAnsi="Times New Roman" w:eastAsia="宋体"/>
          <w:sz w:val="24"/>
        </w:rPr>
        <w:t>RAND is a nonprofit institution that helps improve policy and decisionmaking through research and analysis. RAND's publications do not necessarily reflect the opinions of its research clients and sponsors.</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B007-006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and.org/pubs/perspectives/PEA4392-3.html" TargetMode="External"/><Relationship Id="rId12" Type="http://schemas.openxmlformats.org/officeDocument/2006/relationships/hyperlink" Target="https://www.rand.org/about/people/p/price_carter_c.html" TargetMode="External"/><Relationship Id="rId13" Type="http://schemas.openxmlformats.org/officeDocument/2006/relationships/hyperlink" Target="https://www.rand.org/about/people/w/wenger_jeffrey_b.html" TargetMode="External"/><Relationship Id="rId14" Type="http://schemas.openxmlformats.org/officeDocument/2006/relationships/hyperlink" Target="https://www.rand.org/content/dam/rand/pubs/perspectives/PEA4300/PEA4392-3/RAND_PEA4392-3.pdf" TargetMode="External"/><Relationship Id="rId15" Type="http://schemas.openxmlformats.org/officeDocument/2006/relationships/hyperlink" Target="https://www.linkedin.com/shareArticle?mini=true&amp;url=https%3A%2F%2Fwww.rand.org%2Fpubs%2Fperspectives%2FPEA4392-3.html&amp;title=Tax+Policy+Options+to+Promote+Employment+and+Mitigate+Federal+Revenue+Impacts+in+the+Age+of+AI" TargetMode="External"/><Relationship Id="rId16" Type="http://schemas.openxmlformats.org/officeDocument/2006/relationships/hyperlink" Target="https://x.com/intent/tweet?url=https%3A%2F%2Fwww.rand.org%2Fpubs%2Fperspectives%2FPEA4392-3.html&amp;text=Tax+Policy+Options+to+Promote+Employment+and+Mitigate+Federal+Revenue+Impacts+in+the+Age+of+AI&amp;via=RANDCorporation" TargetMode="External"/><Relationship Id="rId17" Type="http://schemas.openxmlformats.org/officeDocument/2006/relationships/hyperlink" Target="https://www.facebook.com/sharer.php?u=https%3A%2F%2Fwww.rand.org%2Fpubs%2Fperspectives%2FPEA4392-3.html" TargetMode="External"/><Relationship Id="rId18" Type="http://schemas.openxmlformats.org/officeDocument/2006/relationships/hyperlink" Target="https://www.rand.org/topics/artificial-intelligence.html" TargetMode="External"/><Relationship Id="rId19" Type="http://schemas.openxmlformats.org/officeDocument/2006/relationships/hyperlink" Target="https://www.rand.org/topics/economic-planning.html" TargetMode="External"/><Relationship Id="rId20" Type="http://schemas.openxmlformats.org/officeDocument/2006/relationships/hyperlink" Target="https://www.rand.org/topics/economic-policy.html" TargetMode="External"/><Relationship Id="rId21" Type="http://schemas.openxmlformats.org/officeDocument/2006/relationships/hyperlink" Target="https://www.rand.org/topics/employment-and-unemployment.html" TargetMode="External"/><Relationship Id="rId22" Type="http://schemas.openxmlformats.org/officeDocument/2006/relationships/hyperlink" Target="https://www.rand.org/topics/macroeconomics.html" TargetMode="External"/><Relationship Id="rId23" Type="http://schemas.openxmlformats.org/officeDocument/2006/relationships/hyperlink" Target="https://www.rand.org/topics/united-states.html" TargetMode="External"/><Relationship Id="rId24" Type="http://schemas.openxmlformats.org/officeDocument/2006/relationships/hyperlink" Target="https://doi.org/10.7249/PEA4392-3" TargetMode="External"/><Relationship Id="rId25" Type="http://schemas.openxmlformats.org/officeDocument/2006/relationships/hyperlink" Target="https://www.rand.org/content/rand/pubs/perspectives/PEA4392-3/_jcr_content/par/product.PEA4392-3.bib" TargetMode="External"/><Relationship Id="rId26" Type="http://schemas.openxmlformats.org/officeDocument/2006/relationships/hyperlink" Target="https://www.rand.org/content/rand/pubs/perspectives/PEA4392-3/_jcr_content/par/product.PEA4392-3.ris" TargetMode="External"/><Relationship Id="rId27" Type="http://schemas.openxmlformats.org/officeDocument/2006/relationships/hyperlink" Target="https://www.rand.org/education-employment-infrastructure.html" TargetMode="External"/><Relationship Id="rId28" Type="http://schemas.openxmlformats.org/officeDocument/2006/relationships/hyperlink" Target="https://www.rand.org/education-employment-infrastructure/projects/rand-budget-initiative.html" TargetMode="External"/><Relationship Id="rId29" Type="http://schemas.openxmlformats.org/officeDocument/2006/relationships/hyperlink" Target="https://www.rand.org/pubs/permiss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 Policy Options to Promote Employment and Mitigate Federal Revenue Impacts in the Age of AI</dc:title>
  <dc:subject/>
  <dc:creator>briefing-article-kb</dc:creator>
  <cp:keywords/>
  <dc:description>https://www.rand.org/pubs/perspectives/PEA4392-3.html</dc:description>
  <cp:lastModifiedBy/>
  <cp:revision>1</cp:revision>
  <dcterms:created xsi:type="dcterms:W3CDTF">2013-12-23T23:15:00Z</dcterms:created>
  <dcterms:modified xsi:type="dcterms:W3CDTF">2013-12-23T23:15:00Z</dcterms:modified>
  <cp:category/>
</cp:coreProperties>
</file>