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B001-022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ASPI（ASPI - The Strategist）</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The world needs to take the AI bull by the horns – and fast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https://www.aspistrategist.org.au/the-world-needs-to-take-the-ai-bull-by-the-horns-and-fast/</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B001-022-Aspi - the strategist -the-world-needs-to-take-the-ai-bull-by-the-horns-202608.md</w:t>
            </w:r>
          </w:p>
        </w:tc>
      </w:tr>
    </w:tbl>
    <w:p/>
    <w:p>
      <w:pPr>
        <w:pStyle w:val="DocTitle"/>
      </w:pPr>
      <w:r>
        <w:t>The world needs to take the AI bull by the horns – and fast</w:t>
      </w:r>
    </w:p>
    <w:p>
      <w:pPr>
        <w:pStyle w:val="DocBody"/>
      </w:pPr>
      <w:r>
        <w:rPr>
          <w:rFonts w:ascii="Times New Roman" w:hAnsi="Times New Roman" w:eastAsia="宋体"/>
          <w:sz w:val="24"/>
        </w:rPr>
        <w:t>Search:</w:t>
      </w:r>
    </w:p>
    <w:p>
      <w:pPr>
        <w:pStyle w:val="DocBody"/>
      </w:pPr>
      <w:hyperlink r:id="rId12">
        <w:r>
          <w:rPr>
            <w:rFonts w:ascii="Times New Roman" w:hAnsi="Times New Roman" w:eastAsia="宋体"/>
            <w:color w:val="0563C1"/>
            <w:sz w:val="24"/>
            <w:u w:val="single"/>
          </w:rPr>
          <w:t>X (formerly Twitter)</w:t>
        </w:r>
      </w:hyperlink>
      <w:hyperlink r:id="rId12">
        <w:r>
          <w:rPr>
            <w:rFonts w:ascii="Times New Roman" w:hAnsi="Times New Roman" w:eastAsia="宋体"/>
            <w:color w:val="0563C1"/>
            <w:sz w:val="24"/>
            <w:u w:val="single"/>
          </w:rPr>
          <w:t>X (formerly Twitter)</w:t>
        </w:r>
      </w:hyperlink>
      <w:hyperlink r:id="rId13">
        <w:r>
          <w:rPr>
            <w:rFonts w:ascii="Times New Roman" w:hAnsi="Times New Roman" w:eastAsia="宋体"/>
            <w:color w:val="0563C1"/>
            <w:sz w:val="24"/>
            <w:u w:val="single"/>
          </w:rPr>
          <w:t>Instagram</w:t>
        </w:r>
      </w:hyperlink>
      <w:hyperlink r:id="rId13">
        <w:r>
          <w:rPr>
            <w:rFonts w:ascii="Times New Roman" w:hAnsi="Times New Roman" w:eastAsia="宋体"/>
            <w:color w:val="0563C1"/>
            <w:sz w:val="24"/>
            <w:u w:val="single"/>
          </w:rPr>
          <w:t>Instagram</w:t>
        </w:r>
      </w:hyperlink>
      <w:hyperlink r:id="rId14">
        <w:r>
          <w:rPr>
            <w:rFonts w:ascii="Times New Roman" w:hAnsi="Times New Roman" w:eastAsia="宋体"/>
            <w:color w:val="0563C1"/>
            <w:sz w:val="24"/>
            <w:u w:val="single"/>
          </w:rPr>
          <w:t>YouTube</w:t>
        </w:r>
      </w:hyperlink>
      <w:hyperlink r:id="rId15">
        <w:r>
          <w:rPr>
            <w:rFonts w:ascii="Times New Roman" w:hAnsi="Times New Roman" w:eastAsia="宋体"/>
            <w:color w:val="0563C1"/>
            <w:sz w:val="24"/>
            <w:u w:val="single"/>
          </w:rPr>
          <w:t>Substack</w:t>
        </w:r>
      </w:hyperlink>
      <w:hyperlink r:id="rId15">
        <w:r>
          <w:rPr>
            <w:rFonts w:ascii="Times New Roman" w:hAnsi="Times New Roman" w:eastAsia="宋体"/>
            <w:color w:val="0563C1"/>
            <w:sz w:val="24"/>
            <w:u w:val="single"/>
          </w:rPr>
          <w:t>Substack</w:t>
        </w:r>
      </w:hyperlink>
      <w:hyperlink r:id="rId16">
        <w:r>
          <w:rPr>
            <w:rFonts w:ascii="Times New Roman" w:hAnsi="Times New Roman" w:eastAsia="宋体"/>
            <w:color w:val="0563C1"/>
            <w:sz w:val="24"/>
            <w:u w:val="single"/>
          </w:rPr>
          <w:t>Spotify</w:t>
        </w:r>
      </w:hyperlink>
      <w:hyperlink r:id="rId16">
        <w:r>
          <w:rPr>
            <w:rFonts w:ascii="Times New Roman" w:hAnsi="Times New Roman" w:eastAsia="宋体"/>
            <w:color w:val="0563C1"/>
            <w:sz w:val="24"/>
            <w:u w:val="single"/>
          </w:rPr>
          <w:t>Spotify</w:t>
        </w:r>
      </w:hyperlink>
      <w:hyperlink r:id="rId17">
        <w:r>
          <w:rPr>
            <w:rFonts w:ascii="Times New Roman" w:hAnsi="Times New Roman" w:eastAsia="宋体"/>
            <w:color w:val="0563C1"/>
            <w:sz w:val="24"/>
            <w:u w:val="single"/>
          </w:rPr>
          <w:t>RSS Feed</w:t>
        </w:r>
      </w:hyperlink>
      <w:hyperlink r:id="rId17">
        <w:r>
          <w:rPr>
            <w:rFonts w:ascii="Times New Roman" w:hAnsi="Times New Roman" w:eastAsia="宋体"/>
            <w:color w:val="0563C1"/>
            <w:sz w:val="24"/>
            <w:u w:val="single"/>
          </w:rPr>
          <w:t>RSS Feed</w:t>
        </w:r>
      </w:hyperlink>
    </w:p>
    <w:p>
      <w:pPr>
        <w:pStyle w:val="DocBody"/>
      </w:pPr>
      <w:r>
        <w:rPr>
          <w:rFonts w:ascii="Times New Roman" w:hAnsi="Times New Roman" w:eastAsia="宋体"/>
          <w:sz w:val="24"/>
        </w:rPr>
        <w:t>Search:</w:t>
      </w:r>
    </w:p>
    <w:p>
      <w:pPr>
        <w:pStyle w:val="DocBody"/>
      </w:pPr>
      <w:r>
        <w:rPr>
          <w:rFonts w:ascii="Times New Roman" w:hAnsi="Times New Roman" w:eastAsia="宋体"/>
          <w:sz w:val="24"/>
        </w:rPr>
        <w:t xml:space="preserve">SHARE </w:t>
      </w:r>
      <w:hyperlink r:id="rId18">
        <w:r>
          <w:rPr>
            <w:rFonts w:ascii="Times New Roman" w:hAnsi="Times New Roman" w:eastAsia="宋体"/>
            <w:color w:val="0563C1"/>
            <w:sz w:val="24"/>
            <w:u w:val="single"/>
          </w:rPr>
          <w:t xml:space="preserve"> Share to Facebook </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 xml:space="preserve"> Share to Twitter </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 xml:space="preserve"> Share to LinkedIn </w:t>
        </w:r>
      </w:hyperlink>
      <w:r>
        <w:rPr>
          <w:rFonts w:ascii="Times New Roman" w:hAnsi="Times New Roman" w:eastAsia="宋体"/>
          <w:sz w:val="24"/>
        </w:rPr>
        <w:t xml:space="preserve"> Share to Email </w:t>
      </w:r>
      <w:hyperlink r:id="rId21">
        <w:r>
          <w:rPr>
            <w:rFonts w:ascii="Times New Roman" w:hAnsi="Times New Roman" w:eastAsia="宋体"/>
            <w:color w:val="0563C1"/>
            <w:sz w:val="24"/>
            <w:u w:val="single"/>
          </w:rPr>
          <w:t>Print This Post</w:t>
        </w:r>
      </w:hyperlink>
    </w:p>
    <w:p>
      <w:pPr>
        <w:pStyle w:val="DocBody"/>
      </w:pPr>
      <w:hyperlink r:id="rId22">
        <w:r>
          <w:rPr>
            <w:rFonts w:ascii="Times New Roman" w:hAnsi="Times New Roman" w:eastAsia="宋体"/>
            <w:color w:val="0563C1"/>
            <w:sz w:val="24"/>
            <w:u w:val="single"/>
          </w:rPr>
          <w:t>With Images</w:t>
        </w:r>
      </w:hyperlink>
      <w:hyperlink r:id="rId23">
        <w:r>
          <w:rPr>
            <w:rFonts w:ascii="Times New Roman" w:hAnsi="Times New Roman" w:eastAsia="宋体"/>
            <w:color w:val="0563C1"/>
            <w:sz w:val="24"/>
            <w:u w:val="single"/>
          </w:rPr>
          <w:t>Without Images</w:t>
        </w:r>
      </w:hyperlink>
    </w:p>
    <w:p>
      <w:pPr>
        <w:jc w:val="center"/>
      </w:pPr>
      <w:r>
        <w:drawing>
          <wp:inline xmlns:a="http://schemas.openxmlformats.org/drawingml/2006/main" xmlns:pic="http://schemas.openxmlformats.org/drawingml/2006/picture">
            <wp:extent cx="5400000" cy="3888000"/>
            <wp:docPr id="1" name="Picture 1"/>
            <wp:cNvGraphicFramePr>
              <a:graphicFrameLocks noChangeAspect="1"/>
            </wp:cNvGraphicFramePr>
            <a:graphic>
              <a:graphicData uri="http://schemas.openxmlformats.org/drawingml/2006/picture">
                <pic:pic>
                  <pic:nvPicPr>
                    <pic:cNvPr id="0" name="5a5cbe72fbb1bb43.png"/>
                    <pic:cNvPicPr/>
                  </pic:nvPicPr>
                  <pic:blipFill>
                    <a:blip r:embed="rId24"/>
                    <a:stretch>
                      <a:fillRect/>
                    </a:stretch>
                  </pic:blipFill>
                  <pic:spPr>
                    <a:xfrm>
                      <a:off x="0" y="0"/>
                      <a:ext cx="5400000" cy="3888000"/>
                    </a:xfrm>
                    <a:prstGeom prst="rect"/>
                  </pic:spPr>
                </pic:pic>
              </a:graphicData>
            </a:graphic>
          </wp:inline>
        </w:drawing>
      </w:r>
    </w:p>
    <w:p>
      <w:pPr>
        <w:pStyle w:val="DocBody"/>
      </w:pPr>
      <w:r>
        <w:rPr>
          <w:rFonts w:ascii="Times New Roman" w:hAnsi="Times New Roman" w:eastAsia="宋体"/>
          <w:sz w:val="24"/>
        </w:rPr>
        <w:t>Earth, we have a problem. Artificial intelligence is the world’s biggest, maddest bull in the world’s most overstocked and poorly organised china shop. Global coordination to harness this rampaging beast has never been more urgent, and yet it’s never looked harder. We need to make it happen – starting today.</w:t>
      </w:r>
    </w:p>
    <w:p>
      <w:pPr>
        <w:pStyle w:val="DocBody"/>
      </w:pPr>
      <w:r>
        <w:rPr>
          <w:rFonts w:ascii="Times New Roman" w:hAnsi="Times New Roman" w:eastAsia="宋体"/>
          <w:sz w:val="24"/>
        </w:rPr>
        <w:t>Australia’s National Cabinet agreement between the prime minister and premiers to develop consistent standards for building artificial intelligence data centres was a small but significant step in the right direction. Bear with me here.</w:t>
      </w:r>
    </w:p>
    <w:p>
      <w:pPr>
        <w:pStyle w:val="DocBody"/>
      </w:pPr>
      <w:r>
        <w:rPr>
          <w:rFonts w:ascii="Times New Roman" w:hAnsi="Times New Roman" w:eastAsia="宋体"/>
          <w:sz w:val="24"/>
        </w:rPr>
        <w:t>Prime Minister Albanese’s decision not to dig in on renewable energy mandates for data centres is a positive signal that his government recognises the urgency with which Australia needs to push ahead to seize the best opportunity it has to become a globally relevant AI player. It’s one more obstacle cleared.</w:t>
      </w:r>
    </w:p>
    <w:p>
      <w:pPr>
        <w:pStyle w:val="DocBody"/>
      </w:pPr>
      <w:r>
        <w:rPr>
          <w:rFonts w:ascii="Times New Roman" w:hAnsi="Times New Roman" w:eastAsia="宋体"/>
          <w:sz w:val="24"/>
        </w:rPr>
        <w:t>This matters because countries such as Australia need a say in global AI development. Yes, attracting AI data-centre investment is good for the future of our economy and our strategic options, given the power AI capability will confer on nations. But to reap those benefits, we first need the world to harness the bull and steer it out the right door of the china shop. There are many doors leading to many fates for humanity, and not all of them are good – indeed, some could lead to catastrophe. Embedding ourselves in a form of managed interdependence with the United States on AI development while also creating sovereign AI options will be critical means for Australia to reserve a seat at the table of global AI governance.</w:t>
      </w:r>
    </w:p>
    <w:p>
      <w:pPr>
        <w:pStyle w:val="DocBody"/>
      </w:pPr>
      <w:r>
        <w:rPr>
          <w:rFonts w:ascii="Times New Roman" w:hAnsi="Times New Roman" w:eastAsia="宋体"/>
          <w:sz w:val="24"/>
        </w:rPr>
        <w:t>Either way, the US and China need to sit down and talk about safeguards immediately as the two frontier nations. But the consequences of untamed AI will affect all 8.3 billion people on earth, and so all nations need a say.</w:t>
      </w:r>
    </w:p>
    <w:p>
      <w:pPr>
        <w:pStyle w:val="DocBody"/>
      </w:pPr>
      <w:r>
        <w:rPr>
          <w:rFonts w:ascii="Times New Roman" w:hAnsi="Times New Roman" w:eastAsia="宋体"/>
          <w:sz w:val="24"/>
        </w:rPr>
        <w:t xml:space="preserve">As Bill Gates wrote in his frankly stunning </w:t>
      </w:r>
      <w:hyperlink r:id="rId25">
        <w:r>
          <w:rPr>
            <w:rFonts w:ascii="Times New Roman" w:hAnsi="Times New Roman" w:eastAsia="宋体"/>
            <w:color w:val="0563C1"/>
            <w:sz w:val="24"/>
            <w:u w:val="single"/>
          </w:rPr>
          <w:t>essay</w:t>
        </w:r>
      </w:hyperlink>
      <w:r>
        <w:rPr>
          <w:rFonts w:ascii="Times New Roman" w:hAnsi="Times New Roman" w:eastAsia="宋体"/>
          <w:sz w:val="24"/>
        </w:rPr>
        <w:t xml:space="preserve"> on AI, published on Wednesday, ‘we are not preparing adequately for [the AI] transition’. He wrote that it ‘should be the world’s top priority’ and yet ‘there is no plan to ease the entry into the AI era’. AI companies are proposing solutions – just as they’ve led the discussion for years without being taken sufficiently seriously – but it’s not all up to them. We need democratically led processes and international cooperation with new institutions.</w:t>
      </w:r>
    </w:p>
    <w:p>
      <w:pPr>
        <w:pStyle w:val="DocBody"/>
      </w:pPr>
      <w:r>
        <w:rPr>
          <w:rFonts w:ascii="Times New Roman" w:hAnsi="Times New Roman" w:eastAsia="宋体"/>
          <w:sz w:val="24"/>
        </w:rPr>
        <w:t>The government is right to establish national standards for data-centre construction, not least because strong conditions on the investment can ensure that the infrastructure translates into a slice of the AI value chain. It’s equally right to accept that states have some flexibility on the energy mix to power data centres. This represents a commendable compromise on renewable energy imperatives, which is ironic given global climate efforts represent a near-defeat for international coordination. Most of my adult life I’ve watched the world try to cooperate on climate action and yet we’ve never seemed further away. We can’t repeat that failure on AI.</w:t>
      </w:r>
    </w:p>
    <w:p>
      <w:pPr>
        <w:pStyle w:val="DocBody"/>
      </w:pPr>
      <w:r>
        <w:rPr>
          <w:rFonts w:ascii="Times New Roman" w:hAnsi="Times New Roman" w:eastAsia="宋体"/>
          <w:sz w:val="24"/>
        </w:rPr>
        <w:t>Climate change is serious and urgent, but AI is advancing by the day. We don’t really know what 2027 looks like, much less 2030. As Gates writes, ‘The world needs a plan.’ Now.</w:t>
      </w:r>
    </w:p>
    <w:p>
      <w:pPr>
        <w:pStyle w:val="DocBody"/>
      </w:pPr>
      <w:r>
        <w:rPr>
          <w:rFonts w:ascii="Times New Roman" w:hAnsi="Times New Roman" w:eastAsia="宋体"/>
          <w:sz w:val="24"/>
        </w:rPr>
        <w:t xml:space="preserve">Author </w:t>
      </w:r>
      <w:r>
        <w:rPr>
          <w:rFonts w:ascii="Times New Roman" w:hAnsi="Times New Roman" w:eastAsia="宋体"/>
          <w:b/>
          <w:sz w:val="24"/>
        </w:rPr>
        <w:t>David Wroe</w:t>
      </w:r>
      <w:r>
        <w:rPr>
          <w:rFonts w:ascii="Times New Roman" w:hAnsi="Times New Roman" w:eastAsia="宋体"/>
          <w:sz w:val="24"/>
        </w:rPr>
        <w:t xml:space="preserve"> is a resident senior fellow and head of ASPI’s AI and Security program.</w:t>
      </w:r>
    </w:p>
    <w:p>
      <w:pPr>
        <w:pStyle w:val="DocBody"/>
      </w:pPr>
      <w:r>
        <w:rPr>
          <w:rFonts w:ascii="Times New Roman" w:hAnsi="Times New Roman" w:eastAsia="宋体"/>
          <w:sz w:val="24"/>
        </w:rPr>
        <w:t xml:space="preserve">Image: </w:t>
      </w:r>
      <w:hyperlink r:id="rId26">
        <w:r>
          <w:rPr>
            <w:rFonts w:ascii="Times New Roman" w:hAnsi="Times New Roman" w:eastAsia="宋体"/>
            <w:color w:val="0563C1"/>
            <w:sz w:val="24"/>
            <w:u w:val="single"/>
          </w:rPr>
          <w:t>Jackie Niam/Getty Images</w:t>
        </w:r>
      </w:hyperlink>
      <w:r>
        <w:rPr>
          <w:rFonts w:ascii="Times New Roman" w:hAnsi="Times New Roman" w:eastAsia="宋体"/>
          <w:sz w:val="24"/>
        </w:rPr>
        <w:t>.</w:t>
      </w:r>
    </w:p>
    <w:p>
      <w:pPr>
        <w:pStyle w:val="DocBody"/>
      </w:pPr>
      <w:r>
        <w:rPr>
          <w:rFonts w:ascii="Times New Roman" w:hAnsi="Times New Roman" w:eastAsia="宋体"/>
          <w:sz w:val="24"/>
        </w:rPr>
        <w:t>AI contributed no ideas to this article – David Wroe Tags</w:t>
      </w:r>
    </w:p>
    <w:p>
      <w:pPr>
        <w:pStyle w:val="DocBody"/>
        <w:ind w:left="765"/>
      </w:pPr>
      <w:hyperlink r:id="rId27">
        <w:r>
          <w:rPr>
            <w:rFonts w:ascii="Times New Roman" w:hAnsi="Times New Roman" w:eastAsia="宋体"/>
            <w:color w:val="0563C1"/>
            <w:sz w:val="24"/>
            <w:u w:val="single"/>
          </w:rPr>
          <w:t>Australia</w:t>
        </w:r>
      </w:hyperlink>
    </w:p>
    <w:p>
      <w:pPr>
        <w:pStyle w:val="DocBody"/>
        <w:ind w:left="765"/>
      </w:pPr>
      <w:hyperlink r:id="rId28">
        <w:r>
          <w:rPr>
            <w:rFonts w:ascii="Times New Roman" w:hAnsi="Times New Roman" w:eastAsia="宋体"/>
            <w:color w:val="0563C1"/>
            <w:sz w:val="24"/>
            <w:u w:val="single"/>
          </w:rPr>
          <w:t>artificial intelligence</w:t>
        </w:r>
      </w:hyperlink>
    </w:p>
    <w:p>
      <w:pPr>
        <w:pStyle w:val="DocBody"/>
        <w:ind w:left="765"/>
      </w:pPr>
      <w:hyperlink r:id="rId29">
        <w:r>
          <w:rPr>
            <w:rFonts w:ascii="Times New Roman" w:hAnsi="Times New Roman" w:eastAsia="宋体"/>
            <w:color w:val="0563C1"/>
            <w:sz w:val="24"/>
            <w:u w:val="single"/>
          </w:rPr>
          <w:t>governance</w:t>
        </w:r>
      </w:hyperlink>
    </w:p>
    <w:p>
      <w:pPr>
        <w:pStyle w:val="DocBody"/>
      </w:pPr>
      <w:r>
        <w:rPr>
          <w:rFonts w:ascii="Times New Roman" w:hAnsi="Times New Roman" w:eastAsia="宋体"/>
          <w:sz w:val="24"/>
        </w:rPr>
        <w:t xml:space="preserve">SHARE </w:t>
      </w:r>
      <w:hyperlink r:id="rId18">
        <w:r>
          <w:rPr>
            <w:rFonts w:ascii="Times New Roman" w:hAnsi="Times New Roman" w:eastAsia="宋体"/>
            <w:color w:val="0563C1"/>
            <w:sz w:val="24"/>
            <w:u w:val="single"/>
          </w:rPr>
          <w:t xml:space="preserve"> Share to Facebook </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 xml:space="preserve"> Share to Twitter </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 xml:space="preserve"> Share to LinkedIn </w:t>
        </w:r>
      </w:hyperlink>
      <w:r>
        <w:rPr>
          <w:rFonts w:ascii="Times New Roman" w:hAnsi="Times New Roman" w:eastAsia="宋体"/>
          <w:sz w:val="24"/>
        </w:rPr>
        <w:t xml:space="preserve"> Share to Email </w:t>
      </w:r>
      <w:hyperlink r:id="rId21">
        <w:r>
          <w:rPr>
            <w:rFonts w:ascii="Times New Roman" w:hAnsi="Times New Roman" w:eastAsia="宋体"/>
            <w:color w:val="0563C1"/>
            <w:sz w:val="24"/>
            <w:u w:val="single"/>
          </w:rPr>
          <w:t>Print This Post</w:t>
        </w:r>
      </w:hyperlink>
    </w:p>
    <w:p>
      <w:pPr>
        <w:pStyle w:val="DocBody"/>
      </w:pPr>
      <w:hyperlink r:id="rId22">
        <w:r>
          <w:rPr>
            <w:rFonts w:ascii="Times New Roman" w:hAnsi="Times New Roman" w:eastAsia="宋体"/>
            <w:color w:val="0563C1"/>
            <w:sz w:val="24"/>
            <w:u w:val="single"/>
          </w:rPr>
          <w:t>With Images</w:t>
        </w:r>
      </w:hyperlink>
      <w:hyperlink r:id="rId23">
        <w:r>
          <w:rPr>
            <w:rFonts w:ascii="Times New Roman" w:hAnsi="Times New Roman" w:eastAsia="宋体"/>
            <w:color w:val="0563C1"/>
            <w:sz w:val="24"/>
            <w:u w:val="single"/>
          </w:rPr>
          <w:t>Without Images</w:t>
        </w:r>
      </w:hyperlink>
    </w:p>
    <w:p>
      <w:pPr>
        <w:pStyle w:val="DocBody"/>
      </w:pPr>
      <w:r>
        <w:rPr>
          <w:rFonts w:ascii="Times New Roman" w:hAnsi="Times New Roman" w:eastAsia="宋体"/>
          <w:sz w:val="24"/>
        </w:rPr>
        <w:t>The Strategist — The Australian Strategic Policy Institute Blog. Copyright © 2026 Follow Us on X!Follow Us on Instagram!</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spistrategist.org.au/the-world-needs-to-take-the-ai-bull-by-the-horns-and-fast/" TargetMode="External"/><Relationship Id="rId12" Type="http://schemas.openxmlformats.org/officeDocument/2006/relationships/hyperlink" Target="https://www.twitter.com/aspi_org" TargetMode="External"/><Relationship Id="rId13" Type="http://schemas.openxmlformats.org/officeDocument/2006/relationships/hyperlink" Target="https://www.instagram.com/aspi_org/?hl=en" TargetMode="External"/><Relationship Id="rId14" Type="http://schemas.openxmlformats.org/officeDocument/2006/relationships/hyperlink" Target="https://www.youtube.com/user/ASPICanberra" TargetMode="External"/><Relationship Id="rId15" Type="http://schemas.openxmlformats.org/officeDocument/2006/relationships/hyperlink" Target="https://www.aspi.org.au/substack/" TargetMode="External"/><Relationship Id="rId16" Type="http://schemas.openxmlformats.org/officeDocument/2006/relationships/hyperlink" Target="https://open.spotify.com/show/0oGKbtgUdwo9zEY3AJUmFF?si=10c5f6a75b7e4b82" TargetMode="External"/><Relationship Id="rId17" Type="http://schemas.openxmlformats.org/officeDocument/2006/relationships/hyperlink" Target="https://www.aspistrategist.org.au/?feed=rss" TargetMode="External"/><Relationship Id="rId18" Type="http://schemas.openxmlformats.org/officeDocument/2006/relationships/hyperlink" Target="https://www.facebook.com/sharer/sharer.php?u=https://www.aspistrategist.org.au/the-world-needs-to-take-the-ai-bull-by-the-horns-and-fast/" TargetMode="External"/><Relationship Id="rId19" Type="http://schemas.openxmlformats.org/officeDocument/2006/relationships/hyperlink" Target="https://twitter.com/intent/tweet?text=The%20world%20needs%20to%20take%20the%20AI%20bull%20by%20the%20horns%20%E2%80%93%20and%20fast+%7C+David%20Wroe+%7C+&amp;url=https://www.aspistrategist.org.au/the-world-needs-to-take-the-ai-bull-by-the-horns-and-fast/&amp;via=aspi_org" TargetMode="External"/><Relationship Id="rId20" Type="http://schemas.openxmlformats.org/officeDocument/2006/relationships/hyperlink" Target="http://www.linkedin.com/shareArticle?mini=true&amp;url=https://www.aspistrategist.org.au/the-world-needs-to-take-the-ai-bull-by-the-horns-and-fast/" TargetMode="External"/><Relationship Id="rId21" Type="http://schemas.openxmlformats.org/officeDocument/2006/relationships/hyperlink" Target="https://www.aspistrategist.org.au/the-world-needs-to-take-the-ai-bull-by-the-horns-and-fast/#" TargetMode="External"/><Relationship Id="rId22" Type="http://schemas.openxmlformats.org/officeDocument/2006/relationships/hyperlink" Target="https://www.aspistrategist.org.au/the-world-needs-to-take-the-ai-bull-by-the-horns-and-fast/print/" TargetMode="External"/><Relationship Id="rId23" Type="http://schemas.openxmlformats.org/officeDocument/2006/relationships/hyperlink" Target="https://www.aspistrategist.org.au/the-world-needs-to-take-the-ai-bull-by-the-horns-and-fast/printni/101493/" TargetMode="External"/><Relationship Id="rId24" Type="http://schemas.openxmlformats.org/officeDocument/2006/relationships/image" Target="media/image1.png"/><Relationship Id="rId25" Type="http://schemas.openxmlformats.org/officeDocument/2006/relationships/hyperlink" Target="https://www.gatesnotes.com/a-turbulent-ai-era-and-critical-choices-to-make" TargetMode="External"/><Relationship Id="rId26" Type="http://schemas.openxmlformats.org/officeDocument/2006/relationships/hyperlink" Target="https://www.gettyimages.com.au/detail/illustration/bullzodiac-royalty-free-illustration/1568741067?phrase=tech%20bull&amp;searchscope=image,film&amp;adppopup=true" TargetMode="External"/><Relationship Id="rId27" Type="http://schemas.openxmlformats.org/officeDocument/2006/relationships/hyperlink" Target="https://www.aspistrategist.org.au/tag/australia/" TargetMode="External"/><Relationship Id="rId28" Type="http://schemas.openxmlformats.org/officeDocument/2006/relationships/hyperlink" Target="https://www.aspistrategist.org.au/tag/artificial-intelligence/" TargetMode="External"/><Relationship Id="rId29" Type="http://schemas.openxmlformats.org/officeDocument/2006/relationships/hyperlink" Target="https://www.aspistrategist.org.au/tag/gover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needs to take the AI bull by the horns – and fast</dc:title>
  <dc:subject/>
  <dc:creator>briefing-article-kb</dc:creator>
  <cp:keywords/>
  <dc:description>https://www.aspistrategist.org.au/the-world-needs-to-take-the-ai-bull-by-the-horns-and-fast/</dc:description>
  <cp:lastModifiedBy/>
  <cp:revision>1</cp:revision>
  <dcterms:created xsi:type="dcterms:W3CDTF">2013-12-23T23:15:00Z</dcterms:created>
  <dcterms:modified xsi:type="dcterms:W3CDTF">2013-12-23T23:15:00Z</dcterms:modified>
  <cp:category/>
</cp:coreProperties>
</file>