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single" w:sz="8" w:color="BFBFBF"/>
          <w:bottom w:val="single" w:sz="8" w:color="BFBFBF"/>
          <w:left w:val="single" w:sz="4" w:color="BFBFBF"/>
          <w:right w:val="single" w:sz="4" w:color="BFBFBF"/>
          <w:insideH w:val="single" w:sz="4" w:color="BFBFBF"/>
          <w:insideV w:val="single" w:sz="4" w:color="BFBFBF"/>
        </w:tblBorders>
      </w:tblPr>
      <w:tblGrid>
        <w:gridCol w:w="4156"/>
        <w:gridCol w:w="4156"/>
      </w:tblGrid>
      <w:tr>
        <w:tc>
          <w:tcPr>
            <w:tcW w:type="dxa" w:w="1701"/>
            <w:shd w:val="clear" w:fill="F2F2F2"/>
          </w:tcPr>
          <w:p>
            <w:pPr>
              <w:spacing w:line="288" w:lineRule="auto"/>
            </w:pPr>
            <w:r>
              <w:rPr>
                <w:rFonts w:ascii="Times New Roman" w:hAnsi="Times New Roman" w:eastAsia="宋体"/>
                <w:b/>
                <w:sz w:val="21"/>
              </w:rPr>
              <w:t>编号</w:t>
            </w:r>
          </w:p>
        </w:tc>
        <w:tc>
          <w:tcPr>
            <w:tcW w:type="dxa" w:w="7030"/>
          </w:tcPr>
          <w:p>
            <w:pPr>
              <w:spacing w:line="288" w:lineRule="auto"/>
            </w:pPr>
            <w:r>
              <w:rPr>
                <w:rFonts w:ascii="Times New Roman" w:hAnsi="Times New Roman" w:eastAsia="宋体"/>
                <w:sz w:val="21"/>
              </w:rPr>
              <w:t>B001-038</w:t>
            </w:r>
          </w:p>
        </w:tc>
      </w:tr>
      <w:tr>
        <w:tc>
          <w:tcPr>
            <w:tcW w:type="dxa" w:w="1701"/>
          </w:tcPr>
          <w:p>
            <w:pPr>
              <w:spacing w:line="288" w:lineRule="auto"/>
            </w:pPr>
            <w:r>
              <w:rPr>
                <w:rFonts w:ascii="Times New Roman" w:hAnsi="Times New Roman" w:eastAsia="宋体"/>
                <w:b/>
                <w:sz w:val="21"/>
              </w:rPr>
              <w:t>机构</w:t>
            </w:r>
          </w:p>
        </w:tc>
        <w:tc>
          <w:tcPr>
            <w:tcW w:type="dxa" w:w="7030"/>
          </w:tcPr>
          <w:p>
            <w:pPr>
              <w:spacing w:line="288" w:lineRule="auto"/>
            </w:pPr>
            <w:r>
              <w:rPr>
                <w:rFonts w:ascii="Times New Roman" w:hAnsi="Times New Roman" w:eastAsia="宋体"/>
                <w:sz w:val="21"/>
              </w:rPr>
              <w:t>EuJrc（EU JRC）</w:t>
            </w:r>
          </w:p>
        </w:tc>
      </w:tr>
      <w:tr>
        <w:tc>
          <w:tcPr>
            <w:tcW w:type="dxa" w:w="1701"/>
          </w:tcPr>
          <w:p>
            <w:pPr>
              <w:spacing w:line="288" w:lineRule="auto"/>
            </w:pPr>
            <w:r>
              <w:rPr>
                <w:rFonts w:ascii="Times New Roman" w:hAnsi="Times New Roman" w:eastAsia="宋体"/>
                <w:b/>
                <w:sz w:val="21"/>
              </w:rPr>
              <w:t>类型/日期</w:t>
            </w:r>
          </w:p>
        </w:tc>
        <w:tc>
          <w:tcPr>
            <w:tcW w:type="dxa" w:w="7030"/>
          </w:tcPr>
          <w:p>
            <w:pPr>
              <w:spacing w:line="288" w:lineRule="auto"/>
            </w:pPr>
            <w:r>
              <w:rPr>
                <w:rFonts w:ascii="Times New Roman" w:hAnsi="Times New Roman" w:eastAsia="宋体"/>
                <w:sz w:val="21"/>
              </w:rPr>
              <w:t>official ｜ 2026-08-24</w:t>
            </w:r>
          </w:p>
        </w:tc>
      </w:tr>
      <w:tr>
        <w:tc>
          <w:tcPr>
            <w:tcW w:type="dxa" w:w="1701"/>
          </w:tcPr>
          <w:p>
            <w:pPr>
              <w:spacing w:line="288" w:lineRule="auto"/>
            </w:pPr>
            <w:r>
              <w:rPr>
                <w:rFonts w:ascii="Times New Roman" w:hAnsi="Times New Roman" w:eastAsia="宋体"/>
                <w:b/>
                <w:sz w:val="21"/>
              </w:rPr>
              <w:t>英文原题</w:t>
            </w:r>
          </w:p>
        </w:tc>
        <w:tc>
          <w:tcPr>
            <w:tcW w:type="dxa" w:w="7030"/>
          </w:tcPr>
          <w:p>
            <w:pPr>
              <w:spacing w:line="288" w:lineRule="auto"/>
            </w:pPr>
            <w:r>
              <w:rPr>
                <w:rFonts w:ascii="Times New Roman" w:hAnsi="Times New Roman" w:eastAsia="宋体"/>
                <w:sz w:val="21"/>
              </w:rPr>
              <w:t>Biological AI models: new paradigms leverage languages of life</w:t>
            </w:r>
          </w:p>
        </w:tc>
      </w:tr>
      <w:tr>
        <w:tc>
          <w:tcPr>
            <w:tcW w:type="dxa" w:w="1701"/>
          </w:tcPr>
          <w:p>
            <w:pPr>
              <w:spacing w:line="288" w:lineRule="auto"/>
            </w:pPr>
            <w:r>
              <w:rPr>
                <w:rFonts w:ascii="Times New Roman" w:hAnsi="Times New Roman" w:eastAsia="宋体"/>
                <w:b/>
                <w:sz w:val="21"/>
              </w:rPr>
              <w:t>原文链接</w:t>
            </w:r>
          </w:p>
        </w:tc>
        <w:tc>
          <w:tcPr>
            <w:tcW w:type="dxa" w:w="7030"/>
          </w:tcPr>
          <w:p>
            <w:pPr>
              <w:spacing w:line="288" w:lineRule="auto"/>
            </w:pPr>
            <w:hyperlink r:id="rId11">
              <w:r>
                <w:rPr>
                  <w:rFonts w:ascii="Times New Roman" w:hAnsi="Times New Roman" w:eastAsia="宋体"/>
                  <w:color w:val="0563C1"/>
                  <w:sz w:val="21"/>
                  <w:u w:val="single"/>
                </w:rPr>
                <w:t>https://joint-research-centre.ec.europa.eu/jrc-news-and-updates/biological-ai-models-new-paradigms-leverage-languages-life-2026-08-24_en</w:t>
              </w:r>
            </w:hyperlink>
          </w:p>
        </w:tc>
      </w:tr>
      <w:tr>
        <w:tc>
          <w:tcPr>
            <w:tcW w:type="dxa" w:w="1701"/>
          </w:tcPr>
          <w:p>
            <w:pPr>
              <w:spacing w:line="288" w:lineRule="auto"/>
            </w:pPr>
            <w:r>
              <w:rPr>
                <w:rFonts w:ascii="Times New Roman" w:hAnsi="Times New Roman" w:eastAsia="宋体"/>
                <w:b/>
                <w:sz w:val="21"/>
              </w:rPr>
              <w:t>简报期次</w:t>
            </w:r>
          </w:p>
        </w:tc>
        <w:tc>
          <w:tcPr>
            <w:tcW w:type="dxa" w:w="7030"/>
          </w:tcPr>
          <w:p>
            <w:pPr>
              <w:spacing w:line="288" w:lineRule="auto"/>
            </w:pPr>
            <w:r>
              <w:rPr>
                <w:rFonts w:ascii="Times New Roman" w:hAnsi="Times New Roman" w:eastAsia="宋体"/>
                <w:sz w:val="21"/>
              </w:rPr>
              <w:t>B001（2026-08-28 归档）</w:t>
            </w:r>
          </w:p>
        </w:tc>
      </w:tr>
      <w:tr>
        <w:tc>
          <w:tcPr>
            <w:tcW w:type="dxa" w:w="1701"/>
          </w:tcPr>
          <w:p>
            <w:pPr>
              <w:spacing w:line="288" w:lineRule="auto"/>
            </w:pPr>
            <w:r>
              <w:rPr>
                <w:rFonts w:ascii="Times New Roman" w:hAnsi="Times New Roman" w:eastAsia="宋体"/>
                <w:b/>
                <w:sz w:val="21"/>
              </w:rPr>
              <w:t>本库文件</w:t>
            </w:r>
          </w:p>
        </w:tc>
        <w:tc>
          <w:tcPr>
            <w:tcW w:type="dxa" w:w="7030"/>
          </w:tcPr>
          <w:p>
            <w:pPr>
              <w:spacing w:line="288" w:lineRule="auto"/>
            </w:pPr>
            <w:r>
              <w:rPr>
                <w:rFonts w:ascii="Times New Roman" w:hAnsi="Times New Roman" w:eastAsia="宋体"/>
                <w:sz w:val="21"/>
              </w:rPr>
              <w:t>B001-038-Eu jrc -biological-ai-models-new-paradigms-leverage-lang-202608.md</w:t>
            </w:r>
          </w:p>
        </w:tc>
      </w:tr>
    </w:tbl>
    <w:p/>
    <w:p>
      <w:pPr>
        <w:pStyle w:val="DocTitle"/>
      </w:pPr>
      <w:r>
        <w:t>Biological AI models: new paradigms leverage languages of life</w:t>
      </w:r>
    </w:p>
    <w:p>
      <w:pPr>
        <w:pStyle w:val="DocBody"/>
      </w:pPr>
      <w:r>
        <w:rPr>
          <w:rFonts w:ascii="Times New Roman" w:hAnsi="Times New Roman" w:eastAsia="宋体"/>
          <w:sz w:val="24"/>
        </w:rPr>
        <w:t>Biological AI models: new paradigms to leverage the languages of life - An official website of the European Union An official EU website How do you know?</w:t>
      </w:r>
    </w:p>
    <w:p>
      <w:pPr>
        <w:pStyle w:val="DocBody"/>
      </w:pPr>
      <w:r>
        <w:rPr>
          <w:rFonts w:ascii="Times New Roman" w:hAnsi="Times New Roman" w:eastAsia="宋体"/>
          <w:sz w:val="24"/>
        </w:rPr>
        <w:t xml:space="preserve">All official European Union website addresses are in the </w:t>
      </w:r>
      <w:r>
        <w:rPr>
          <w:rFonts w:ascii="Times New Roman" w:hAnsi="Times New Roman" w:eastAsia="宋体"/>
          <w:b/>
          <w:sz w:val="24"/>
        </w:rPr>
        <w:t>europa.eu</w:t>
      </w:r>
      <w:r>
        <w:rPr>
          <w:rFonts w:ascii="Times New Roman" w:hAnsi="Times New Roman" w:eastAsia="宋体"/>
          <w:sz w:val="24"/>
        </w:rPr>
        <w:t xml:space="preserve"> domain.</w:t>
      </w:r>
    </w:p>
    <w:p>
      <w:pPr>
        <w:pStyle w:val="DocBody"/>
      </w:pPr>
      <w:hyperlink r:id="rId12">
        <w:r>
          <w:rPr>
            <w:rFonts w:ascii="Times New Roman" w:hAnsi="Times New Roman" w:eastAsia="宋体"/>
            <w:color w:val="0563C1"/>
            <w:sz w:val="24"/>
            <w:u w:val="single"/>
          </w:rPr>
          <w:t>See all EU institutions and bodies</w:t>
        </w:r>
      </w:hyperlink>
    </w:p>
    <w:p>
      <w:pPr>
        <w:pStyle w:val="DocH1"/>
      </w:pPr>
      <w:r>
        <w:rPr>
          <w:rFonts w:ascii="Times New Roman" w:hAnsi="Times New Roman" w:eastAsia="宋体"/>
          <w:sz w:val="24"/>
        </w:rPr>
        <w:t>Biological AI models: new paradigms to leverage the languages of life</w:t>
      </w:r>
    </w:p>
    <w:p>
      <w:pPr>
        <w:pStyle w:val="DocBody"/>
      </w:pPr>
      <w:r>
        <w:rPr>
          <w:rFonts w:ascii="Times New Roman" w:hAnsi="Times New Roman" w:eastAsia="宋体"/>
          <w:sz w:val="24"/>
        </w:rPr>
        <w:t>Drawing on a dataset of 480 biological AI models, new research examines their capabilities, infrastructure requirements, and real-world readiness, while identifying key policy considerations for the EU.</w:t>
      </w:r>
    </w:p>
    <w:p>
      <w:pPr>
        <w:pStyle w:val="DocBody"/>
        <w:ind w:left="765"/>
      </w:pPr>
      <w:r>
        <w:rPr>
          <w:rFonts w:ascii="Times New Roman" w:hAnsi="Times New Roman" w:eastAsia="宋体"/>
          <w:sz w:val="24"/>
        </w:rPr>
        <w:t>General publications</w:t>
      </w:r>
    </w:p>
    <w:p>
      <w:pPr>
        <w:pStyle w:val="DocBody"/>
        <w:ind w:left="765"/>
      </w:pPr>
      <w:r>
        <w:rPr>
          <w:rFonts w:ascii="Times New Roman" w:hAnsi="Times New Roman" w:eastAsia="宋体"/>
          <w:sz w:val="24"/>
        </w:rPr>
        <w:t>24 August 2026</w:t>
      </w:r>
    </w:p>
    <w:p>
      <w:pPr>
        <w:pStyle w:val="DocBody"/>
        <w:ind w:left="765"/>
      </w:pPr>
      <w:r>
        <w:rPr>
          <w:rFonts w:ascii="Times New Roman" w:hAnsi="Times New Roman" w:eastAsia="宋体"/>
          <w:sz w:val="24"/>
        </w:rPr>
        <w:t>© EU Biological Artificial Intelligence (AI) models are advancing fastest in data-rich areas like protein structure, while progressing at a slower pace where data is less abundant and structured, such as single-cell biology. The EU is equipped with strong scientific base and computing capacity to develop biology AI models, but more efforts are needed to improve intra-EU collaboration, coordination and data governance, new research shows.</w:t>
      </w:r>
    </w:p>
    <w:p>
      <w:pPr>
        <w:pStyle w:val="DocBody"/>
      </w:pPr>
      <w:r>
        <w:rPr>
          <w:rFonts w:ascii="Times New Roman" w:hAnsi="Times New Roman" w:eastAsia="宋体"/>
          <w:sz w:val="24"/>
        </w:rPr>
        <w:t xml:space="preserve">The findings are published in the JRC report </w:t>
      </w:r>
      <w:hyperlink r:id="rId13">
        <w:r>
          <w:rPr>
            <w:rFonts w:ascii="Times New Roman" w:hAnsi="Times New Roman" w:eastAsia="宋体"/>
            <w:color w:val="0563C1"/>
            <w:sz w:val="24"/>
            <w:u w:val="single"/>
          </w:rPr>
          <w:t>Artificial Intelligence for Biology: Capabilities, Readiness, and Policy Implications</w:t>
        </w:r>
      </w:hyperlink>
      <w:r>
        <w:rPr>
          <w:rFonts w:ascii="Times New Roman" w:hAnsi="Times New Roman" w:eastAsia="宋体"/>
          <w:sz w:val="24"/>
        </w:rPr>
        <w:t>. It provides an empirically grounded assessment of the current landscape of AI models applied to biological data, such as DNA, RNA, and Proteins.</w:t>
      </w:r>
    </w:p>
    <w:p>
      <w:pPr>
        <w:pStyle w:val="DocH1"/>
      </w:pPr>
      <w:r>
        <w:rPr>
          <w:rFonts w:ascii="Times New Roman" w:hAnsi="Times New Roman" w:eastAsia="宋体"/>
          <w:sz w:val="24"/>
        </w:rPr>
        <w:t>Emerging properties of biological AI models</w:t>
      </w:r>
    </w:p>
    <w:p>
      <w:pPr>
        <w:pStyle w:val="DocBody"/>
      </w:pPr>
      <w:r>
        <w:rPr>
          <w:rFonts w:ascii="Times New Roman" w:hAnsi="Times New Roman" w:eastAsia="宋体"/>
          <w:sz w:val="24"/>
        </w:rPr>
        <w:t>AI is transforming biological research, enabling breakthroughs in genomics, proteomics, drug discovery, and beyond. AI models trained on biological data are advancing rapidly, outpacing existing regulatory and governance frameworks. This rapid progress raises critical questions about scientific maturity, deployment readiness, and governance.</w:t>
      </w:r>
    </w:p>
    <w:p>
      <w:pPr>
        <w:pStyle w:val="DocBody"/>
      </w:pPr>
      <w:r>
        <w:rPr>
          <w:rFonts w:ascii="Times New Roman" w:hAnsi="Times New Roman" w:eastAsia="宋体"/>
          <w:sz w:val="24"/>
        </w:rPr>
        <w:t xml:space="preserve">Particularly advanced biological AI models are in place for protein-centric applications such as structure prediction, function annotation, and molecular design, relevant in fields of drug design and discovery. Such progress of protein models (eg. </w:t>
      </w:r>
      <w:hyperlink r:id="rId14">
        <w:r>
          <w:rPr>
            <w:rFonts w:ascii="Times New Roman" w:hAnsi="Times New Roman" w:eastAsia="宋体"/>
            <w:color w:val="0563C1"/>
            <w:sz w:val="24"/>
            <w:u w:val="single"/>
          </w:rPr>
          <w:t>AlphaFold</w:t>
        </w:r>
      </w:hyperlink>
      <w:r>
        <w:rPr>
          <w:rFonts w:ascii="Times New Roman" w:hAnsi="Times New Roman" w:eastAsia="宋体"/>
          <w:sz w:val="24"/>
        </w:rPr>
        <w:t xml:space="preserve">) was made possible by decades-long commitment of a dedicated research community, and thanks to curated data from repositories including the </w:t>
      </w:r>
      <w:hyperlink r:id="rId15">
        <w:r>
          <w:rPr>
            <w:rFonts w:ascii="Times New Roman" w:hAnsi="Times New Roman" w:eastAsia="宋体"/>
            <w:color w:val="0563C1"/>
            <w:sz w:val="24"/>
            <w:u w:val="single"/>
          </w:rPr>
          <w:t>Protein Data Bank</w:t>
        </w:r>
      </w:hyperlink>
      <w:r>
        <w:rPr>
          <w:rFonts w:ascii="Times New Roman" w:hAnsi="Times New Roman" w:eastAsia="宋体"/>
          <w:sz w:val="24"/>
        </w:rPr>
        <w:t xml:space="preserve"> and </w:t>
      </w:r>
      <w:hyperlink r:id="rId16">
        <w:r>
          <w:rPr>
            <w:rFonts w:ascii="Times New Roman" w:hAnsi="Times New Roman" w:eastAsia="宋体"/>
            <w:color w:val="0563C1"/>
            <w:sz w:val="24"/>
            <w:u w:val="single"/>
          </w:rPr>
          <w:t>UniProt</w:t>
        </w:r>
      </w:hyperlink>
      <w:r>
        <w:rPr>
          <w:rFonts w:ascii="Times New Roman" w:hAnsi="Times New Roman" w:eastAsia="宋体"/>
          <w:sz w:val="24"/>
        </w:rPr>
        <w:t xml:space="preserve">, supported by European Research Infrastructures like the </w:t>
      </w:r>
      <w:hyperlink r:id="rId17">
        <w:r>
          <w:rPr>
            <w:rFonts w:ascii="Times New Roman" w:hAnsi="Times New Roman" w:eastAsia="宋体"/>
            <w:color w:val="0563C1"/>
            <w:sz w:val="24"/>
            <w:u w:val="single"/>
          </w:rPr>
          <w:t>European Molecular Biology Laboratory (EMBL)</w:t>
        </w:r>
      </w:hyperlink>
      <w:r>
        <w:rPr>
          <w:rFonts w:ascii="Times New Roman" w:hAnsi="Times New Roman" w:eastAsia="宋体"/>
          <w:sz w:val="24"/>
        </w:rPr>
        <w:t>.</w:t>
      </w:r>
    </w:p>
    <w:p>
      <w:pPr>
        <w:pStyle w:val="DocBody"/>
      </w:pPr>
      <w:r>
        <w:rPr>
          <w:rFonts w:ascii="Times New Roman" w:hAnsi="Times New Roman" w:eastAsia="宋体"/>
          <w:sz w:val="24"/>
        </w:rPr>
        <w:t>In comparison, areas such as single cell biology, which holds clinical relevance among other in characterising tumours to help predict response to immunotherapy, remain less developed. One of the main reasons behind is limited and less standardised data.</w:t>
      </w:r>
    </w:p>
    <w:p>
      <w:pPr>
        <w:pStyle w:val="DocH1"/>
      </w:pPr>
      <w:r>
        <w:rPr>
          <w:rFonts w:ascii="Times New Roman" w:hAnsi="Times New Roman" w:eastAsia="宋体"/>
          <w:sz w:val="24"/>
        </w:rPr>
        <w:t>Maturity and readiness for real-world use</w:t>
      </w:r>
    </w:p>
    <w:p>
      <w:pPr>
        <w:pStyle w:val="DocBody"/>
      </w:pPr>
      <w:r>
        <w:rPr>
          <w:rFonts w:ascii="Times New Roman" w:hAnsi="Times New Roman" w:eastAsia="宋体"/>
          <w:sz w:val="24"/>
        </w:rPr>
        <w:t>Knowing that an AI model performs well in scientific benchmarks does not tell policymakers, investors or healthcare providers whether that model is actually ready to be used in practice. An added value of the report is that it provides a framework to assess deployment readiness, combining domain-specific maturity with technology readiness levels (TRL).</w:t>
      </w:r>
    </w:p>
    <w:p>
      <w:pPr>
        <w:pStyle w:val="DocBody"/>
      </w:pPr>
      <w:r>
        <w:rPr>
          <w:rFonts w:ascii="Times New Roman" w:hAnsi="Times New Roman" w:eastAsia="宋体"/>
          <w:sz w:val="24"/>
        </w:rPr>
        <w:t>The results show that high-profile models such as AlphaFold and ESM3 are domain-mature but remain at low-to-mid TRL. While being the most advanced in development in their research field, they have not been certified for clinical or industrial deployment. Indeed, none of the surveyed models has been subject of an integrated readiness assessment.</w:t>
      </w:r>
    </w:p>
    <w:p>
      <w:pPr>
        <w:pStyle w:val="DocBody"/>
      </w:pPr>
      <w:r>
        <w:rPr>
          <w:rFonts w:ascii="Times New Roman" w:hAnsi="Times New Roman" w:eastAsia="宋体"/>
          <w:sz w:val="24"/>
        </w:rPr>
        <w:t>This “maturity paradox”, a term coined by the authors, highlights insufficiently addressed validation of the full innovation pipeline, including governance, and benchmarking of integration in real-world applications. The divergence between domain maturity and technology readiness can pose several risks, including biosecurity concerns among others, and requires close attention, particularly where publicly available models could be misused for applications such as pathogen design or toxin engineering.</w:t>
      </w:r>
    </w:p>
    <w:p>
      <w:pPr>
        <w:pStyle w:val="DocH1"/>
      </w:pPr>
      <w:r>
        <w:rPr>
          <w:rFonts w:ascii="Times New Roman" w:hAnsi="Times New Roman" w:eastAsia="宋体"/>
          <w:sz w:val="24"/>
        </w:rPr>
        <w:t>Building and resourcing biological AI models</w:t>
      </w:r>
    </w:p>
    <w:p>
      <w:pPr>
        <w:pStyle w:val="DocBody"/>
      </w:pPr>
      <w:r>
        <w:rPr>
          <w:rFonts w:ascii="Times New Roman" w:hAnsi="Times New Roman" w:eastAsia="宋体"/>
          <w:sz w:val="24"/>
        </w:rPr>
        <w:t>Building biological AI models depends on three main factors: training data, computational infrastructure, and collaboration.</w:t>
      </w:r>
    </w:p>
    <w:p>
      <w:pPr>
        <w:pStyle w:val="DocBody"/>
      </w:pPr>
      <w:r>
        <w:rPr>
          <w:rFonts w:ascii="Times New Roman" w:hAnsi="Times New Roman" w:eastAsia="宋体"/>
          <w:sz w:val="24"/>
        </w:rPr>
        <w:t>Training data are unevenly distributed across domains and regions. Some datasets are standard within a field, such as the Protein Data Bank or UniProt resources (such as UniRef) for protein models, while RNA, single-cell, and clinical domains rely on a smaller and more varied set of sources.</w:t>
      </w:r>
    </w:p>
    <w:p>
      <w:pPr>
        <w:pStyle w:val="DocBody"/>
      </w:pPr>
      <w:r>
        <w:rPr>
          <w:rFonts w:ascii="Times New Roman" w:hAnsi="Times New Roman" w:eastAsia="宋体"/>
          <w:sz w:val="24"/>
        </w:rPr>
        <w:t>Protein models increasingly rely on synthetic data from the AlphaFold Database, indicating a growing dependence on predicted data rather than exclusively curated, experimentally derived data. The US and EU host most training datasets, followed by China, the UK, and Switzerland. Fragmented repositories make reproducibility and interoperability difficult.</w:t>
      </w:r>
    </w:p>
    <w:p>
      <w:pPr>
        <w:pStyle w:val="DocBody"/>
      </w:pPr>
      <w:r>
        <w:rPr>
          <w:rFonts w:ascii="Times New Roman" w:hAnsi="Times New Roman" w:eastAsia="宋体"/>
          <w:sz w:val="24"/>
        </w:rPr>
        <w:t xml:space="preserve">Access to computing resources also remains uneven. Industry typically trains models on larger datasets and can rely on more hardware and longer training times than academia, creating a significant resource gap. Europe has sufficient high-performance computing capacity thanks to [The European High Performance Computing (EuroHPC JU) and its network of supercomputing facilities. The recently established </w:t>
      </w:r>
      <w:hyperlink r:id="rId18">
        <w:r>
          <w:rPr>
            <w:rFonts w:ascii="Times New Roman" w:hAnsi="Times New Roman" w:eastAsia="宋体"/>
            <w:color w:val="0563C1"/>
            <w:sz w:val="24"/>
            <w:u w:val="single"/>
          </w:rPr>
          <w:t>AI Factories</w:t>
        </w:r>
      </w:hyperlink>
      <w:r>
        <w:rPr>
          <w:rFonts w:ascii="Times New Roman" w:hAnsi="Times New Roman" w:eastAsia="宋体"/>
          <w:sz w:val="24"/>
        </w:rPr>
        <w:t>, aimed at boosting AI development and uptake across the EU, leverage the EuroHPC JU capacity.</w:t>
      </w:r>
    </w:p>
    <w:p>
      <w:pPr>
        <w:pStyle w:val="DocBody"/>
      </w:pPr>
      <w:r>
        <w:rPr>
          <w:rFonts w:ascii="Times New Roman" w:hAnsi="Times New Roman" w:eastAsia="宋体"/>
          <w:sz w:val="24"/>
        </w:rPr>
        <w:t>Collaboration patterns further shape the field: academia participates in the development of 85% of the surveyed models, while industry participates in nearly 40%. However, as industry becomes more active, this may reflect a broader trend towards the non-disclosure of proprietary models and datasets, as only 17% of industry-only developed models release training code.</w:t>
      </w:r>
    </w:p>
    <w:p>
      <w:pPr>
        <w:pStyle w:val="DocBody"/>
      </w:pPr>
      <w:r>
        <w:rPr>
          <w:rFonts w:ascii="Times New Roman" w:hAnsi="Times New Roman" w:eastAsia="宋体"/>
          <w:sz w:val="24"/>
        </w:rPr>
        <w:t>Geographically, intra-EU collaboration is limited compared to the EU collaboration with the US, China, and the UK. These three regions are the most dominant in model development. Among the global top 20 model developers, the only EU representative is the Technical University of Munich.</w:t>
      </w:r>
    </w:p>
    <w:p>
      <w:pPr>
        <w:pStyle w:val="DocH1"/>
      </w:pPr>
      <w:r>
        <w:rPr>
          <w:rFonts w:ascii="Times New Roman" w:hAnsi="Times New Roman" w:eastAsia="宋体"/>
          <w:sz w:val="24"/>
        </w:rPr>
        <w:t>Policy considerations</w:t>
      </w:r>
    </w:p>
    <w:p>
      <w:pPr>
        <w:pStyle w:val="DocBody"/>
      </w:pPr>
      <w:r>
        <w:rPr>
          <w:rFonts w:ascii="Times New Roman" w:hAnsi="Times New Roman" w:eastAsia="宋体"/>
          <w:sz w:val="24"/>
        </w:rPr>
        <w:t>The report highlights four recommendations for greater EU policy action</w:t>
      </w:r>
    </w:p>
    <w:p>
      <w:pPr>
        <w:pStyle w:val="DocBody"/>
        <w:ind w:left="765"/>
      </w:pPr>
      <w:r>
        <w:rPr>
          <w:rFonts w:ascii="Times New Roman" w:hAnsi="Times New Roman" w:eastAsia="宋体"/>
          <w:sz w:val="24"/>
        </w:rPr>
        <w:t>broaden support for emerging promising research topics, like single cell biology and model architectures (such as multimodal models), while aligning AI for biology with wider EU goals in health, food security, and the circular bioeconomy</w:t>
      </w:r>
    </w:p>
    <w:p>
      <w:pPr>
        <w:pStyle w:val="DocBody"/>
        <w:ind w:left="765"/>
      </w:pPr>
      <w:r>
        <w:rPr>
          <w:rFonts w:ascii="Times New Roman" w:hAnsi="Times New Roman" w:eastAsia="宋体"/>
          <w:sz w:val="24"/>
        </w:rPr>
        <w:t>strengthen biological data infrastructure through better coordination and transparent data quality assessment</w:t>
      </w:r>
    </w:p>
    <w:p>
      <w:pPr>
        <w:pStyle w:val="DocBody"/>
        <w:ind w:left="765"/>
      </w:pPr>
      <w:r>
        <w:rPr>
          <w:rFonts w:ascii="Times New Roman" w:hAnsi="Times New Roman" w:eastAsia="宋体"/>
          <w:sz w:val="24"/>
        </w:rPr>
        <w:t>strengthen Europe’s position by supporting European biological AI foundation models as public goods, further encouraging strategic intra-EU collaboration</w:t>
      </w:r>
    </w:p>
    <w:p>
      <w:pPr>
        <w:pStyle w:val="DocBody"/>
        <w:ind w:left="765"/>
      </w:pPr>
      <w:r>
        <w:rPr>
          <w:rFonts w:ascii="Times New Roman" w:hAnsi="Times New Roman" w:eastAsia="宋体"/>
          <w:sz w:val="24"/>
        </w:rPr>
        <w:t>develop frameworks that assess both scientific maturity and technology readiness, including clinically relevant benchmarks and clearer regulatory pathways.</w:t>
      </w:r>
    </w:p>
    <w:p>
      <w:pPr>
        <w:pStyle w:val="DocH1"/>
      </w:pPr>
      <w:r>
        <w:rPr>
          <w:rFonts w:ascii="Times New Roman" w:hAnsi="Times New Roman" w:eastAsia="宋体"/>
          <w:sz w:val="24"/>
        </w:rPr>
        <w:t>Related content</w:t>
      </w:r>
    </w:p>
    <w:p>
      <w:pPr>
        <w:pStyle w:val="DocBody"/>
      </w:pPr>
      <w:hyperlink r:id="rId13">
        <w:r>
          <w:rPr>
            <w:rFonts w:ascii="Times New Roman" w:hAnsi="Times New Roman" w:eastAsia="宋体"/>
            <w:color w:val="0563C1"/>
            <w:sz w:val="24"/>
            <w:u w:val="single"/>
          </w:rPr>
          <w:t>Artificial Intelligence for Biology: Capabilities, Readiness, and Policy Implications</w:t>
        </w:r>
      </w:hyperlink>
    </w:p>
    <w:p>
      <w:pPr>
        <w:pStyle w:val="DocBody"/>
      </w:pPr>
      <w:r>
        <w:rPr>
          <w:rFonts w:ascii="Times New Roman" w:hAnsi="Times New Roman" w:eastAsia="宋体"/>
          <w:sz w:val="24"/>
        </w:rPr>
        <w:t>Publication date</w:t>
      </w:r>
    </w:p>
    <w:p>
      <w:pPr>
        <w:pStyle w:val="DocBody"/>
      </w:pPr>
      <w:r>
        <w:rPr>
          <w:rFonts w:ascii="Times New Roman" w:hAnsi="Times New Roman" w:eastAsia="宋体"/>
          <w:sz w:val="24"/>
        </w:rPr>
        <w:t>24 August 2026</w:t>
      </w:r>
    </w:p>
    <w:p>
      <w:pPr>
        <w:pStyle w:val="DocBody"/>
      </w:pPr>
      <w:r>
        <w:rPr>
          <w:rFonts w:ascii="Times New Roman" w:hAnsi="Times New Roman" w:eastAsia="宋体"/>
          <w:sz w:val="24"/>
        </w:rPr>
        <w:t>Author JRC portfolios 2025-27</w:t>
      </w:r>
    </w:p>
    <w:p>
      <w:pPr>
        <w:pStyle w:val="DocBody"/>
        <w:ind w:left="765"/>
      </w:pPr>
      <w:r>
        <w:rPr>
          <w:rFonts w:ascii="Times New Roman" w:hAnsi="Times New Roman" w:eastAsia="宋体"/>
          <w:sz w:val="24"/>
        </w:rPr>
        <w:t>[AI and data](https:// Related news ![](https://* News announcement</w:t>
      </w:r>
    </w:p>
    <w:p>
      <w:pPr>
        <w:pStyle w:val="DocBody"/>
        <w:ind w:left="765"/>
      </w:pPr>
      <w:r>
        <w:rPr>
          <w:rFonts w:ascii="Times New Roman" w:hAnsi="Times New Roman" w:eastAsia="宋体"/>
          <w:sz w:val="24"/>
        </w:rPr>
        <w:t>20 May 2026</w:t>
      </w:r>
    </w:p>
    <w:p>
      <w:pPr>
        <w:pStyle w:val="DocBody"/>
      </w:pPr>
      <w:r>
        <w:rPr>
          <w:rFonts w:ascii="Times New Roman" w:hAnsi="Times New Roman" w:eastAsia="宋体"/>
          <w:sz w:val="24"/>
        </w:rPr>
        <w:t>[Floods with compounding hazards increased almost threefold in 30 years](https://3 min read ![](https://* General publications</w:t>
      </w:r>
    </w:p>
    <w:p>
      <w:pPr>
        <w:pStyle w:val="DocBody"/>
        <w:ind w:left="765"/>
      </w:pPr>
      <w:r>
        <w:rPr>
          <w:rFonts w:ascii="Times New Roman" w:hAnsi="Times New Roman" w:eastAsia="宋体"/>
          <w:sz w:val="24"/>
        </w:rPr>
        <w:t>5 May 2026</w:t>
      </w:r>
    </w:p>
    <w:p>
      <w:pPr>
        <w:pStyle w:val="DocBody"/>
      </w:pPr>
      <w:r>
        <w:rPr>
          <w:rFonts w:ascii="Times New Roman" w:hAnsi="Times New Roman" w:eastAsia="宋体"/>
          <w:sz w:val="24"/>
        </w:rPr>
        <w:t>[New dataset uses AI and disaster news to fill in knowledge gaps and map interconnected risks](https://4 min read ![](https://* News announcement</w:t>
      </w:r>
    </w:p>
    <w:p>
      <w:pPr>
        <w:pStyle w:val="DocBody"/>
        <w:ind w:left="765"/>
      </w:pPr>
      <w:r>
        <w:rPr>
          <w:rFonts w:ascii="Times New Roman" w:hAnsi="Times New Roman" w:eastAsia="宋体"/>
          <w:sz w:val="24"/>
        </w:rPr>
        <w:t>16 April 2026</w:t>
      </w:r>
    </w:p>
    <w:p>
      <w:pPr>
        <w:pStyle w:val="DocBody"/>
      </w:pPr>
      <w:r>
        <w:rPr>
          <w:rFonts w:ascii="Times New Roman" w:hAnsi="Times New Roman" w:eastAsia="宋体"/>
          <w:sz w:val="24"/>
        </w:rPr>
        <w:t>[Fractured reality: how algorithms fuel polarisation and affect democracy](https://4 min read ![](https://* News announcement</w:t>
      </w:r>
    </w:p>
    <w:p>
      <w:pPr>
        <w:pStyle w:val="DocBody"/>
        <w:ind w:left="765"/>
      </w:pPr>
      <w:r>
        <w:rPr>
          <w:rFonts w:ascii="Times New Roman" w:hAnsi="Times New Roman" w:eastAsia="宋体"/>
          <w:sz w:val="24"/>
        </w:rPr>
        <w:t>7 April 2026</w:t>
      </w:r>
    </w:p>
    <w:p>
      <w:pPr>
        <w:pStyle w:val="DocBody"/>
      </w:pPr>
      <w:r>
        <w:rPr>
          <w:rFonts w:ascii="Times New Roman" w:hAnsi="Times New Roman" w:eastAsia="宋体"/>
          <w:sz w:val="24"/>
        </w:rPr>
        <w:t>[Artificial intelligence in cardiovascular care: from promise to practice](https://4 min read [ Report a problem with this page ](https://What went wrong?</w:t>
      </w:r>
    </w:p>
    <w:p>
      <w:pPr>
        <w:pStyle w:val="DocBody"/>
      </w:pPr>
      <w:r>
        <w:rPr>
          <w:rFonts w:ascii="Times New Roman" w:hAnsi="Times New Roman" w:eastAsia="宋体"/>
          <w:sz w:val="24"/>
        </w:rPr>
        <w:t>I couldn't find what I needed The information is unclear The information is out of date A link is not working Other (please provide more information below)</w:t>
      </w:r>
    </w:p>
    <w:p>
      <w:pPr>
        <w:pStyle w:val="DocBody"/>
      </w:pPr>
      <w:r>
        <w:rPr>
          <w:rFonts w:ascii="Times New Roman" w:hAnsi="Times New Roman" w:eastAsia="宋体"/>
          <w:sz w:val="24"/>
        </w:rPr>
        <w:t>Please provide more information What were you trying to do? Do not share any personal or sensitive information.</w:t>
      </w:r>
    </w:p>
    <w:p>
      <w:pPr>
        <w:pStyle w:val="DocBody"/>
      </w:pPr>
      <w:r>
        <w:rPr>
          <w:rFonts w:ascii="Times New Roman" w:hAnsi="Times New Roman" w:eastAsia="宋体"/>
          <w:sz w:val="24"/>
        </w:rPr>
        <w:t>500 characters remaining Antispam To submit the form, please tick the box, then complete the challenge.</w:t>
      </w:r>
    </w:p>
    <w:p>
      <w:pPr>
        <w:pStyle w:val="DocBody"/>
      </w:pPr>
      <w:r>
        <w:rPr>
          <w:rFonts w:ascii="Times New Roman" w:hAnsi="Times New Roman" w:eastAsia="宋体"/>
          <w:sz w:val="24"/>
        </w:rPr>
        <w:t>Cancel Submit Share feedback Feedback Hide Close Give feedback Share your feedback using the form below.</w:t>
      </w:r>
    </w:p>
    <w:p>
      <w:pPr>
        <w:pStyle w:val="DocBody"/>
      </w:pPr>
      <w:r>
        <w:rPr>
          <w:rFonts w:ascii="Times New Roman" w:hAnsi="Times New Roman" w:eastAsia="宋体"/>
          <w:sz w:val="24"/>
        </w:rPr>
        <w:t>How was your experience on this page?</w:t>
      </w:r>
    </w:p>
    <w:p>
      <w:pPr>
        <w:pStyle w:val="DocBody"/>
      </w:pPr>
      <w:r>
        <w:rPr>
          <w:rFonts w:ascii="Times New Roman" w:hAnsi="Times New Roman" w:eastAsia="宋体"/>
          <w:sz w:val="24"/>
        </w:rPr>
        <w:t>Very bad Bad Neutral Good Very good What went wrong?</w:t>
      </w:r>
    </w:p>
    <w:p>
      <w:pPr>
        <w:pStyle w:val="DocBody"/>
      </w:pPr>
      <w:r>
        <w:rPr>
          <w:rFonts w:ascii="Times New Roman" w:hAnsi="Times New Roman" w:eastAsia="宋体"/>
          <w:sz w:val="24"/>
        </w:rPr>
        <w:t>I couldn't find what I needed The information is unclear The information is out of date A link is not working Other (please provide more information below)</w:t>
      </w:r>
    </w:p>
    <w:p>
      <w:pPr>
        <w:pStyle w:val="DocBody"/>
      </w:pPr>
      <w:r>
        <w:rPr>
          <w:rFonts w:ascii="Times New Roman" w:hAnsi="Times New Roman" w:eastAsia="宋体"/>
          <w:sz w:val="24"/>
        </w:rPr>
        <w:t>Please provide more information What were you trying to do? Do not share any personal or sensitive information.</w:t>
      </w:r>
    </w:p>
    <w:p>
      <w:pPr>
        <w:pStyle w:val="DocBody"/>
      </w:pPr>
      <w:r>
        <w:rPr>
          <w:rFonts w:ascii="Times New Roman" w:hAnsi="Times New Roman" w:eastAsia="宋体"/>
          <w:sz w:val="24"/>
        </w:rPr>
        <w:t>500 characters remaining Antispam To submit the form, please tick the box, then complete the challenge.</w:t>
      </w:r>
    </w:p>
    <w:p>
      <w:pPr>
        <w:pStyle w:val="DocBody"/>
      </w:pPr>
      <w:r>
        <w:rPr>
          <w:rFonts w:ascii="Times New Roman" w:hAnsi="Times New Roman" w:eastAsia="宋体"/>
          <w:sz w:val="24"/>
        </w:rPr>
        <w:t xml:space="preserve">Cancel Submit </w:t>
      </w:r>
      <w:r>
        <w:rPr>
          <w:rFonts w:ascii="Times New Roman" w:hAnsi="Times New Roman" w:eastAsia="宋体"/>
          <w:b/>
          <w:sz w:val="24"/>
        </w:rPr>
        <w:t>Type of search results</w:t>
      </w:r>
      <w:r>
        <w:rPr>
          <w:rFonts w:ascii="Times New Roman" w:hAnsi="Times New Roman" w:eastAsia="宋体"/>
          <w:sz w:val="24"/>
        </w:rPr>
        <w:t xml:space="preserve"> All News Documents </w:t>
      </w:r>
      <w:r>
        <w:rPr>
          <w:rFonts w:ascii="Times New Roman" w:hAnsi="Times New Roman" w:eastAsia="宋体"/>
          <w:b/>
          <w:sz w:val="24"/>
        </w:rPr>
        <w:t>Date</w:t>
      </w:r>
      <w:r>
        <w:rPr>
          <w:rFonts w:ascii="Times New Roman" w:hAnsi="Times New Roman" w:eastAsia="宋体"/>
          <w:sz w:val="24"/>
        </w:rPr>
        <w:t xml:space="preserve"> Any time Last week Last month Last year </w:t>
      </w:r>
      <w:r>
        <w:rPr>
          <w:rFonts w:ascii="Times New Roman" w:hAnsi="Times New Roman" w:eastAsia="宋体"/>
          <w:b/>
          <w:sz w:val="24"/>
        </w:rPr>
        <w:t>Language</w:t>
      </w:r>
      <w:r>
        <w:rPr>
          <w:rFonts w:ascii="Times New Roman" w:hAnsi="Times New Roman" w:eastAsia="宋体"/>
          <w:sz w:val="24"/>
        </w:rPr>
        <w:t xml:space="preserve"> български español čeština dansk Deutsch eesti ελληνικά English français Gaeilge hrvatski italiano latviešu lietuvių magyar Malti Nederlands polski português română slovenčina slovenščina suomi svenska</w:t>
      </w:r>
    </w:p>
    <w:p>
      <w:pPr>
        <w:pStyle w:val="DocH1"/>
      </w:pPr>
      <w:r>
        <w:rPr>
          <w:rFonts w:ascii="Times New Roman" w:hAnsi="Times New Roman" w:eastAsia="宋体"/>
          <w:sz w:val="24"/>
        </w:rPr>
        <w:t>Search on:</w:t>
      </w:r>
    </w:p>
    <w:p>
      <w:pPr>
        <w:pStyle w:val="DocBody"/>
      </w:pPr>
      <w:r>
        <w:rPr>
          <w:rFonts w:ascii="Times New Roman" w:hAnsi="Times New Roman" w:eastAsia="宋体"/>
          <w:sz w:val="24"/>
        </w:rPr>
        <w:t>This site The</w:t>
      </w:r>
    </w:p>
    <w:sectPr w:rsidR="00FC693F" w:rsidRPr="0006063C" w:rsidSect="00034616">
      <w:headerReference w:type="default" r:id="rId9"/>
      <w:footerReference w:type="default" r:id="rId10"/>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olor w:val="595959"/>
        <w:sz w:val="21"/>
      </w:rPr>
      <w:t xml:space="preserve">第 </w:t>
    </w:r>
    <w:fldSimple w:instr="PAGE"/>
    <w:r>
      <w:rPr>
        <w:rFonts w:ascii="Times New Roman" w:hAnsi="Times New Roman" w:eastAsia="宋体"/>
        <w:color w:val="595959"/>
        <w:sz w:val="21"/>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color w:val="595959"/>
        <w:sz w:val="21"/>
      </w:rPr>
      <w:t>briefing_article 简报文章资料库 ｜ B001-038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Title"/>
    <w:basedOn w:val="Normal"/>
    <w:pPr>
      <w:spacing w:before="120" w:after="240"/>
      <w:jc w:val="center"/>
    </w:pPr>
    <w:rPr>
      <w:rFonts w:ascii="Times New Roman" w:hAnsi="Times New Roman" w:eastAsia="黑体"/>
      <w:b/>
      <w:sz w:val="44"/>
    </w:rPr>
  </w:style>
  <w:style w:type="paragraph" w:customStyle="1" w:styleId="DocH1">
    <w:name w:val="DocH1"/>
    <w:basedOn w:val="Normal"/>
    <w:pPr>
      <w:spacing w:before="240" w:after="120"/>
    </w:pPr>
    <w:rPr>
      <w:rFonts w:ascii="Times New Roman" w:hAnsi="Times New Roman" w:eastAsia="黑体"/>
      <w:b/>
      <w:sz w:val="32"/>
    </w:rPr>
  </w:style>
  <w:style w:type="paragraph" w:customStyle="1" w:styleId="DocH2">
    <w:name w:val="DocH2"/>
    <w:basedOn w:val="Normal"/>
    <w:pPr>
      <w:spacing w:before="240" w:after="120"/>
    </w:pPr>
    <w:rPr>
      <w:rFonts w:ascii="Times New Roman" w:hAnsi="Times New Roman" w:eastAsia="黑体"/>
      <w:b/>
      <w:sz w:val="28"/>
    </w:rPr>
  </w:style>
  <w:style w:type="paragraph" w:customStyle="1" w:styleId="DocH3">
    <w:name w:val="DocH3"/>
    <w:basedOn w:val="Normal"/>
    <w:pPr>
      <w:spacing w:before="160" w:after="120"/>
    </w:pPr>
    <w:rPr>
      <w:rFonts w:ascii="Times New Roman" w:hAnsi="Times New Roman" w:eastAsia="黑体"/>
      <w:b/>
      <w:sz w:val="24"/>
    </w:rPr>
  </w:style>
  <w:style w:type="paragraph" w:customStyle="1" w:styleId="DocCaption">
    <w:name w:val="DocCaption"/>
    <w:basedOn w:val="Normal"/>
    <w:pPr>
      <w:spacing w:after="200"/>
      <w:jc w:val="center"/>
    </w:pPr>
    <w:rPr>
      <w:rFonts w:ascii="Times New Roman" w:hAnsi="Times New Roman" w:eastAsia="宋体"/>
      <w:color w:val="595959"/>
      <w:sz w:val="21"/>
    </w:rPr>
  </w:style>
  <w:style w:type="paragraph" w:customStyle="1" w:styleId="DocBody">
    <w:name w:val="DocBody"/>
    <w:basedOn w:val="Normal"/>
    <w:pPr>
      <w:ind w:firstLine="480"/>
      <w:jc w:val="both"/>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joint-research-centre.ec.europa.eu/jrc-news-and-updates/biological-ai-models-new-paradigms-leverage-languages-life-2026-08-24_en" TargetMode="External"/><Relationship Id="rId12" Type="http://schemas.openxmlformats.org/officeDocument/2006/relationships/hyperlink" Target="https://european-union.europa.eu/institutions-law-budget/institutions-and-bodies/search-all-eu-institutions-and-bodies_en" TargetMode="External"/><Relationship Id="rId13" Type="http://schemas.openxmlformats.org/officeDocument/2006/relationships/hyperlink" Target="https://publications.jrc.ec.europa.eu/repository/handle/JRC147549" TargetMode="External"/><Relationship Id="rId14" Type="http://schemas.openxmlformats.org/officeDocument/2006/relationships/hyperlink" Target="https://alphafold.ebi.ac.uk/" TargetMode="External"/><Relationship Id="rId15" Type="http://schemas.openxmlformats.org/officeDocument/2006/relationships/hyperlink" Target="https://www.rcsb.org/" TargetMode="External"/><Relationship Id="rId16" Type="http://schemas.openxmlformats.org/officeDocument/2006/relationships/hyperlink" Target="https://www.uniprot.org/" TargetMode="External"/><Relationship Id="rId17" Type="http://schemas.openxmlformats.org/officeDocument/2006/relationships/hyperlink" Target="https://www.embl.org/" TargetMode="External"/><Relationship Id="rId18" Type="http://schemas.openxmlformats.org/officeDocument/2006/relationships/hyperlink" Target="https://digital-strategy.ec.europa.eu/en/policies/ai-factor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Biological AI models: new paradigms leverage languages of life</dc:title>
  <dc:subject/>
  <dc:creator>briefing-article-kb</dc:creator>
  <cp:keywords/>
  <dc:description>https://joint-research-centre.ec.europa.eu/jrc-news-and-updates/biological-ai-models-new-paradigms-leverage-languages-life-2026-08-24_en</dc:description>
  <cp:lastModifiedBy/>
  <cp:revision>1</cp:revision>
  <dcterms:created xsi:type="dcterms:W3CDTF">2013-12-23T23:15:00Z</dcterms:created>
  <dcterms:modified xsi:type="dcterms:W3CDTF">2013-12-23T23:15:00Z</dcterms:modified>
  <cp:category/>
</cp:coreProperties>
</file>