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B001-040</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GaoReport（GAO Reports）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official ｜ 2026-08-21</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Export-Import Bank: Monitoring of Exports with Dual Military and Civilian Uses as of 2026 (GAO-26-109201)</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https://www.gao.gov/products/GAO-26-109201</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B001-040-Gao reports -export-import-bank-monitoring-of-exports-with-du-202608.md</w:t>
            </w:r>
          </w:p>
        </w:tc>
      </w:tr>
    </w:tbl>
    <w:p/>
    <w:p>
      <w:pPr>
        <w:pStyle w:val="DocTitle"/>
      </w:pPr>
      <w:r>
        <w:t>Export-Import Bank: Monitoring of Exports with Dual Military and Civilian Uses as of 2026 (GAO-26-109201)</w:t>
      </w:r>
    </w:p>
    <w:p>
      <w:pPr>
        <w:pStyle w:val="DocH1"/>
      </w:pPr>
      <w:r>
        <w:rPr>
          <w:rFonts w:ascii="Times New Roman" w:hAnsi="Times New Roman" w:eastAsia="宋体"/>
          <w:sz w:val="24"/>
        </w:rPr>
        <w:t>Fast Facts</w:t>
      </w:r>
    </w:p>
    <w:p>
      <w:pPr>
        <w:pStyle w:val="DocBody"/>
      </w:pPr>
      <w:r>
        <w:rPr>
          <w:rFonts w:ascii="Times New Roman" w:hAnsi="Times New Roman" w:eastAsia="宋体"/>
          <w:sz w:val="24"/>
        </w:rPr>
        <w:t>The Export-Import Bank's mission is to support U.S. jobs by facilitating U.S. exports through loans, loan guarantees, and insurance.</w:t>
      </w:r>
    </w:p>
    <w:p>
      <w:pPr>
        <w:pStyle w:val="DocBody"/>
      </w:pPr>
      <w:r>
        <w:rPr>
          <w:rFonts w:ascii="Times New Roman" w:hAnsi="Times New Roman" w:eastAsia="宋体"/>
          <w:sz w:val="24"/>
        </w:rPr>
        <w:t>According to its policy, the Bank generally cannot finance defense goods and services unless they are nonlethal and primarily used for civilian rather than military purposes. The Bank monitors these "dual-use" items to ensure they are used mostly for civilian purposes.</w:t>
      </w:r>
    </w:p>
    <w:p>
      <w:pPr>
        <w:pStyle w:val="DocBody"/>
      </w:pPr>
      <w:r>
        <w:rPr>
          <w:rFonts w:ascii="Times New Roman" w:hAnsi="Times New Roman" w:eastAsia="宋体"/>
          <w:sz w:val="24"/>
        </w:rPr>
        <w:t>We report each year on these dual-use exports. The bank did not finance any new dual-use exports in FY 2025. As of August 2026, the Bank wasn't monitoring the end use of any dual-use export because all such transactions had been repaid in full.</w:t>
      </w:r>
    </w:p>
    <w:p>
      <w:pPr>
        <w:pStyle w:val="DocBody"/>
      </w:pPr>
      <w:r>
        <w:rPr>
          <w:rFonts w:ascii="Times New Roman" w:hAnsi="Times New Roman" w:eastAsia="宋体"/>
          <w:sz w:val="24"/>
        </w:rPr>
        <w:t>Skip to Highlights</w:t>
      </w:r>
    </w:p>
    <w:p>
      <w:pPr>
        <w:pStyle w:val="DocH1"/>
      </w:pPr>
      <w:r>
        <w:rPr>
          <w:rFonts w:ascii="Times New Roman" w:hAnsi="Times New Roman" w:eastAsia="宋体"/>
          <w:sz w:val="24"/>
        </w:rPr>
        <w:t>Highlights</w:t>
      </w:r>
    </w:p>
    <w:p>
      <w:pPr>
        <w:pStyle w:val="DocH1"/>
      </w:pPr>
      <w:r>
        <w:rPr>
          <w:rFonts w:ascii="Times New Roman" w:hAnsi="Times New Roman" w:eastAsia="宋体"/>
          <w:sz w:val="24"/>
        </w:rPr>
        <w:t>What GAO Found</w:t>
      </w:r>
    </w:p>
    <w:p>
      <w:pPr>
        <w:pStyle w:val="DocBody"/>
      </w:pPr>
      <w:r>
        <w:rPr>
          <w:rFonts w:ascii="Times New Roman" w:hAnsi="Times New Roman" w:eastAsia="宋体"/>
          <w:sz w:val="24"/>
        </w:rPr>
        <w:t>As of August 2026, EXIM was not monitoring the end use of any dual-use export because all such transactions had been repaid in full. EXIM did not finance any new exports under its dual-use authority in fiscal year 2025, according to EXIM authorization data and EXIM officials.</w:t>
      </w:r>
    </w:p>
    <w:p>
      <w:pPr>
        <w:pStyle w:val="DocH1"/>
      </w:pPr>
      <w:r>
        <w:rPr>
          <w:rFonts w:ascii="Times New Roman" w:hAnsi="Times New Roman" w:eastAsia="宋体"/>
          <w:sz w:val="24"/>
        </w:rPr>
        <w:t>Why GAO Did This Study</w:t>
      </w:r>
    </w:p>
    <w:p>
      <w:pPr>
        <w:pStyle w:val="DocBody"/>
      </w:pPr>
      <w:r>
        <w:rPr>
          <w:rFonts w:ascii="Times New Roman" w:hAnsi="Times New Roman" w:eastAsia="宋体"/>
          <w:sz w:val="24"/>
        </w:rPr>
        <w:t>The mission of the Export-Import Bank of the United States (EXIM) is to help support American jobs by facilitating the export of U.S. goods and services and financing imports. In 1994, Congress passed legislation authorizing EXIM to facilitate the financing of U.S. exports of defense articles and services with both civilian and military applications, provided that the bank determines such dual-use items are nonlethal and primarily meant for civilian end use. Included in the same act was a provision for GAO, in consultation with EXIM, to report annually on the end uses of dual-use exports financed by EXIM during the second preceding fiscal year.</w:t>
      </w:r>
    </w:p>
    <w:p>
      <w:pPr>
        <w:pStyle w:val="DocBody"/>
      </w:pPr>
      <w:r>
        <w:rPr>
          <w:rFonts w:ascii="Times New Roman" w:hAnsi="Times New Roman" w:eastAsia="宋体"/>
          <w:sz w:val="24"/>
        </w:rPr>
        <w:t>This report (1) examines the status of EXIM's monitoring of dual-use exports that it continued to finance in fiscal year 2024, as of August 2026, and (2) identifies any new dual-use exports that EXIM financed in fiscal year 2025. To address these objectives, GAO reviewed EXIM documentation and data on dual-use exports and interviewed EXIM officials.</w:t>
      </w:r>
    </w:p>
    <w:p>
      <w:pPr>
        <w:pStyle w:val="DocBody"/>
      </w:pPr>
      <w:r>
        <w:rPr>
          <w:rFonts w:ascii="Times New Roman" w:hAnsi="Times New Roman" w:eastAsia="宋体"/>
          <w:sz w:val="24"/>
        </w:rPr>
        <w:t>For more information, contact Nagla'a El-Hodiri at elhodirin@gao.gov.</w:t>
      </w:r>
    </w:p>
    <w:p>
      <w:pPr>
        <w:pStyle w:val="DocH1"/>
      </w:pPr>
      <w:r>
        <w:rPr>
          <w:rFonts w:ascii="Times New Roman" w:hAnsi="Times New Roman" w:eastAsia="宋体"/>
          <w:sz w:val="24"/>
        </w:rPr>
        <w:t>Full Report</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ao.gov/products/GAO-26-1092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Export-Import Bank: Monitoring of Exports with Dual Military and Civilian Uses as of 2026 (GAO-26-109201)</dc:title>
  <dc:subject/>
  <dc:creator>briefing-article-kb</dc:creator>
  <cp:keywords/>
  <dc:description>https://www.gao.gov/products/GAO-26-109201</dc:description>
  <cp:lastModifiedBy/>
  <cp:revision>1</cp:revision>
  <dcterms:created xsi:type="dcterms:W3CDTF">2013-12-23T23:15:00Z</dcterms:created>
  <dcterms:modified xsi:type="dcterms:W3CDTF">2013-12-23T23:15:00Z</dcterms:modified>
  <cp:category/>
</cp:coreProperties>
</file>