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B001-054</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AtlanticCouncil（Atlantic Council）</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think_tank ｜ 2026-08-27</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AI and autonomy in contested operations</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https://www.atlanticcouncil.org/in-depth-research-reports/report/ai-and-autonomy-in-contested-operations/</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B001（2026-08-28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B001-054-Atlantic council -ai-and-autonomy-in-contested-operations-202608.md</w:t>
            </w:r>
          </w:p>
        </w:tc>
      </w:tr>
    </w:tbl>
    <w:p/>
    <w:p>
      <w:pPr>
        <w:pStyle w:val="DocTitle"/>
      </w:pPr>
      <w:r>
        <w:t>AI and autonomy in contested operations</w:t>
      </w:r>
    </w:p>
    <w:p>
      <w:pPr>
        <w:pStyle w:val="DocBody"/>
      </w:pPr>
      <w:r>
        <w:rPr>
          <w:rFonts w:ascii="Times New Roman" w:hAnsi="Times New Roman" w:eastAsia="宋体"/>
          <w:sz w:val="24"/>
        </w:rPr>
        <w:t>AI and autonomy in contested operations Owen Daniels August 2026</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The Scowcroft Center for Strategy and Security works to develop sustainable, nonpartisan strategies to address the most important security challenges facing the United States and the world. The Center honors General Brent Scowcroft’s legacy of service and embodies his ethos of nonpartisan commitment to the cause of security, support for US leadership in cooperation with allies and partners, and dedication to the mentorship of the next generation of leaders.</w:t>
      </w:r>
    </w:p>
    <w:p>
      <w:pPr>
        <w:pStyle w:val="DocBody"/>
      </w:pPr>
      <w:r>
        <w:rPr>
          <w:rFonts w:ascii="Times New Roman" w:hAnsi="Times New Roman" w:eastAsia="宋体"/>
          <w:sz w:val="24"/>
        </w:rPr>
        <w:t>Within the Scowcroft Center for Strategy and Security, Forward Defense (FD) leads the Atlantic Council’s US and global defense programming, developing actionable recommendations for the United States and its allies and partners to compete, innovate, and navigate the rapidly evolving character of warfare. Through its work on US defense policy and force design, military applications of advanced technology, space security, strategic deterrence, artificial intelligence, and defense industrial revitalization, it informs the strategies, policies, and capabilities that the United States will need to deter, and, if necessary, prevail in major-power conflict.</w:t>
      </w:r>
    </w:p>
    <w:p>
      <w:pPr>
        <w:pStyle w:val="DocBody"/>
      </w:pPr>
      <w:r>
        <w:rPr>
          <w:rFonts w:ascii="Times New Roman" w:hAnsi="Times New Roman" w:eastAsia="宋体"/>
          <w:sz w:val="24"/>
        </w:rPr>
        <w:t>Authors Owen Daniels Cover: Several Low-cost Unmanned Combat Attack System (LUCAS) drones sit idle on tarmac at US Central Command (CENTCOM) base.</w:t>
      </w:r>
    </w:p>
    <w:p>
      <w:pPr>
        <w:pStyle w:val="DocBody"/>
      </w:pPr>
      <w:r>
        <w:rPr>
          <w:rFonts w:ascii="Times New Roman" w:hAnsi="Times New Roman" w:eastAsia="宋体"/>
          <w:sz w:val="24"/>
        </w:rPr>
        <w:t>Picture taken November 23, 2025.</w:t>
      </w:r>
    </w:p>
    <w:p>
      <w:pPr>
        <w:pStyle w:val="DocBody"/>
      </w:pPr>
      <w:r>
        <w:rPr>
          <w:rFonts w:ascii="Times New Roman" w:hAnsi="Times New Roman" w:eastAsia="宋体"/>
          <w:sz w:val="24"/>
        </w:rPr>
        <w:t>States. All rights reserved. No part of this publication may be reproduced or transmitted in any form or by any means without permission in writing from the Atlantic Council, except in the case of brief quotations in news articles, critical articles, or reviews.</w:t>
      </w:r>
    </w:p>
    <w:p>
      <w:pPr>
        <w:pStyle w:val="DocBody"/>
      </w:pPr>
      <w:r>
        <w:rPr>
          <w:rFonts w:ascii="Times New Roman" w:hAnsi="Times New Roman" w:eastAsia="宋体"/>
          <w:sz w:val="24"/>
        </w:rPr>
        <w:t>Please direct inquiries to:</w:t>
      </w:r>
    </w:p>
    <w:p>
      <w:pPr>
        <w:pStyle w:val="DocBody"/>
      </w:pPr>
      <w:r>
        <w:rPr>
          <w:rFonts w:ascii="Times New Roman" w:hAnsi="Times New Roman" w:eastAsia="宋体"/>
          <w:sz w:val="24"/>
        </w:rPr>
        <w:t>Atlantic Council 1400 L Street NW, 11th Floor Washington, DC 20005</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Table of contents Bottom lines up front .  .  .  .  .  .  .  .  .  .  .  .  .  .  .  .  .  .  .  .  2 Introduction .  .  .  .  .  .  .  .  .  .  .  .  .  .  .  .  .  .  .  .  .  .  .  .  .  . 2 Understanding the problem .  .  .  .  .  .  .  .  .  .  .  .  .  .  .  .  . 3 Artificial intelligence and the DDIL challenge .  .  .  .  .  .  . 3 Tackling the multilevel DDIL challenge .  .  .  .  .  .  .  .  .  .  7 Private sector case studies: John Deere and Tesla .  .  .  . 12 Conclusion and future considerations .  .  .  .  .  .  .  .  .  .  . 14 About the author .  .  .  .  .  .  .  .  .  .  .  .  .  .  .  .  .  .  .  .  .  .  . 15 Acknowledgments .  .  .  .  .  .  .  .  .  .  .  .  .  .  .  .  .  .  .  .  .  .  15</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AI and autonomy in contested operations ATLANTIC COUNCIL Bottom lines up front y The US military should presume that, from now on, most future operations will occur in contested environments where connectivity is poor or nonexistent.</w:t>
      </w:r>
    </w:p>
    <w:p>
      <w:pPr>
        <w:pStyle w:val="DocBody"/>
      </w:pPr>
      <w:r>
        <w:rPr>
          <w:rFonts w:ascii="Times New Roman" w:hAnsi="Times New Roman" w:eastAsia="宋体"/>
          <w:sz w:val="24"/>
        </w:rPr>
        <w:t>y Acquiring military AI capabilities for such environments is one challenge; building servicemembers’ trust in and ability to use them responsibly is a related but distinct challenge.</w:t>
      </w:r>
    </w:p>
    <w:p>
      <w:pPr>
        <w:pStyle w:val="DocBody"/>
      </w:pPr>
      <w:r>
        <w:rPr>
          <w:rFonts w:ascii="Times New Roman" w:hAnsi="Times New Roman" w:eastAsia="宋体"/>
          <w:sz w:val="24"/>
        </w:rPr>
        <w:t>y The private sector’s experience managing the rollout of autonomous capabilities and incorporating user feedback into subsequent updates offers valuable lessons.</w:t>
      </w:r>
    </w:p>
    <w:p>
      <w:pPr>
        <w:pStyle w:val="DocBody"/>
      </w:pPr>
      <w:r>
        <w:rPr>
          <w:rFonts w:ascii="Times New Roman" w:hAnsi="Times New Roman" w:eastAsia="宋体"/>
          <w:sz w:val="24"/>
        </w:rPr>
        <w:t>Introduction The Department of Defense (DOD) is intensely focused on ra­ pidly integrating artificial intelligence (AI) across a range of ap­ plication areas and capabilities to gain and sustain advantage.</w:t>
      </w:r>
    </w:p>
    <w:p>
      <w:pPr>
        <w:pStyle w:val="DocBody"/>
      </w:pPr>
      <w:r>
        <w:rPr>
          <w:rFonts w:ascii="Times New Roman" w:hAnsi="Times New Roman" w:eastAsia="宋体"/>
          <w:sz w:val="24"/>
        </w:rPr>
        <w:t>The US National Security Strategy has focused on addressing threats from peer competitors—the People’s Republic of Chi­ na (PRC) and Russia—for nearly a decade, and AI is likely to provide valuable capability to the US joint force in rising to the challenge. However, compared to experiences in Iraq and Afghanistan, the environments in which the US military may conduct operations will be highly contested in areas where American operators have traditionally enjoyed superiority. To effectively use AI to compete with the PRC or Russia, operators will need to rely on AI-enabled systems that perform well and remain resilient in denied, degraded, intermittent, and limited (DDIL) environments—environments where technological ca­ pabilities will be contested to varying degrees. The US military should presume that, from now on, most future operations will occur in DDIL environments.</w:t>
      </w:r>
    </w:p>
    <w:p>
      <w:pPr>
        <w:pStyle w:val="DocBody"/>
      </w:pPr>
      <w:r>
        <w:rPr>
          <w:rFonts w:ascii="Times New Roman" w:hAnsi="Times New Roman" w:eastAsia="宋体"/>
          <w:sz w:val="24"/>
        </w:rPr>
        <w:t>At a general level, the acquisition of AI capabilities for and adoption in DDIL environments are two interrelated challen­ ges. Acquiring systems that are useful and reliable to opera­ tors at the edge is essential. Adoption at the edge involves putting AI-enabled systems in the hands of warfighters and building their familiarity with, understanding of, and confidence in these systems to facilitate their diffusion and use. It also in­ volves acquiring systems that are interoperable and can ea­ sily rely on shared resources, such as data (when available), and the ability to incorporate AI solutions into existing systems and processes. Ensuring that adoption accounts for culture and user needs will be paramount for augmenting warfighter performance with AI. These challenges are magnified when acquiring commercial technology solutions and adapting them for military use. While many AI-related concerns for DDIL envi­ ronments are tactical, they also involve understanding policy implementation challenges, roles, and authorities at the ope­ rational and strategic levels.</w:t>
      </w:r>
    </w:p>
    <w:p>
      <w:pPr>
        <w:pStyle w:val="DocBody"/>
      </w:pPr>
      <w:r>
        <w:rPr>
          <w:rFonts w:ascii="Times New Roman" w:hAnsi="Times New Roman" w:eastAsia="宋体"/>
          <w:sz w:val="24"/>
        </w:rPr>
        <w:t>This report provides insights related to the development and adoption of AI in DDIL environments and highlights priority issues for DOD to address. It highlights the most important differences for developers to take into account between highly contested battlespaces and more permissive envi­ ronments. The issues addressed here are swiftly evolving amid technological progress and policy changes, but they represent persistent challenges. The report outlines the DDIL challenge; examines near-term AI applications for contested operations; and details potential adoption hurdles that must be overcome to harness the technology’s potential. It offers a road map of policy recommendations that can guide unders­ tanding of the landscape of AI for contested operations and facilitate AI adoption.</w:t>
      </w:r>
    </w:p>
    <w:p>
      <w:pPr>
        <w:pStyle w:val="DocBody"/>
      </w:pPr>
      <w:r>
        <w:rPr>
          <w:rFonts w:ascii="Times New Roman" w:hAnsi="Times New Roman" w:eastAsia="宋体"/>
          <w:sz w:val="24"/>
        </w:rPr>
        <w:t>y Delineating authorities related to AI-enabled systems in DDIL contexts.</w:t>
      </w:r>
    </w:p>
    <w:p>
      <w:pPr>
        <w:pStyle w:val="DocBody"/>
      </w:pPr>
      <w:r>
        <w:rPr>
          <w:rFonts w:ascii="Times New Roman" w:hAnsi="Times New Roman" w:eastAsia="宋体"/>
          <w:sz w:val="24"/>
        </w:rPr>
        <w:t>y Encouraging DDIL-related iterative development between industry and end users.</w:t>
      </w:r>
    </w:p>
    <w:p>
      <w:pPr>
        <w:pStyle w:val="DocBody"/>
      </w:pPr>
      <w:r>
        <w:rPr>
          <w:rFonts w:ascii="Times New Roman" w:hAnsi="Times New Roman" w:eastAsia="宋体"/>
          <w:sz w:val="24"/>
        </w:rPr>
        <w:t>y Implementing and sustaining relevant testing, “red-tea­ ming,” and experimentation practices for edge AI.</w:t>
      </w:r>
    </w:p>
    <w:p>
      <w:pPr>
        <w:pStyle w:val="DocBody"/>
      </w:pPr>
      <w:r>
        <w:rPr>
          <w:rFonts w:ascii="Times New Roman" w:hAnsi="Times New Roman" w:eastAsia="宋体"/>
          <w:sz w:val="24"/>
        </w:rPr>
        <w:t>y Adapting professional military education to expand the AI-ready force.</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ATLANTIC COUNCIL AI and autonomy in contested operations Understanding the problem 1.</w:t>
      </w:r>
    </w:p>
    <w:p>
      <w:pPr>
        <w:pStyle w:val="DocBody"/>
      </w:pPr>
      <w:r>
        <w:rPr>
          <w:rFonts w:ascii="Times New Roman" w:hAnsi="Times New Roman" w:eastAsia="宋体"/>
          <w:sz w:val="24"/>
        </w:rPr>
        <w:t>Ben Noon and Chris Bassler, “Schrodinger’s Military? Challenges for China’s Military Modernization Ambitions,” War on the Rocks, 2021, https://warontherocks.com/2021/10/schrodingers-military-challenges-for-the-chinas-military-modernization-ambitions/; Elsa B. Kania, Battlefield Singularity: Artificial Intelligence, Military Revolution, and China’s Future Military Power (Washington, DC: Cen­ ter for a New American Security, November 2017), https://www.cnas.org/publications/reports/battlefield-singularity-artificial-in­ telligence-military-revolution-and-chinas-future-military-power; Ben Noon and Chris Bassler, “How Chinese Strategists Think AI Will Power a Military Leap Ahead,” Defense One, September 17, 2021, https://www.defenseone.com/ideas/2021/09/how-chinese- strategists-think-ai-will-powermilitary-leap-ahead/185409/; and Gregory C. Allen, Understanding China’s AI Strategy, Center for a New American Security, February 6, 2019, https://www.cnas.org/publications/reports/understanding-chinas-ai-strategy.</w:t>
      </w:r>
    </w:p>
    <w:p>
      <w:pPr>
        <w:pStyle w:val="DocBody"/>
      </w:pPr>
      <w:r>
        <w:rPr>
          <w:rFonts w:ascii="Times New Roman" w:hAnsi="Times New Roman" w:eastAsia="宋体"/>
          <w:sz w:val="24"/>
        </w:rPr>
        <w:t>Staff, “This is the Achilles’ Heel of Washington’s Military Power,” Sputnik News (Russian state agency), January 30, 2016, article cited in Spencer S. Waters, “Training in the DDIL Environment,” Marine Corps Gazette, WE26, September 2022, https://www.</w:t>
      </w:r>
    </w:p>
    <w:p>
      <w:pPr>
        <w:pStyle w:val="DocBody"/>
      </w:pPr>
      <w:r>
        <w:rPr>
          <w:rFonts w:ascii="Times New Roman" w:hAnsi="Times New Roman" w:eastAsia="宋体"/>
          <w:sz w:val="24"/>
        </w:rPr>
        <w:t>mca-marines.org/wp-content/uploads/Training-in-the-DDIL-Environment.pdf.</w:t>
      </w:r>
    </w:p>
    <w:p>
      <w:pPr>
        <w:pStyle w:val="DocBody"/>
      </w:pPr>
      <w:r>
        <w:rPr>
          <w:rFonts w:ascii="Times New Roman" w:hAnsi="Times New Roman" w:eastAsia="宋体"/>
          <w:sz w:val="24"/>
        </w:rPr>
        <w:t>US competitors and adversaries are expressly developing capabilities to target traditional American advantages in the era of network-centric warfare, including satellites, the elec­ tromagnetic spectrum, cyberspace, and other information sys­ tems. Strategies to create DDIL environments for US opera­ tions aim to physically and digitally hinder the achievement of American objectives across the continuum of conflict. In the Indo-Pacific region, the People’s Liberation Army (PLA) has de­ veloped a multidomain denial strategy geared toward impe­ ding US approaches to the Western Pacific, particularly in the event of a contingency scenario involving Taiwan. The PLA de­ velopment of multilayered maritime area denial in its extended littoral, combining attacks on information systems with long- range antiship cruise missiles and ballistic missiles, couple physical and digital denial to try to undercut qualitatively su­ perior US military capabilities.1 Russia has previously referred to US reliance on global positioning systems as “the Achilles’</w:t>
      </w:r>
    </w:p>
    <w:p>
      <w:pPr>
        <w:pStyle w:val="DocBody"/>
      </w:pPr>
      <w:r>
        <w:rPr>
          <w:rFonts w:ascii="Times New Roman" w:hAnsi="Times New Roman" w:eastAsia="宋体"/>
          <w:sz w:val="24"/>
        </w:rPr>
        <w:t>heel of Washington’s military power,” and its operations since the full-scale invasion of Ukraine in 2022 have made jamming and electromagnetic spectrum denial key components of its warfighting approach.2 In sum, DDIL environments pose direct and immediate challenges for conducting operations.</w:t>
      </w:r>
    </w:p>
    <w:p>
      <w:pPr>
        <w:pStyle w:val="DocBody"/>
      </w:pPr>
      <w:r>
        <w:rPr>
          <w:rFonts w:ascii="Times New Roman" w:hAnsi="Times New Roman" w:eastAsia="宋体"/>
          <w:sz w:val="24"/>
        </w:rPr>
        <w:t>The acronym DDIL conveys the spectrum of obstacles that warfighters may face in contested operations. Warfighters in denied environments may have no access to physical maneu­ ver or certain technological capabilities, while degraded ca­ pabilities may fail over the course of an operation. Intermit­ tent capabilities may come in and out of functionality. Limited environments, typically referring to internet bandwidth, may mean capabilities reliant on internet access will have low functionality. The acronym also helps capture the complexity of contested operations: Environments will not simply be de­ nied or fully available, but will comprise mixes of functional, degraded, or offline capabilities at different points in missions.</w:t>
      </w:r>
    </w:p>
    <w:p>
      <w:pPr>
        <w:pStyle w:val="DocBody"/>
      </w:pPr>
      <w:r>
        <w:rPr>
          <w:rFonts w:ascii="Times New Roman" w:hAnsi="Times New Roman" w:eastAsia="宋体"/>
          <w:sz w:val="24"/>
        </w:rPr>
        <w:t>Physically denied environments represent areas where access to territory is contested and difficult to achieve for conventio­ nal forces. Forces may have limited freedom to maneuver due to physical threats from adversaries, terrain, or political limita­ tions and sensitivities. Operational environments may also be digitally denied. In these cases, physically accessing an area may be possible, but establishing connections and communi­ cations across modalities and domains—including the electro­ magnetic spectrum, satellites in space, or cyberspace—will be challenged. This can result in restricted access to information networks, even when maneuver is possible. Digitally denied environments contribute to so-called low bandwidth, high-la­ tency scenarios, limiting access to necessary electromagnetic channels and increasing wait times for effective use of sys­ tems that rely on the spectrum. Digital denial may be caused by electronic warfare (EW) systems, cyber warfare, anti-space operations, and other threat vectors. It can necessitate decen­ tralized warfighting, resupply, logistics, and other operations at the tactical edge. It can also result in limited internet connecti­ vity and reduce access to data resources in the operating area.</w:t>
      </w:r>
    </w:p>
    <w:p>
      <w:pPr>
        <w:pStyle w:val="DocBody"/>
      </w:pPr>
      <w:r>
        <w:rPr>
          <w:rFonts w:ascii="Times New Roman" w:hAnsi="Times New Roman" w:eastAsia="宋体"/>
          <w:sz w:val="24"/>
        </w:rPr>
        <w:t>In worst case scenarios, inconsistent access to critical services may require falling back to manual systems. Physical and digi­ tal DDIL environments are certainly not binary and, as potential adversaries explicitly target traditional US advantages in the information domain during operations, both types of denial will converge and threaten US objectives and operators.</w:t>
      </w:r>
    </w:p>
    <w:p>
      <w:pPr>
        <w:pStyle w:val="DocBody"/>
      </w:pPr>
      <w:r>
        <w:rPr>
          <w:rFonts w:ascii="Times New Roman" w:hAnsi="Times New Roman" w:eastAsia="宋体"/>
          <w:sz w:val="24"/>
        </w:rPr>
        <w:t>Artificial intelligence and the DDIL challenge Enter artificial intelligence. AI is redefining a range of military systems, capabilities, and tasks, from autonomous weapons systems to command, control, communications, computers, cyber, intelligence, surveillance, reconnaissance, and targe­ ting (C5ISRT) capabilities to cyber operations and electronic warfare. AI offers the potential for the US military to overcome some DDIL challenges. Many of these capabilities have been identified as priorities for research and development, and some have already been fielded, while others are nascent.</w:t>
      </w:r>
    </w:p>
    <w:p>
      <w:pPr>
        <w:pStyle w:val="DocBody"/>
      </w:pPr>
      <w:r>
        <w:rPr>
          <w:rFonts w:ascii="Times New Roman" w:hAnsi="Times New Roman" w:eastAsia="宋体"/>
          <w:sz w:val="24"/>
        </w:rPr>
        <w:t>Currently, many of the AI applications that will be immediately useful at the tactical edge involve AI capabilities like computer</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AI and autonomy in contested operations ATLANTIC COUNCIL vision, sensor fusion, and autonomous navigation. AI systems with benefits in DDIL environments include:</w:t>
      </w:r>
    </w:p>
    <w:p>
      <w:pPr>
        <w:pStyle w:val="DocBody"/>
      </w:pPr>
      <w:r>
        <w:rPr>
          <w:rFonts w:ascii="Times New Roman" w:hAnsi="Times New Roman" w:eastAsia="宋体"/>
          <w:sz w:val="24"/>
        </w:rPr>
        <w:t>y AI-enabled target recognition.</w:t>
      </w:r>
    </w:p>
    <w:p>
      <w:pPr>
        <w:pStyle w:val="DocBody"/>
      </w:pPr>
      <w:r>
        <w:rPr>
          <w:rFonts w:ascii="Times New Roman" w:hAnsi="Times New Roman" w:eastAsia="宋体"/>
          <w:sz w:val="24"/>
        </w:rPr>
        <w:t>y AI-enabled autonomous systems with terminal gui­ dance (lock-on) capabilities for hitting a target, even when connection with an operator is lost.</w:t>
      </w:r>
    </w:p>
    <w:p>
      <w:pPr>
        <w:pStyle w:val="DocBody"/>
      </w:pPr>
      <w:r>
        <w:rPr>
          <w:rFonts w:ascii="Times New Roman" w:hAnsi="Times New Roman" w:eastAsia="宋体"/>
          <w:sz w:val="24"/>
        </w:rPr>
        <w:t>y Various decision-support systems at the tactical level that can draw on wide ranges of sensors and data, hel­ ping humans pick signals from noise and maintain ro­ bust operating pictures.</w:t>
      </w:r>
    </w:p>
    <w:p>
      <w:pPr>
        <w:pStyle w:val="DocBody"/>
      </w:pPr>
      <w:r>
        <w:rPr>
          <w:rFonts w:ascii="Times New Roman" w:hAnsi="Times New Roman" w:eastAsia="宋体"/>
          <w:sz w:val="24"/>
        </w:rPr>
        <w:t>y AI-enabled cyber defenders and EW systems, among others.</w:t>
      </w:r>
    </w:p>
    <w:p>
      <w:pPr>
        <w:pStyle w:val="DocBody"/>
      </w:pPr>
      <w:r>
        <w:rPr>
          <w:rFonts w:ascii="Times New Roman" w:hAnsi="Times New Roman" w:eastAsia="宋体"/>
          <w:sz w:val="24"/>
        </w:rPr>
        <w:t>AI applications that perform robustly under DDIL conditions can help maintain technological capability and mission effec­ tiveness in the face of adversary disruption efforts. The AI mo­ dels that will be critical enablers of such systems differ in their size and sophistication. AI-enabled autonomous systems for targeting and intelligence, surveillance, and reconnaissance (ISR) rely on computer vision, sensor fusion, reinforcement lear­ ning, and autonomous navigation to classify vehicles, person­ nel, equipment, and other targets without cloud connectivity.</w:t>
      </w:r>
    </w:p>
    <w:p>
      <w:pPr>
        <w:pStyle w:val="DocBody"/>
      </w:pPr>
      <w:r>
        <w:rPr>
          <w:rFonts w:ascii="Times New Roman" w:hAnsi="Times New Roman" w:eastAsia="宋体"/>
          <w:sz w:val="24"/>
        </w:rPr>
        <w:t>This allows them to operate in EW-heavy environments where GPS signals may be denied or degraded, executing missions and holding positions based on point-to-point navigation while contributing to faster targeting and ISR decision-making cycles.</w:t>
      </w:r>
    </w:p>
    <w:p>
      <w:pPr>
        <w:pStyle w:val="DocBody"/>
      </w:pPr>
      <w:r>
        <w:rPr>
          <w:rFonts w:ascii="Times New Roman" w:hAnsi="Times New Roman" w:eastAsia="宋体"/>
          <w:sz w:val="24"/>
        </w:rPr>
        <w:t>AI-enabled autonomous weapons systems and loitering mu­ nitions have received notoriety for their ability to lock onto targets using computer vision in denied environments, ensu­ ring that they can prosecute a target even if they lose contact with a human controller under heavy jamming. These systems are contributing to what some experts have referred to as the era of precise mass.3 Swarm AI capabilities for autonomous systems, which consist of self-organizing teams without single points of failure, are a priority focus area under DOD’s 2026 AI strategy (referred to as the AI Acceleration Strategy) for their potential to overwhelm limited forces or saturate defenses in attacking targets or completing ISR missions.4 Recent efforts to field attritable (i.e., expendable) autonomous systems at scale 3.</w:t>
      </w:r>
    </w:p>
    <w:p>
      <w:pPr>
        <w:pStyle w:val="DocBody"/>
      </w:pPr>
      <w:r>
        <w:rPr>
          <w:rFonts w:ascii="Times New Roman" w:hAnsi="Times New Roman" w:eastAsia="宋体"/>
          <w:sz w:val="24"/>
        </w:rPr>
        <w:t>Michael C. Horowitz, “Battles of Precise Mass: Technology Is Remaking War—and America Must Adapt,” Foreign Affairs, No­ vember/December 2024, https://www.foreignaffairs.com/world/battles-precise-mass-technology-war-horowitz.</w:t>
      </w:r>
    </w:p>
    <w:p>
      <w:pPr>
        <w:pStyle w:val="DocBody"/>
      </w:pPr>
      <w:r>
        <w:rPr>
          <w:rFonts w:ascii="Times New Roman" w:hAnsi="Times New Roman" w:eastAsia="宋体"/>
          <w:sz w:val="24"/>
        </w:rPr>
        <w:t>“Artificial Intelligence Strategy for the Department of War,” Department of Defense, January 12, 2026, https://media.defense.</w:t>
      </w:r>
    </w:p>
    <w:p>
      <w:pPr>
        <w:pStyle w:val="DocBody"/>
      </w:pPr>
      <w:r>
        <w:rPr>
          <w:rFonts w:ascii="Times New Roman" w:hAnsi="Times New Roman" w:eastAsia="宋体"/>
          <w:sz w:val="24"/>
        </w:rPr>
        <w:t>gov/2026/Jan/12/2003855671/-1/-1/0/ARTIFICIAL-INTELLIGENCE-STRATEGY-FOR-THE-DEPARTMENT-OF-WAR.PDF.</w:t>
      </w:r>
    </w:p>
    <w:p>
      <w:pPr>
        <w:pStyle w:val="DocBody"/>
      </w:pPr>
      <w:r>
        <w:rPr>
          <w:rFonts w:ascii="Times New Roman" w:hAnsi="Times New Roman" w:eastAsia="宋体"/>
          <w:sz w:val="24"/>
        </w:rPr>
        <w:t>Michael O’Connor, “Replicator: A Bold New Path for DoD,” Center for Security and Emerging Technology, Georgetown Univer­ sity, https://cset.georgetown.edu/article/replicator-a-bold-new-path-for-dod/; “DOD Replicator Initiative: Background and Issues for Congress,” Congressional Research Service, IF12611, updated January 21, 2026, https://www.congress.gov/crs-product/IF12611;</w:t>
      </w:r>
    </w:p>
    <w:p>
      <w:pPr>
        <w:pStyle w:val="DocBody"/>
      </w:pPr>
      <w:r>
        <w:rPr>
          <w:rFonts w:ascii="Times New Roman" w:hAnsi="Times New Roman" w:eastAsia="宋体"/>
          <w:sz w:val="24"/>
        </w:rPr>
        <w:t>and “Drone Dominance,” DOD, n.d., https://www.war.gov/Spotlights/Drone-Dominance/.</w:t>
      </w:r>
    </w:p>
    <w:p>
      <w:pPr>
        <w:pStyle w:val="DocBody"/>
      </w:pPr>
      <w:r>
        <w:rPr>
          <w:rFonts w:ascii="Times New Roman" w:hAnsi="Times New Roman" w:eastAsia="宋体"/>
          <w:sz w:val="24"/>
        </w:rPr>
        <w:t>“Pentagon Task Force to Deploy AI-Powered UAS Systems to Capture Drones,” Defense News, Sightline Media Group, January 13, 2026, https://www.defensenews.com/unmanned/2026/01/13/pentagon-task-force-to-deploy-ai-powered-uas-systems-to-capture- drones/.</w:t>
      </w:r>
    </w:p>
    <w:p>
      <w:pPr>
        <w:pStyle w:val="DocBody"/>
      </w:pPr>
      <w:r>
        <w:rPr>
          <w:rFonts w:ascii="Times New Roman" w:hAnsi="Times New Roman" w:eastAsia="宋体"/>
          <w:sz w:val="24"/>
        </w:rPr>
        <w:t>Army Lt. Col. Adam Scher, “Joint Interagency Task Force 401 Awards $500 Million Counter-UAS Contract,” Joint Interagency Task Force 401, DOD, May 18, 2026, https://www.war.gov/News/News-Stories/Article/Article/4495165/joint-interagency-task-force-401- awards-500-million-counter-uas-contract/.</w:t>
      </w:r>
    </w:p>
    <w:p>
      <w:pPr>
        <w:pStyle w:val="DocBody"/>
      </w:pPr>
      <w:r>
        <w:rPr>
          <w:rFonts w:ascii="Times New Roman" w:hAnsi="Times New Roman" w:eastAsia="宋体"/>
          <w:sz w:val="24"/>
        </w:rPr>
        <w:t>for contested operations illustrate this priority. The Biden ad­ ministration’s Replicator Initiative was one early effort; after it stalled, the department dissolved it in late 2025 and absorbed it into the Defense Autonomous Warfare Group (DAWG), which, alongside the Drone Dominance Program, now leads this push under the Trump administration.5 Defensively, AI may be incorporated into counter-UAS (un­ manned aircraft systems), fusing signals from radar, radio fre­ quency, acoustic, and other signals to identify and intercept rapid, low-signature threats quickly.6 The DOD’s Joint Inte­ ragency Task Force 401 (JIATF-401) leads joint and interagency efforts to test and field counter-UAS capabilities. JIATF-401 is actively fielding AI-enabled systems that integrate computer vision, radio frequency sensing, and autonomous targeting against small UAS threats, reflecting the DOD’s broader shift toward autonomous solutions against small drones at scale. 7 Generative models have become popularly identified with the concept of AI in recent years. These models can produce mul­ timodal outputs, including text, images, videos, and computer code. They allow users to communicate with digital systems in plain language. Large generative models have a role to play at the operational level, for instance through their integration into decision-support systems like the Maven Smart System (MSS).</w:t>
      </w:r>
    </w:p>
    <w:p>
      <w:pPr>
        <w:pStyle w:val="DocBody"/>
      </w:pPr>
      <w:r>
        <w:rPr>
          <w:rFonts w:ascii="Times New Roman" w:hAnsi="Times New Roman" w:eastAsia="宋体"/>
          <w:sz w:val="24"/>
        </w:rPr>
        <w:t>However, the most sophisticated generative models require access to more computing power for inference (generating real-world outputs) than currently available to onboard systems at the edge based on size, weight, and power constraints.</w:t>
      </w:r>
    </w:p>
    <w:p>
      <w:pPr>
        <w:pStyle w:val="DocBody"/>
      </w:pPr>
      <w:r>
        <w:rPr>
          <w:rFonts w:ascii="Times New Roman" w:hAnsi="Times New Roman" w:eastAsia="宋体"/>
          <w:sz w:val="24"/>
        </w:rPr>
        <w:t>These capabilities are advancing at various levels of maturity and sophistication. As evidenced in Ukraine, loitering muni­ tions and autonomous ISR platforms have made significant strides, even incorporating computer vision for visual-assisted navigation. Other areas, like contested logistics and resupply or casualty recovery, are less advanced and will require more progress in autonomous ground capabilities. Nonetheless, the potential benefits of using AI to complete the tactical mission sets described above are clear.</w:t>
      </w:r>
    </w:p>
    <w:p>
      <w:pPr>
        <w:pStyle w:val="DocBody"/>
      </w:pPr>
      <w:r>
        <w:rPr>
          <w:rFonts w:ascii="Times New Roman" w:hAnsi="Times New Roman" w:eastAsia="宋体"/>
          <w:sz w:val="24"/>
        </w:rPr>
        <w:t>DDIL environments are likely to complicate existing challenges for AI-enabled systems in several ways. Persistent challenges for AI-enabled systems—such as model drift, or degraded ac­</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ATLANTIC COUNCIL AI and autonomy in contested operations curacy for novel targets, or false-positive risks for computer vision systems—will remain in contested environments. Howe­ ver, models will be unable to be safely and securely updated based on new data, changes to rules of engagement, or other mission parameters until systems can be removed from the contested environment. Swarm coordination abilities may break under aggressive jamming or electronic warfare pres­ sure, and human oversight of autonomous platforms may oc­ casionally be lost. Edge deployments necessarily run lighter (i.e., compressed versions of larger models that perform well in the cloud), which heightens the importance of understanding performance thresholds when a system is operating near the limit of its competence.</w:t>
      </w:r>
    </w:p>
    <w:p>
      <w:pPr>
        <w:pStyle w:val="DocBody"/>
      </w:pPr>
      <w:r>
        <w:rPr>
          <w:rFonts w:ascii="Times New Roman" w:hAnsi="Times New Roman" w:eastAsia="宋体"/>
          <w:sz w:val="24"/>
        </w:rPr>
        <w:t>In addition, AI-enabled platforms offer attack surfaces for ad­ versaries in DDIL scenarios. These include (but are not limited to) models themselves and the data used for model training and inference. Where AI systems rely on sensor data, for ins­ tance, from networked autonomous platforms in an area of operations, destruction of assets could contribute to incom­ plete operating pictures above the tactical level. Cyberattacks on models could take capabilities offline or badly degrade their performance. For predictive and generative systems, the US National Institute of Standards and Technology cate­ gorizes attacks on AI in terms of model integrity, availability, privacy, and abuse. These attack surfaces span the full deve­ lopment-to-deployment pipeline. Recent joint guidance from the Cybersecurity and Infrastructure Security Agency, National Security Agency, and DOD partner agencies emphasizes that training data curation, model compilation, supply-chain depen­ dencies, and over-the-air update channels represent points of potential compromise that must be defended end to end.8 Attacks on data sources may pose likely near-term challenges for military AI applications, taking place as models are trained or after they are deployed in DDIL environments. Deception of models, from low-tech to high-tech methods, could degrade algorithmic performance and make AI tools less reliable. Data poisoning, or the introduction of data into a training set that compromises a model’s performance, is an upstream threat.9 Data poisoning would typically entail cyber actors or malicious insiders introducing irrelevant or inaccurate data into datasets 8.</w:t>
      </w:r>
    </w:p>
    <w:p>
      <w:pPr>
        <w:pStyle w:val="DocBody"/>
      </w:pPr>
      <w:r>
        <w:rPr>
          <w:rFonts w:ascii="Times New Roman" w:hAnsi="Times New Roman" w:eastAsia="宋体"/>
          <w:sz w:val="24"/>
        </w:rPr>
        <w:t>Apostol Vassilev et al., Adversarial Machine Learning: A Taxonomy and Terminology of Attacks and Mitigations, US National Ins­ titute of Standards and Technology, NIST 100-2e2023, 2024, https://doi.org/10.6028/NIST.AI.100-2e2023NIST 100-2e2023 (Na­ tional Institute of Standards and Technology (U.S.; and  Cybersecurity and Infrastructure Security Agency (CISA) et al., “AI Data Security,” May 2025, defense.gov/2025/May/22/2003720601/-1/-1/0/CSI_AI_DATA_SECURITY.PDF.</w:t>
      </w:r>
    </w:p>
    <w:p>
      <w:pPr>
        <w:pStyle w:val="DocBody"/>
      </w:pPr>
      <w:r>
        <w:rPr>
          <w:rFonts w:ascii="Times New Roman" w:hAnsi="Times New Roman" w:eastAsia="宋体"/>
          <w:sz w:val="24"/>
        </w:rPr>
        <w:t>“What Is AI Data Poisoning?,” Cloudfare, accessed November 21, 2025, https://www.cloudflare.com/learning/ai/data-poisoning/.</w:t>
      </w:r>
    </w:p>
    <w:p>
      <w:pPr>
        <w:pStyle w:val="DocBody"/>
      </w:pPr>
      <w:r>
        <w:rPr>
          <w:rFonts w:ascii="Times New Roman" w:hAnsi="Times New Roman" w:eastAsia="宋体"/>
          <w:sz w:val="24"/>
        </w:rPr>
        <w:t>Daniel Alexander Alber et al., “Medical Large Language Models Are Vulnerable to Data-Poisoning Attacks,” Nature Medicine 31, no. 2 (2025): 618–26, https://doi.org/10.1038/s41591-024-03445-1.</w:t>
      </w:r>
    </w:p>
    <w:p>
      <w:pPr>
        <w:pStyle w:val="DocBody"/>
      </w:pPr>
      <w:r>
        <w:rPr>
          <w:rFonts w:ascii="Times New Roman" w:hAnsi="Times New Roman" w:eastAsia="宋体"/>
          <w:sz w:val="24"/>
        </w:rPr>
        <w:t>Jorge L. Rivero, “Decoy Warfare: Lessons and Implications of the War in Ukraine,” US Naval Institute Proceedings, April 2024, https://www.usni.org/magazines/proceedings/2024/april/decoy-warfare-lessons-and-implication-war-ukraine.</w:t>
      </w:r>
    </w:p>
    <w:p>
      <w:pPr>
        <w:pStyle w:val="DocBody"/>
      </w:pPr>
      <w:r>
        <w:rPr>
          <w:rFonts w:ascii="Times New Roman" w:hAnsi="Times New Roman" w:eastAsia="宋体"/>
          <w:sz w:val="24"/>
        </w:rPr>
        <w:t>Robert Richbourg, “‘It’s Either a Panda or a Gibbon’: AI Winters and the Limits of Deep Learning,” War on the Rocks, May 10, 2018, https://warontherocks.com/2018/05/its-either-a-panda-or-a-gibbon-ai-winters-and-the-limits-of-deep-learning/; and Dmitry Filipof, Distributed Maritime Operations: Solving What Problems and Seizing Which Opportunities?, Atlantic Council, June 2024, https://www.atlanticcouncil.org/wp-content/uploads/2024/06/Distributed-Maritime-Operations-Solving-what-problems-and-sei­ zing-which-opportunities.pdf.</w:t>
      </w:r>
    </w:p>
    <w:p>
      <w:pPr>
        <w:pStyle w:val="DocBody"/>
      </w:pPr>
      <w:r>
        <w:rPr>
          <w:rFonts w:ascii="Times New Roman" w:hAnsi="Times New Roman" w:eastAsia="宋体"/>
          <w:sz w:val="24"/>
        </w:rPr>
        <w:t>to decrease the model’s performance after it is deployed. The goal of such attacks may be to elicit particular behaviors from models under specific circumstances by planting triggers, pos­ sibly even without alerting users to degraded performance.</w:t>
      </w:r>
    </w:p>
    <w:p>
      <w:pPr>
        <w:pStyle w:val="DocBody"/>
      </w:pPr>
      <w:r>
        <w:rPr>
          <w:rFonts w:ascii="Times New Roman" w:hAnsi="Times New Roman" w:eastAsia="宋体"/>
          <w:sz w:val="24"/>
        </w:rPr>
        <w:t>Sophisticated actors may be able to execute data-poisoning attacks cheaply and easily.10 Post-deployment adversarial attacks may seek to alter real-wor­ ld data to generate harmful AI outputs during inference. Adver­ sarial attacks aim to tweak inputs into an enemy’s AI systems to negatively affect system inference. Sophisticated examples in AI research have included manipulating image pixels to great­ ly degrade the performance of image-recognition models, but on the battlefield, adversarial attacks may be decidedly lower tech. For instance, decoys—some of which include heat signa­ tures or other signature-confusing capabilities—have been used by both sides in the Russia-Ukraine war to fool human drone operators and AI recognition systems alike.11 Camou­ flage that changes the profile of the targets that models have trained on can also disrupt inference. Model performance can be improved with new real-world data, continuous iteration and updates, and effective human-machine teaming, but these challenges highlight the importance of appropriately calibra­ ting operators’ expectations for AI-enabled military systems.</w:t>
      </w:r>
    </w:p>
    <w:p>
      <w:pPr>
        <w:pStyle w:val="DocBody"/>
      </w:pPr>
      <w:r>
        <w:rPr>
          <w:rFonts w:ascii="Times New Roman" w:hAnsi="Times New Roman" w:eastAsia="宋体"/>
          <w:sz w:val="24"/>
        </w:rPr>
        <w:t>Some of the DDIL challenges described above will be broadly similar across the joint force, while others will manifest diffe­ rently across domains. In the maritime domain, for instance, distributed maritime operations will require knitting together information from dispersed sensors on, below, and above the waves to contribute to a commander’s battlefield picture. Dis­ tributed operations will present decision-making challenges for adversaries in determining the most salient threats and create trade-offs between sensing and time pressure; US mul­ timodal data collection in adversary-controlled environments during peacetime can both improve system performance and suggest where the United States can impose reciprocal da­ ta-denial costs on adversary AI systems.12 However, distributed operations may also heighten the challenges of intermittent access to force-spanning resources and degraded communi­ cations for distributed units.</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AI and autonomy in contested operations ATLANTIC COUNCIL From a US perspective, military applications of AI against a sophisticated adversary like China would likely face many of these AI-specific DDIL challenges. The Chinese idea of “intel­ ligentized” warfare, for instance, specifically aims to gain com­ petitive advantages for the PLA using AI and other capabilities to weaken the enemy’s understanding of the battlefield and disrupt warfighters’ cognitive processes. Algorithmic compe­ tition is a major component of this “intelligentization” vision.13 Against a determined peer—both in terms of hardware and AI capabilities—effectively developing and adopting AI capabili­ ties for contested operations will be critical.</w:t>
      </w:r>
    </w:p>
    <w:p>
      <w:pPr>
        <w:pStyle w:val="DocBody"/>
      </w:pPr>
      <w:r>
        <w:rPr>
          <w:rFonts w:ascii="Times New Roman" w:hAnsi="Times New Roman" w:eastAsia="宋体"/>
          <w:sz w:val="24"/>
        </w:rPr>
        <w:t>Twin goals: Development and adoption Developing AI capabilities that are effective and resilient in DDIL environments will require continued technical innova­ tion and integration with human processes to facilitate broa­ der, responsible adoption. As with other military systems, AI-enabled capabilities will not always perform perfectly; in­ deed, human operators should not expect perfection from AI systems, but they should be equipped to understand risks from choosing to deploy or not deploy AI-enabled capabi­ lities—to “shoot or not to shoot”—in DDIL environments.</w:t>
      </w:r>
    </w:p>
    <w:p>
      <w:pPr>
        <w:pStyle w:val="DocBody"/>
      </w:pPr>
      <w:r>
        <w:rPr>
          <w:rFonts w:ascii="Times New Roman" w:hAnsi="Times New Roman" w:eastAsia="宋体"/>
          <w:sz w:val="24"/>
        </w:rPr>
        <w:t>Creating AI-enabled capabilities that are well-suited to de­ nial challenges must proceed in lockstep with efforts at the strategic, operational, and tactical levels to cultivate effective human-machine teams at the tactical edge.</w:t>
      </w:r>
    </w:p>
    <w:p>
      <w:pPr>
        <w:pStyle w:val="DocBody"/>
      </w:pPr>
      <w:r>
        <w:rPr>
          <w:rFonts w:ascii="Times New Roman" w:hAnsi="Times New Roman" w:eastAsia="宋体"/>
          <w:sz w:val="24"/>
        </w:rPr>
        <w:t>Calibrating operators’ trust and expectations is a necessary complement to technology development for spurring AI adop­ tion throughout the services, both for AI capabilities broadly and DDIL applications specifically. Warfighters do not need deep expertise in AI to use AI-enabled capabilities; however, the technology development process for DDIL-relevant capa­ bilities should be geared toward incorporating operator feed­ back at multiple stages to ensure AI capabilities are militarily effective and can be adopted reliably in compliance with mis­ sion objectives, rules of engagement, the laws of war, and ethi­ cal principles.14 If operators do not have “justified confidence”</w:t>
      </w:r>
    </w:p>
    <w:p>
      <w:pPr>
        <w:pStyle w:val="DocBody"/>
      </w:pPr>
      <w:r>
        <w:rPr>
          <w:rFonts w:ascii="Times New Roman" w:hAnsi="Times New Roman" w:eastAsia="宋体"/>
          <w:sz w:val="24"/>
        </w:rPr>
        <w:t>in an AI-enabled system, this may hamper adoption, with hesi­ tancy due to uncertainty about an AI-enabled system’s reliabi­ lity, particularly in contested operations; difficulty or inertia in­ corporating new tools into existing processes and authorities;</w:t>
      </w:r>
    </w:p>
    <w:p>
      <w:pPr>
        <w:pStyle w:val="DocBody"/>
      </w:pPr>
      <w:r>
        <w:rPr>
          <w:rFonts w:ascii="Times New Roman" w:hAnsi="Times New Roman" w:eastAsia="宋体"/>
          <w:sz w:val="24"/>
        </w:rPr>
        <w:t>interoperability challenges with legacy capabilities; unclear differentiation between human and machine roles; and other 13.</w:t>
      </w:r>
    </w:p>
    <w:p>
      <w:pPr>
        <w:pStyle w:val="DocBody"/>
      </w:pPr>
      <w:r>
        <w:rPr>
          <w:rFonts w:ascii="Times New Roman" w:hAnsi="Times New Roman" w:eastAsia="宋体"/>
          <w:sz w:val="24"/>
        </w:rPr>
        <w:t>On the PLA concept of intelligentized warfare and algorithmic competition, see Kania, Battlefield Singularity; and Allen, Understan­ ding China’s AI Strategy.</w:t>
      </w:r>
    </w:p>
    <w:p>
      <w:pPr>
        <w:pStyle w:val="DocBody"/>
      </w:pPr>
      <w:r>
        <w:rPr>
          <w:rFonts w:ascii="Times New Roman" w:hAnsi="Times New Roman" w:eastAsia="宋体"/>
          <w:sz w:val="24"/>
        </w:rPr>
        <w:t>This is in accordance with Department policies like Directive 3000.09 on Autonomy in Weapons Systems, established in 2012 and updated in 2023; see Office of the Under Secretary of Defense for Policy, “Directive 3000.09 on Autonomy in Weapons Sys­ tems,” January 25, 2023, https://media.defense.gov/2023/Jan/25/2003149928/-1/-1/0/DOD-DIRECTIVE-3000.09-AUTONOMY-IN- WEAPON-SYSTEMS.PDF.</w:t>
      </w:r>
    </w:p>
    <w:p>
      <w:pPr>
        <w:pStyle w:val="DocBody"/>
      </w:pPr>
      <w:r>
        <w:rPr>
          <w:rFonts w:ascii="Times New Roman" w:hAnsi="Times New Roman" w:eastAsia="宋体"/>
          <w:sz w:val="24"/>
        </w:rPr>
        <w:t>Michael C. Horowitz et al., “Adopting AI: How Familiarity Breeds Both Trust and Contempt,” AI &amp; Society 39 (2024): 1721–1735, https://doi.org/10.1007/s00146-023-01666-5.</w:t>
      </w:r>
    </w:p>
    <w:p>
      <w:pPr>
        <w:pStyle w:val="DocBody"/>
      </w:pPr>
      <w:r>
        <w:rPr>
          <w:rFonts w:ascii="Times New Roman" w:hAnsi="Times New Roman" w:eastAsia="宋体"/>
          <w:sz w:val="24"/>
        </w:rPr>
        <w:t>“DoD Replicator Initiative,” Congressional Research Service; and Richard Haley, Michael Harteveldt, and Ethan Kessler, “Is Replica­ tor Replicable?,” Belfer Center for Science and International Affairs, Harvard Kennedy School, September 25, 2025, https://www.</w:t>
      </w:r>
    </w:p>
    <w:p>
      <w:pPr>
        <w:pStyle w:val="DocBody"/>
      </w:pPr>
      <w:r>
        <w:rPr>
          <w:rFonts w:ascii="Times New Roman" w:hAnsi="Times New Roman" w:eastAsia="宋体"/>
          <w:sz w:val="24"/>
        </w:rPr>
        <w:t>belfercenter.org/research-analysis/replicator-replicable.</w:t>
      </w:r>
    </w:p>
    <w:p>
      <w:pPr>
        <w:pStyle w:val="DocBody"/>
      </w:pPr>
      <w:r>
        <w:rPr>
          <w:rFonts w:ascii="Times New Roman" w:hAnsi="Times New Roman" w:eastAsia="宋体"/>
          <w:sz w:val="24"/>
        </w:rPr>
        <w:t>hurdles. The relationship between AI and user trust is com­ plex, multifaceted, and evolving. 15 While a deep dive on trust is beyond this report’s scope, it is clear that poorly calibrated trust in AI capabilities could impede DOD’s adoption goals.</w:t>
      </w:r>
    </w:p>
    <w:p>
      <w:pPr>
        <w:pStyle w:val="DocBody"/>
      </w:pPr>
      <w:r>
        <w:rPr>
          <w:rFonts w:ascii="Times New Roman" w:hAnsi="Times New Roman" w:eastAsia="宋体"/>
          <w:sz w:val="24"/>
        </w:rPr>
        <w:t>To effectively tackle DDIL challenges for AI and facilitate confi­ dent, responsible adoption, the joint force will need to develop and integrate AI applications into human-centric processes.</w:t>
      </w:r>
    </w:p>
    <w:p>
      <w:pPr>
        <w:pStyle w:val="DocBody"/>
      </w:pPr>
      <w:r>
        <w:rPr>
          <w:rFonts w:ascii="Times New Roman" w:hAnsi="Times New Roman" w:eastAsia="宋体"/>
          <w:sz w:val="24"/>
        </w:rPr>
        <w:t>The rest of this report focuses on understanding how the DOD can address DDIL challenges at the strategic, operational, and tactical levels to achieve development and adoption goals.</w:t>
      </w:r>
    </w:p>
    <w:p>
      <w:pPr>
        <w:pStyle w:val="DocBody"/>
      </w:pPr>
      <w:r>
        <w:rPr>
          <w:rFonts w:ascii="Times New Roman" w:hAnsi="Times New Roman" w:eastAsia="宋体"/>
          <w:sz w:val="24"/>
        </w:rPr>
        <w:t>Across each of these areas, DOD has launched promising ini­ tiatives. The recommendations in this report focus on comple­ ting them and adapting them specifically for the demands of DDIL environments, where the gap between policy and ope­ rational practice is most consequential. Priority areas include:</w:t>
      </w:r>
    </w:p>
    <w:p>
      <w:pPr>
        <w:pStyle w:val="DocBody"/>
      </w:pPr>
      <w:r>
        <w:rPr>
          <w:rFonts w:ascii="Times New Roman" w:hAnsi="Times New Roman" w:eastAsia="宋体"/>
          <w:sz w:val="24"/>
        </w:rPr>
        <w:t>y Delineating authorities for different aspects of develo­ ping, securing, and fielding AI systems intended for use in DDIL environments.</w:t>
      </w:r>
    </w:p>
    <w:p>
      <w:pPr>
        <w:pStyle w:val="DocBody"/>
      </w:pPr>
      <w:r>
        <w:rPr>
          <w:rFonts w:ascii="Times New Roman" w:hAnsi="Times New Roman" w:eastAsia="宋体"/>
          <w:sz w:val="24"/>
        </w:rPr>
        <w:t>y Encouraging and facilitating iterative development with end users.</w:t>
      </w:r>
    </w:p>
    <w:p>
      <w:pPr>
        <w:pStyle w:val="DocBody"/>
      </w:pPr>
      <w:r>
        <w:rPr>
          <w:rFonts w:ascii="Times New Roman" w:hAnsi="Times New Roman" w:eastAsia="宋体"/>
          <w:sz w:val="24"/>
        </w:rPr>
        <w:t>y Implementing effective testing, evaluation, verification, and validation practices for and experimentation with AI-enabled systems in DDIL conditions.</w:t>
      </w:r>
    </w:p>
    <w:p>
      <w:pPr>
        <w:pStyle w:val="DocBody"/>
      </w:pPr>
      <w:r>
        <w:rPr>
          <w:rFonts w:ascii="Times New Roman" w:hAnsi="Times New Roman" w:eastAsia="宋体"/>
          <w:sz w:val="24"/>
        </w:rPr>
        <w:t>y Incorporating robust red-teaming, coordinated with test and evaluation (T&amp;E).</w:t>
      </w:r>
    </w:p>
    <w:p>
      <w:pPr>
        <w:pStyle w:val="DocBody"/>
      </w:pPr>
      <w:r>
        <w:rPr>
          <w:rFonts w:ascii="Times New Roman" w:hAnsi="Times New Roman" w:eastAsia="宋体"/>
          <w:sz w:val="24"/>
        </w:rPr>
        <w:t>y Running a series of increasingly complex exercises, from single-service through joint and combined events.</w:t>
      </w:r>
    </w:p>
    <w:p>
      <w:pPr>
        <w:pStyle w:val="DocBody"/>
      </w:pPr>
      <w:r>
        <w:rPr>
          <w:rFonts w:ascii="Times New Roman" w:hAnsi="Times New Roman" w:eastAsia="宋体"/>
          <w:sz w:val="24"/>
        </w:rPr>
        <w:t>y Incorporating lessons learned for edge AI into profes­ sional military education.</w:t>
      </w:r>
    </w:p>
    <w:p>
      <w:pPr>
        <w:pStyle w:val="DocBody"/>
      </w:pPr>
      <w:r>
        <w:rPr>
          <w:rFonts w:ascii="Times New Roman" w:hAnsi="Times New Roman" w:eastAsia="宋体"/>
          <w:sz w:val="24"/>
        </w:rPr>
        <w:t>DOD has initiated notable efforts in each of these areas. The challenge is not merely identifying priorities but execution:</w:t>
      </w:r>
    </w:p>
    <w:p>
      <w:pPr>
        <w:pStyle w:val="DocBody"/>
      </w:pPr>
      <w:r>
        <w:rPr>
          <w:rFonts w:ascii="Times New Roman" w:hAnsi="Times New Roman" w:eastAsia="宋体"/>
          <w:sz w:val="24"/>
        </w:rPr>
        <w:t>Across programs, policies have occasionally outpaced autho­ rity structures and integration work to help field capabilities at scale. For instance, the Replicator Initiative aimed to field thou­ sands of autonomous systems by 2025 but reportedly delive­ red well below that level, which some observers attributed to integration burdens transitioning fielded systems across doc­ trine, organization, training, and policy.16 The DOD’s successor efforts, the DAWG and the Drone Dominance Program, osten­ sibly seek to address these gaps by shifting from traditional</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ATLANTIC COUNCIL AI and autonomy in contested operations acquisition toward operator-driven competition, embedding engineers and acquisition professionals at the tactical edge, and prioritizing software that can be rapidly deployed across 17.</w:t>
      </w:r>
    </w:p>
    <w:p>
      <w:pPr>
        <w:pStyle w:val="DocBody"/>
      </w:pPr>
      <w:r>
        <w:rPr>
          <w:rFonts w:ascii="Times New Roman" w:hAnsi="Times New Roman" w:eastAsia="宋体"/>
          <w:sz w:val="24"/>
        </w:rPr>
        <w:t>“Drone Dominance Hearing Sharpens Pentagon’s Small UAS Industrial Strategy,”  Inside Unmanned Systems, June/July 2025, https://insideunmannedsystems.com/drone-dominance-hearing-sharpens-pentagons-small-uas-industrial-strategy/; and “A New DAWG in the Fight: The Pentagon’s $54 Billion Bet on Autonomous Warfare,” Defense Security Monitor, May 21, 2026, https:// dsm.forecastinternational.com/2026/05/21/a-new-dawg-in-the-fight-the-pentagons-54-billion-bet-on-autonomous-warfare/.</w:t>
      </w:r>
    </w:p>
    <w:p>
      <w:pPr>
        <w:pStyle w:val="DocBody"/>
      </w:pPr>
      <w:r>
        <w:rPr>
          <w:rFonts w:ascii="Times New Roman" w:hAnsi="Times New Roman" w:eastAsia="宋体"/>
          <w:sz w:val="24"/>
        </w:rPr>
        <w:t>“Developmental Test and Evaluation of Artificial Intelligence-Enabled Systems Guidebook,” Office of the Under Secretary of De­ fense for Research and Engineering, DTE&amp;A, February 26, 2025, https://www.cto.mil/wp-content/uploads/2025/02/TE_of_AIES_ Guidebook_Final_26Feb25.pdf. On the adaptation of the Risk Management Framework and Authority to Operate processes for AI characteristics such as model drift and continuous retraining, see industry commentary in “The State of AI in DoD: Trends and Opportunities for 2026,” Zapata Technology, April 19, 2026.</w:t>
      </w:r>
    </w:p>
    <w:p>
      <w:pPr>
        <w:pStyle w:val="DocBody"/>
      </w:pPr>
      <w:r>
        <w:rPr>
          <w:rFonts w:ascii="Times New Roman" w:hAnsi="Times New Roman" w:eastAsia="宋体"/>
          <w:sz w:val="24"/>
        </w:rPr>
        <w:t>Connor S. McLemore and Eric Jimenez, “Who is the Admiral Rickover of Naval Artificial Intelligence?,” War on the Rocks, Sep­ tember 18, 2018, https://warontherocks.com/who-is-the-admiral-rickover-of-naval-artificial-intelligence/.</w:t>
      </w:r>
    </w:p>
    <w:p>
      <w:pPr>
        <w:pStyle w:val="DocBody"/>
      </w:pPr>
      <w:r>
        <w:rPr>
          <w:rFonts w:ascii="Times New Roman" w:hAnsi="Times New Roman" w:eastAsia="宋体"/>
          <w:sz w:val="24"/>
        </w:rPr>
        <w:t>low-cost drone platforms.17 Nevertheless, DDIL environments could amplify implementation gaps, highlighting the impor­ tance of accounting for them before fielding.</w:t>
      </w:r>
    </w:p>
    <w:p>
      <w:pPr>
        <w:pStyle w:val="DocBody"/>
      </w:pPr>
      <w:r>
        <w:rPr>
          <w:rFonts w:ascii="Times New Roman" w:hAnsi="Times New Roman" w:eastAsia="宋体"/>
          <w:sz w:val="24"/>
        </w:rPr>
        <w:t>Tackling the multilevel DDIL challenge Delineating authorities Delineating authorities over the full life cycle of AI capabilities in DDIL environments—from data governance and model updates to deployment and repatriation, i.e., secure data transmission and ingestion from the edge into centralized repositories— can help clarify where steps to solve key security challenges for different AI vulnerabilities can be addressed up and down the chain of command. It can also help the DOD and services calibrate the balance between centralizing AI support functions and pushing capability decisions out to the operational edge.</w:t>
      </w:r>
    </w:p>
    <w:p>
      <w:pPr>
        <w:pStyle w:val="DocBody"/>
      </w:pPr>
      <w:r>
        <w:rPr>
          <w:rFonts w:ascii="Times New Roman" w:hAnsi="Times New Roman" w:eastAsia="宋体"/>
          <w:sz w:val="24"/>
        </w:rPr>
        <w:t>Clear authorities can help minimize friction in integrating edge AI capabilities into existing authorities and processes, contributing to the DOD’s diffusion and adoption goals.</w:t>
      </w:r>
    </w:p>
    <w:p>
      <w:pPr>
        <w:pStyle w:val="DocBody"/>
      </w:pPr>
      <w:r>
        <w:rPr>
          <w:rFonts w:ascii="Times New Roman" w:hAnsi="Times New Roman" w:eastAsia="宋体"/>
          <w:sz w:val="24"/>
        </w:rPr>
        <w:t>For instance, one area where authorities could be more clear­ ly delineated surrounds computing power and data for edge systems. AI models operating in DDIL environments, such as drones, autonomous vehicles, or systems carried by ope­ rators, are reliant on edge computing due to the possibility that connection to central computing networks can be cut off.</w:t>
      </w:r>
    </w:p>
    <w:p>
      <w:pPr>
        <w:pStyle w:val="DocBody"/>
      </w:pPr>
      <w:r>
        <w:rPr>
          <w:rFonts w:ascii="Times New Roman" w:hAnsi="Times New Roman" w:eastAsia="宋体"/>
          <w:sz w:val="24"/>
        </w:rPr>
        <w:t>These systems collect and store data locally, which can then be used for model updates through secure links or at safer positions away from the tactical edge. To incorporate new data from mission environments and update models, data transfers must occur between edge systems and centralized data and computing resources.</w:t>
      </w:r>
    </w:p>
    <w:p>
      <w:pPr>
        <w:pStyle w:val="DocBody"/>
      </w:pPr>
      <w:r>
        <w:rPr>
          <w:rFonts w:ascii="Times New Roman" w:hAnsi="Times New Roman" w:eastAsia="宋体"/>
          <w:sz w:val="24"/>
        </w:rPr>
        <w:t>Data used for training and tuning models resides at the opera­ tional level, with the services controlling baseline model data and combatant commands retaining contextual data within an area of operations but often relying on commercial compu­ ting resources managed by private actors. Transferring data in both directions between edge and operational systems not only complicates processes but also expands distinct attack surfaces. At the operational level, combatant commands rely heavily on centralized computing infrastructure, such as the Defense Information Systems Agency’s Hybrid Com­ pute Centers, which present attractive concentrated targets for cyberattacks. Conversely, at the tactical edge, dispersed computing nodes face vulnerabilities ranging from electro­ nic signal interception during data synchronization to actual hardware destruction. Protecting the development, training, distribution, and deployment pipeline is paramount for ensu­ ring model and data security and performance, both at garri­ sons and at the edge.</w:t>
      </w:r>
    </w:p>
    <w:p>
      <w:pPr>
        <w:pStyle w:val="DocBody"/>
      </w:pPr>
      <w:r>
        <w:rPr>
          <w:rFonts w:ascii="Times New Roman" w:hAnsi="Times New Roman" w:eastAsia="宋体"/>
          <w:sz w:val="24"/>
        </w:rPr>
        <w:t>The security-accreditation machinery that governs fielded systems compounds this challenge. The Authority to Operate process and the Risk Management Framework (RMF) were designed for traditional software and accommodate AI imper­ fectly. Model drift and continuous retraining require ongoing monitoring and reauthorization that these frameworks do not currently account for.18 Clarifying who holds reauthorization authority for an updated model and under what conditions in a DDIL environment is therefore both a command-authority question and a security-accreditation one.</w:t>
      </w:r>
    </w:p>
    <w:p>
      <w:pPr>
        <w:pStyle w:val="DocBody"/>
      </w:pPr>
      <w:r>
        <w:rPr>
          <w:rFonts w:ascii="Times New Roman" w:hAnsi="Times New Roman" w:eastAsia="宋体"/>
          <w:sz w:val="24"/>
        </w:rPr>
        <w:t>One way to resolve this would be to shift from passive, com­ pliance-based frameworks toward a more active Admiral Ric­ kover-style model of absolute engineering accountability, na­ med for the father of the “nuclear Navy.”19 Under this model, security accreditation would shift away from static, administra­ tive RMF checklists toward a singular, technically competent command authority. This authority would be responsible for the continuous operational safety and algorithmic integrity of the system and would work in concert with other authority hol­ ders in the chain of command to manage technology design, interactions with private developers, and procurement. Clear authorities would enable service stakeholders to move with speed; integrate testing, evaluation, and security considera­ tions; and implement real-time, engineering-driven reautho­</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AI and autonomy in contested operations ATLANTIC COUNCIL rizations for edge AI systems.20 Through this model or other clearer authorities, decisions for how and when to make de­ cisions to safely update or retrain models could be integrated into doctrine, concepts of operations, training, and tactics, techniques, and procedures (TTPs). Operational authorities could set clear timelines for model updates in peace and war­ time, for example, updating and troubleshooting within two to four weeks in peacetime and twenty-four to forty-eight hours in a conflict.21 Services and commands must also put in place policies delineating the authorities under which personnel in tactical units are allowed to update fielded AI models and ca­ pabilities and what training and certifications they need. Such authorities could play a role in helping operational research teams navigate testing and evaluation and model update is­ sues when deployed forward, as discussed in greater detail in a subsequent section.</w:t>
      </w:r>
    </w:p>
    <w:p>
      <w:pPr>
        <w:pStyle w:val="DocBody"/>
      </w:pPr>
      <w:r>
        <w:rPr>
          <w:rFonts w:ascii="Times New Roman" w:hAnsi="Times New Roman" w:eastAsia="宋体"/>
          <w:sz w:val="24"/>
        </w:rPr>
        <w:t>Authority ambiguity extends beyond the military operational chain. For instance, the services lead testing and evaluation processes for acquired AI capabilities in accordance with strategic-level standards and guidance; yet even at the stan­ dards-setting level, authority has not always been clear. In 2024, the DOD’s inspector general found that delays in im­ plementing the department’s AI adoption strategy through the Chief Digital and Artificial Intelligence Office (CDAO) created ambiguity over AI-related roles and responsibilities relative to the DOD’s chief information officer. Amid this matter and re­ lated concerns, CDAO was realigned under the Office of the Under Secretary of Defense for Research and Engineering in August 2025.22 Some of the costs of these unclear authorities have already manifested. The Maven Smart System operated for years on short-term contracts and ad hoc appropriations before being designated a formal program of record in 2026, years after its launch, leaving funding, oversight, and accountability arrange­ ments unsettled even as it was used to support real-world ope­ 20.</w:t>
      </w:r>
    </w:p>
    <w:p>
      <w:pPr>
        <w:pStyle w:val="DocBody"/>
      </w:pPr>
      <w:r>
        <w:rPr>
          <w:rFonts w:ascii="Times New Roman" w:hAnsi="Times New Roman" w:eastAsia="宋体"/>
          <w:sz w:val="24"/>
        </w:rPr>
        <w:t>Jerry T. Kim, “Would Admiral Rickover’s Method Still Work in Today’s Complex Acquisition and S&amp;T Landscape?,” in Procee­ dings of the Twenty-Second Annual Acquisition Research Symposium and Innovation Summit 1 (2025), https://dair.nps.edu/ bitstream/123456789/5394/1/SYM-AM-25-331.pdf.</w:t>
      </w:r>
    </w:p>
    <w:p>
      <w:pPr>
        <w:pStyle w:val="DocBody"/>
      </w:pPr>
      <w:r>
        <w:rPr>
          <w:rFonts w:ascii="Times New Roman" w:hAnsi="Times New Roman" w:eastAsia="宋体"/>
          <w:sz w:val="24"/>
        </w:rPr>
        <w:t>Cybersecurity and Infrastructure Security Agency and Australian Signals Directorate’s Australian Cyber Security Centre, “Prin­ ciples for the Secure Integration of Artificial Intelligence in Operational Technology,” CISA, December 3, 2025, https://www.cisa.</w:t>
      </w:r>
    </w:p>
    <w:p>
      <w:pPr>
        <w:pStyle w:val="DocBody"/>
      </w:pPr>
      <w:r>
        <w:rPr>
          <w:rFonts w:ascii="Times New Roman" w:hAnsi="Times New Roman" w:eastAsia="宋体"/>
          <w:sz w:val="24"/>
        </w:rPr>
        <w:t>gov/resources-tools/resources/principles-secure-integration-artificial-intelligence-operational-technology.</w:t>
      </w:r>
    </w:p>
    <w:p>
      <w:pPr>
        <w:pStyle w:val="DocBody"/>
      </w:pPr>
      <w:r>
        <w:rPr>
          <w:rFonts w:ascii="Times New Roman" w:hAnsi="Times New Roman" w:eastAsia="宋体"/>
          <w:sz w:val="24"/>
        </w:rPr>
        <w:t>DOD Office of Inspector General report on the effectiveness of CDAO’s AI services and governance, November 2024 (finding de­ lays in the CDAO’s AI implementation plan and ambiguity over roles relative to the DOD CIO); and Kelley M. Sayler, “Realignment of DOD’s Chief Digital and Artificial Intelligence Officer (CDAO),” Congressional Research Service, IN12615, December 2025, https:// www.congress.gov/crs-product/IN12615.</w:t>
      </w:r>
    </w:p>
    <w:p>
      <w:pPr>
        <w:pStyle w:val="DocBody"/>
      </w:pPr>
      <w:r>
        <w:rPr>
          <w:rFonts w:ascii="Times New Roman" w:hAnsi="Times New Roman" w:eastAsia="宋体"/>
          <w:sz w:val="24"/>
        </w:rPr>
        <w:t>Brandi Vincent, “Feinberg’s New Maven Directive Sets AI-enabled Decision-making as ‘The Cornerstone’ for CJADC2,” DefenseS­ coop, April 3, 2026, https://defensescoop.com/2026/04/03/palantir-maven-feinberg-directive/; and Brandi Vincent, “DOD Com­ ponents Face ‘Aggressive’ Timeline for Maven Smart System Transition,” DefenseScoop, April 15, 2026, https://defensescoop.</w:t>
      </w:r>
    </w:p>
    <w:p>
      <w:pPr>
        <w:pStyle w:val="DocBody"/>
      </w:pPr>
      <w:r>
        <w:rPr>
          <w:rFonts w:ascii="Times New Roman" w:hAnsi="Times New Roman" w:eastAsia="宋体"/>
          <w:sz w:val="24"/>
        </w:rPr>
        <w:t>com/2026/04/15/palantir-maven-smart-system-pentagon-program-transition-feinberg/. The designation derives from a March 9, 2026, memorandum issued by Deputy Secretary of Defense Steve Feinberg.</w:t>
      </w:r>
    </w:p>
    <w:p>
      <w:pPr>
        <w:pStyle w:val="DocBody"/>
      </w:pPr>
      <w:r>
        <w:rPr>
          <w:rFonts w:ascii="Times New Roman" w:hAnsi="Times New Roman" w:eastAsia="宋体"/>
          <w:sz w:val="24"/>
        </w:rPr>
        <w:t>DOD, Instruction 5000.02: Operation of the Adaptive Acquisition Framework, Office of the Under Secretary of War for Acquisition and Sustainment, January 23, 2020, incorporating Change 2, April 8, 2026, https://www.esd.whs.mil/Portals/54/Documents/DD/ issuances/dodi/500002p.PDF.</w:t>
      </w:r>
    </w:p>
    <w:p>
      <w:pPr>
        <w:pStyle w:val="DocBody"/>
      </w:pPr>
      <w:r>
        <w:rPr>
          <w:rFonts w:ascii="Times New Roman" w:hAnsi="Times New Roman" w:eastAsia="宋体"/>
          <w:sz w:val="24"/>
        </w:rPr>
        <w:t>rations.23 Preestablishing the authority map for AI capabilities, rather than resolving it retroactively, would help avoid similar ambiguity for systems fielded in DDIL environments.</w:t>
      </w:r>
    </w:p>
    <w:p>
      <w:pPr>
        <w:pStyle w:val="DocBody"/>
      </w:pPr>
      <w:r>
        <w:rPr>
          <w:rFonts w:ascii="Times New Roman" w:hAnsi="Times New Roman" w:eastAsia="宋体"/>
          <w:sz w:val="24"/>
        </w:rPr>
        <w:t>Key issues at the strategic, operational, and tactical levels Iterative development and innovation with industry Both iterative technology development and innovation with in­ dustry can contribute to effective capability creation and build warfighter familiarity with AI intended for DDIL environments.</w:t>
      </w:r>
    </w:p>
    <w:p>
      <w:pPr>
        <w:pStyle w:val="DocBody"/>
      </w:pPr>
      <w:r>
        <w:rPr>
          <w:rFonts w:ascii="Times New Roman" w:hAnsi="Times New Roman" w:eastAsia="宋体"/>
          <w:sz w:val="24"/>
        </w:rPr>
        <w:t>As the DOD and services focus on developing newer, more ef­ ficient acquisition pathways for software and other digital tech­ nologies—like those captured under the Adaptive Acquisition Framework (AAF) in DOD Instruction 5000.02—they should also explore industry engagement models for AI applications intended for use under DDIL conditions that incorporate war­ fighter perspectives earlier and more frequently in technolo­ gy development.24 Where warfighters will face decisions with trade-offs about what capabilities to bring into contested mis­ sions, getting as broad a range of user feedback as possible and understanding the timelines involved in consistent user adoption at the edge can help the department understand how to overcome cultural barriers to adoption, ensure AI solu­ tions cater to specific needs for contested operations, and aid effective, reliable uptake. It may also help program managers identify urgency of need and risk considerations that inform acquisition strategies under the AAF.</w:t>
      </w:r>
    </w:p>
    <w:p>
      <w:pPr>
        <w:pStyle w:val="DocBody"/>
      </w:pPr>
      <w:r>
        <w:rPr>
          <w:rFonts w:ascii="Times New Roman" w:hAnsi="Times New Roman" w:eastAsia="宋体"/>
          <w:sz w:val="24"/>
        </w:rPr>
        <w:t>More sprint demos and other hands-on opportunities to shorten the feedback loop between operators and technology develo­ pers about the usefulness of different AI-enabled capabilities for high-pressure, contested mission sets would be especially valuable. Earlier and more frequent demonstrations can help warfighters develop familiarity with AI capabilities through hands-on experience and begin to calibrate expectations for how DDIL conditions are likely to affect system performance or</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ATLANTIC COUNCIL AI and autonomy in contested operations reliability. From the industry side, technology developers can design system components that users identify as important for edge systems. Warfighters at the edge are well-positioned to understand the impact of distributional shifts in tactical condi­ tions, where a model’s deployed performance differs from its performance in training, and their experience can help uncover edge cases in conjunction with engineers. Design choices that will likely deserve special attention in DDIL contexts include notifications of degraded system performance, user interface designs, and considerations for what graceful degradation looks like. Other methods for iteratively incorporating warfigh­ ter feedback could also include embedding contractors within deployed units to make in-theater adjustments to models and systems; nonprime vendors with higher levels of risk tolerance may have flexibility to execute upon such agreements. This would prove more difficult, particularly in wartime, and would hinge on special contracting mechanisms and agreements with companies.</w:t>
      </w:r>
    </w:p>
    <w:p>
      <w:pPr>
        <w:pStyle w:val="DocBody"/>
      </w:pPr>
      <w:r>
        <w:rPr>
          <w:rFonts w:ascii="Times New Roman" w:hAnsi="Times New Roman" w:eastAsia="宋体"/>
          <w:sz w:val="24"/>
        </w:rPr>
        <w:t>Some related contracting mechanisms for iterative develop­ ment and other engagements already exist. The Swarm Forge Prototype Project, including the Crucible demonstrations in­ volving warfighter participation as part of the AI acceleration strategy, is one example of efforts to adopt iterative prototy­ ping for DDIL-relevant capabilities.25 The Commercial Solutions Opening and Other Transaction Authority are two mechanisms that have accelerated prototyping, and the DOD’s Software Acquisition Pathway for procuring software programs is ex­ plicitly built around active user engagement and rapid, itera­ tive delivery.26 Yet transitioning prototypes to capabilities can be difficult. A February 2025 GAO report found that scaling Defense Innovation Unit efforts proved difficult because the unit was not positioned to help overcome systemic integration challenges after developing successful prototypes.27 The De­ fense Innovation Unit (DIU) itself is now pursuing a more em­ bedded model along these lines: Through its “Thunderforge”</w:t>
      </w:r>
    </w:p>
    <w:p>
      <w:pPr>
        <w:pStyle w:val="DocBody"/>
      </w:pPr>
      <w:r>
        <w:rPr>
          <w:rFonts w:ascii="Times New Roman" w:hAnsi="Times New Roman" w:eastAsia="宋体"/>
          <w:sz w:val="24"/>
        </w:rPr>
        <w:t>initiative, launched in 2025 with Scale AI and industry partners, it has placed personnel at Pacific Command and European Command to develop AI-assisted planning and wargaming tools alongside the operational users who will rely on them.28 For DDIL-relevant capabilities specifically, iterative develop­ 25.</w:t>
      </w:r>
    </w:p>
    <w:p>
      <w:pPr>
        <w:pStyle w:val="DocBody"/>
      </w:pPr>
      <w:r>
        <w:rPr>
          <w:rFonts w:ascii="Times New Roman" w:hAnsi="Times New Roman" w:eastAsia="宋体"/>
          <w:sz w:val="24"/>
        </w:rPr>
        <w:t>Miles Jamison, “DOW CDAO Selects 25 Companies for Crucible 2 Swarm Forge Initiative,” ExecutiveGov, June 3, 2026, https:// www.executivegov.com/articles/cdao-crucible-2-swarm-forge-initiative-pentagon.</w:t>
      </w:r>
    </w:p>
    <w:p>
      <w:pPr>
        <w:pStyle w:val="DocBody"/>
      </w:pPr>
      <w:r>
        <w:rPr>
          <w:rFonts w:ascii="Times New Roman" w:hAnsi="Times New Roman" w:eastAsia="宋体"/>
          <w:sz w:val="24"/>
        </w:rPr>
        <w:t>Department of Defense Instruction 5000.87, “Operation of the Software Acquisition Pathway,” October 2, 2020, https://www.esd.</w:t>
      </w:r>
    </w:p>
    <w:p>
      <w:pPr>
        <w:pStyle w:val="DocBody"/>
      </w:pPr>
      <w:r>
        <w:rPr>
          <w:rFonts w:ascii="Times New Roman" w:hAnsi="Times New Roman" w:eastAsia="宋体"/>
          <w:sz w:val="24"/>
        </w:rPr>
        <w:t>whs.mil/Portals/54/Documents/DD/issuances/dodi/500087p.PDF; and Jon Harper, “Hegseth Issues Edict on DOD Software acqui­ sition,” DefenseScoop, March 7, 2025, https://defensescoop.com/2025/03/07/hegseth-memo-dod-software-acquisition-pathway- cso-ota/.</w:t>
      </w:r>
    </w:p>
    <w:p>
      <w:pPr>
        <w:pStyle w:val="DocBody"/>
      </w:pPr>
      <w:r>
        <w:rPr>
          <w:rFonts w:ascii="Times New Roman" w:hAnsi="Times New Roman" w:eastAsia="宋体"/>
          <w:sz w:val="24"/>
        </w:rPr>
        <w:t>“Defense Innovation Unit: Actions Needed to Assess Progress and Further Enhance Collaboration,” US Government Accountabi­ lity Office, GAO-25-106856, February 2025, https://files.gao.gov/reports/GAO-25-106856/index.html.</w:t>
      </w:r>
    </w:p>
    <w:p>
      <w:pPr>
        <w:pStyle w:val="DocBody"/>
      </w:pPr>
      <w:r>
        <w:rPr>
          <w:rFonts w:ascii="Times New Roman" w:hAnsi="Times New Roman" w:eastAsia="宋体"/>
          <w:sz w:val="24"/>
        </w:rPr>
        <w:t>Brandi Vincent, “Combatant Commands to Get New Generative AI Tech for Operational Planning, Wargaming,” DefenseScoop, March 5, 2025, https://defensescoop.com/2025/03/05/diu-thunderforge-scale-ai-combatant-commands-indopacom-eucom/;</w:t>
      </w:r>
    </w:p>
    <w:p>
      <w:pPr>
        <w:pStyle w:val="DocBody"/>
      </w:pPr>
      <w:r>
        <w:rPr>
          <w:rFonts w:ascii="Times New Roman" w:hAnsi="Times New Roman" w:eastAsia="宋体"/>
          <w:sz w:val="24"/>
        </w:rPr>
        <w:t>and Sydney J. Freedberg Jr., “AI for War Plans: Pentagon Innovation Shop Taps Scale AI to Build ‘Thunderforge’ Prototype,” Brea­ king Defense, March 5, 2025, https://breakingdefense.com/2025/03/ai-for-war-plans-pentagon-innovation-shop-taps-scale-ai-to- build-thunderforge-prototype/.</w:t>
      </w:r>
    </w:p>
    <w:p>
      <w:pPr>
        <w:pStyle w:val="DocBody"/>
      </w:pPr>
      <w:r>
        <w:rPr>
          <w:rFonts w:ascii="Times New Roman" w:hAnsi="Times New Roman" w:eastAsia="宋体"/>
          <w:sz w:val="24"/>
        </w:rPr>
        <w:t>ment should be tied both to capability refinement and the doc­ trine, training, and updates to TTPs required to field it. The services should explore developing explicit requirements in demonstrations and sprints related to AI applications intended to be used in DDIL conditions.</w:t>
      </w:r>
    </w:p>
    <w:p>
      <w:pPr>
        <w:pStyle w:val="DocBody"/>
      </w:pPr>
      <w:r>
        <w:rPr>
          <w:rFonts w:ascii="Times New Roman" w:hAnsi="Times New Roman" w:eastAsia="宋体"/>
          <w:sz w:val="24"/>
        </w:rPr>
        <w:t>The iterative design-feedback loop can ultimately benefit both warfighters and industry. For operators, frequent sprint enga­ gements that incorporate DDIL conditions can surface challen­ ges around confronting cognitive overload, calibrating expec­ tations for degraded performance, and developing judgment about the validity of AI-generated operating pictures. For in­ dustry, the same interactions yield behavioral data that goes beyond standard testing metrics and can sharpen understan­ ding of human-machine interactions in DDIL environments as tangible design problems to be addressed. They may help identify technical solutions that make operators more likely to take AI-enabled capabilities into contested missions and point toward longer-term research priorities.</w:t>
      </w:r>
    </w:p>
    <w:p>
      <w:pPr>
        <w:pStyle w:val="DocBody"/>
      </w:pPr>
      <w:r>
        <w:rPr>
          <w:rFonts w:ascii="Times New Roman" w:hAnsi="Times New Roman" w:eastAsia="宋体"/>
          <w:sz w:val="24"/>
        </w:rPr>
        <w:t>Testing, red-teaming, and experimentation Operational testing, evaluation, verification, and validation (TEVV) practices for AI present unique challenges. Unlike hard­ ware systems, AI models can perform differently in complex deployed environments than in controlled training and testing conditions, and they require frequent updates to maintain consistent performance. As both DOD guidance and TEVV practitioners have previously noted, the linearly oriented test and evaluation processes developed for traditional systems are poorly suited to these characteristics. Pushing AI capabili­ ties to the tactical edge often necessitates using lighter, more fragile versions of models, meaning that continued observa­ tion of model performance is critical to identifying and addres­ sing limitations.</w:t>
      </w:r>
    </w:p>
    <w:p>
      <w:pPr>
        <w:pStyle w:val="DocBody"/>
      </w:pPr>
      <w:r>
        <w:rPr>
          <w:rFonts w:ascii="Times New Roman" w:hAnsi="Times New Roman" w:eastAsia="宋体"/>
          <w:sz w:val="24"/>
        </w:rPr>
        <w:t>Adapting TEVV practices for edge AI capabilities should not be viewed as an impediment to rapid adoption, but rather a valuable way to ensure continued military effectiveness and calibrated trust. Updating test processes throughout the life cycle of AI-enabled capabilities will help ensure systems keep pace with existing and emerging threats. A useful organizing</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AI and autonomy in contested operations ATLANTIC COUNCIL frame from the DOD’s AI Assurance Framework identifies four interlocking layers of TEVV:29</w:t>
      </w:r>
    </w:p>
    <w:p>
      <w:pPr>
        <w:pStyle w:val="DocBody"/>
        <w:ind w:left="765"/>
      </w:pPr>
      <w:r>
        <w:rPr>
          <w:rFonts w:ascii="Times New Roman" w:hAnsi="Times New Roman" w:eastAsia="宋体"/>
          <w:sz w:val="24"/>
        </w:rPr>
        <w:t>Testing the model in isolation. Ensuring that an AI model can perform as expected in controlled environ­ ments with few adversarial challenges.</w:t>
      </w:r>
    </w:p>
    <w:p>
      <w:pPr>
        <w:pStyle w:val="DocBody"/>
        <w:ind w:left="765"/>
      </w:pPr>
      <w:r>
        <w:rPr>
          <w:rFonts w:ascii="Times New Roman" w:hAnsi="Times New Roman" w:eastAsia="宋体"/>
          <w:sz w:val="24"/>
        </w:rPr>
        <w:t>Testing integration with legacy platforms. Iden­ tifying where integration failures may arise in interac­ tions among AI and legacy components within com­ plex systems-of-systems. This is especially relevant for near-term operational readiness at the edge as AI components are integrated into existing systems and hardware.</w:t>
      </w:r>
    </w:p>
    <w:p>
      <w:pPr>
        <w:pStyle w:val="DocBody"/>
        <w:ind w:left="765"/>
      </w:pPr>
      <w:r>
        <w:rPr>
          <w:rFonts w:ascii="Times New Roman" w:hAnsi="Times New Roman" w:eastAsia="宋体"/>
          <w:sz w:val="24"/>
        </w:rPr>
        <w:t>Human-factors testing. Incorporating human feed­ back to uncover gaps in human-machine integration, including warfighters’ mental models for AI-enabled systems and the “co-situation” of human and machine roles fitting practically into operations. Such testing can highlight boundary awareness issues, i.e., understan­ ding the conditions under which the model is likely to perform at or near capacity and whether this is obvious to a human operator. Task allocation can delineate between functions an operator reasonably expects the system to perform and where human intervention is necessary or desirable. It is also important for highligh­ ting where critical skills should not inadvertently be permitted to atrophy by assuming that AI capabilities can fulfill current human roles, particularly if AI capabi­ lities will have imperfect performance in DDIL contexts.</w:t>
      </w:r>
    </w:p>
    <w:p>
      <w:pPr>
        <w:pStyle w:val="DocBody"/>
      </w:pPr>
      <w:r>
        <w:rPr>
          <w:rFonts w:ascii="Times New Roman" w:hAnsi="Times New Roman" w:eastAsia="宋体"/>
          <w:sz w:val="24"/>
        </w:rPr>
        <w:t>Identifying model drift and out-of-domain identification can illustrate where model performance may degrade or exceed boundaries. This process can help generate metrics for explicit bounds of acceptable use to aid war­ fighters with mission planning and deployment choices for DDIL environments.</w:t>
      </w:r>
    </w:p>
    <w:p>
      <w:pPr>
        <w:pStyle w:val="DocBody"/>
        <w:ind w:left="765"/>
      </w:pPr>
      <w:r>
        <w:rPr>
          <w:rFonts w:ascii="Times New Roman" w:hAnsi="Times New Roman" w:eastAsia="宋体"/>
          <w:sz w:val="24"/>
        </w:rPr>
        <w:t>Operational testing under realistic conditions. Testing an AI-enabled capability in an exercise or controlled, 29.</w:t>
      </w:r>
    </w:p>
    <w:p>
      <w:pPr>
        <w:pStyle w:val="DocBody"/>
      </w:pPr>
      <w:r>
        <w:rPr>
          <w:rFonts w:ascii="Times New Roman" w:hAnsi="Times New Roman" w:eastAsia="宋体"/>
          <w:sz w:val="24"/>
        </w:rPr>
        <w:t>The four-layer framing draws on the test and evaluation approach developed by the department’s Joint AI Center (now CDAO).</w:t>
      </w:r>
    </w:p>
    <w:p>
      <w:pPr>
        <w:pStyle w:val="DocBody"/>
      </w:pPr>
      <w:r>
        <w:rPr>
          <w:rFonts w:ascii="Times New Roman" w:hAnsi="Times New Roman" w:eastAsia="宋体"/>
          <w:sz w:val="24"/>
        </w:rPr>
        <w:t>See Jackson Barnett, “How the DOD Is Developing Its AI Ethics Guidance,” FedScoop, September 2, 2020, https://fedscoop.com/ jaic-alka-patel-ai-ethics/; the article describes the JAIC testing strategy’s focus on evaluating models against requirements, inte­ gration with existing systems, the human-machine relationship, and operational testing.</w:t>
      </w:r>
    </w:p>
    <w:p>
      <w:pPr>
        <w:pStyle w:val="DocBody"/>
      </w:pPr>
      <w:r>
        <w:rPr>
          <w:rFonts w:ascii="Times New Roman" w:hAnsi="Times New Roman" w:eastAsia="宋体"/>
          <w:sz w:val="24"/>
        </w:rPr>
        <w:t>See National Academies of Sciences, Engineering, and Medicine, T&amp;E Challenges for Artificial Intelligence-Enabled Systems for the Department of the Air Force, Consensus Study Report, 2023, doi.org/10.17226/27092.</w:t>
      </w:r>
    </w:p>
    <w:p>
      <w:pPr>
        <w:pStyle w:val="DocBody"/>
      </w:pPr>
      <w:r>
        <w:rPr>
          <w:rFonts w:ascii="Times New Roman" w:hAnsi="Times New Roman" w:eastAsia="宋体"/>
          <w:sz w:val="24"/>
        </w:rPr>
        <w:t>“Developmental Test and Evaluation of Artificial Intelligence Enabled Systems,” Office of the Under Secretary of Defense for Re­ search and Engineering, n.d., https://www.cto.mil/dtea/te_aies/; and for information on the incompatibility of large-sample testing approaches with human-machine teaming evaluation, see David Helmer et al., “Human-centered Test and Evaluation of Military AI,” Panel Session Summary, Responsible AI in the Military Domain 2024, Seoul Korea, September 9–10 2024, arXiv:2412.01978;</w:t>
      </w:r>
    </w:p>
    <w:p>
      <w:pPr>
        <w:pStyle w:val="DocBody"/>
      </w:pPr>
      <w:r>
        <w:rPr>
          <w:rFonts w:ascii="Times New Roman" w:hAnsi="Times New Roman" w:eastAsia="宋体"/>
          <w:sz w:val="24"/>
        </w:rPr>
        <w:t>and National Academies, T&amp;E Challenges.</w:t>
      </w:r>
    </w:p>
    <w:p>
      <w:pPr>
        <w:pStyle w:val="DocBody"/>
      </w:pPr>
      <w:r>
        <w:rPr>
          <w:rFonts w:ascii="Times New Roman" w:hAnsi="Times New Roman" w:eastAsia="宋体"/>
          <w:sz w:val="24"/>
        </w:rPr>
        <w:t>Jay Wilkins et al., “A Team-Centric Metric Framework for Testing and Evaluation of Human-Machine Teams,” Systems Engineering 27, no. 3 (2024): 466–84, https://doi.org/10.1002/sys.21730.</w:t>
      </w:r>
    </w:p>
    <w:p>
      <w:pPr>
        <w:pStyle w:val="DocBody"/>
      </w:pPr>
      <w:r>
        <w:rPr>
          <w:rFonts w:ascii="Times New Roman" w:hAnsi="Times New Roman" w:eastAsia="宋体"/>
          <w:sz w:val="24"/>
        </w:rPr>
        <w:t>Defense Advanced Research Projects Agency, “SABER: Securing Artificial Intelligence for Battlefield Effective Robustness,” n.d., https://www.darpa.mil/research/programs/saber-securing-artificial-intelligence.</w:t>
      </w:r>
    </w:p>
    <w:p>
      <w:pPr>
        <w:pStyle w:val="DocBody"/>
      </w:pPr>
      <w:r>
        <w:rPr>
          <w:rFonts w:ascii="Times New Roman" w:hAnsi="Times New Roman" w:eastAsia="宋体"/>
          <w:sz w:val="24"/>
        </w:rPr>
        <w:t>real-world environment to uncover previously unfore­ seen challenges.30 These four pillars highlight threat and vulnerability vectors from both technical and human-factors considerations critical for AI-enabled capabilities. They reflect current guidance, but implementation likely remains in early stages as DOD’s deve­ lopmental test and evaluation guidebook for AI was published in 2025. Supporting modernized TEVV processes should be a cross-cutting priority at the service level.</w:t>
      </w:r>
    </w:p>
    <w:p>
      <w:pPr>
        <w:pStyle w:val="DocBody"/>
      </w:pPr>
      <w:r>
        <w:rPr>
          <w:rFonts w:ascii="Times New Roman" w:hAnsi="Times New Roman" w:eastAsia="宋体"/>
          <w:sz w:val="24"/>
        </w:rPr>
        <w:t>The human-factors layer is particularly crucial given DDIL challenges. Research suggests large-sample testing ap­ proaches suited to algorithmic performance face severe limi­ tations in contexts where only handfuls of operators may be able to test human-machine teaming dynamics.31 Limited data on DDIL conditions, combined with the structural challenge that AI systems do not reliably signal their own uncertainty to operators, makes dedicated human-factors testing capacity nearer to the edge an essential requirement. Such testing can build trust and understanding, while also helping generate me­ trics across programs to measure what effectiveness in com­ plex human-machine teams looks like.32 Furthermore, TEVV practices need to be reinforced with rigo­ rous red-teaming for DDIL conditions. Red teams represent a critical component of AI test design and, for DDIL environ­ ments specifically, red teams must be capable of emulating current and future peer competitor capabilities and perfor­ mance. Red-teaming should be integrated into the entire AI life cycle and should focus on operational performance and mission resilience in the face of adversarial attacks. Such red-teaming would include pitting AI-enabled systems against challenges like sensor spoofing, electronic warfare, and de­ graded functionality. The Defense Advanced Research Pro­ jects Agency’s Securing Artificial Intelligence for Battlefield Effective Robustness provides an exemplar for red-teaming ef­ forts focused on contested conditions that could be extended to service-level capabilities.33</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ATLANTIC COUNCIL AI and autonomy in contested operations The continuous battlefield adaptation with emerging technolo­ gies evidenced in Ukraine suggests that services and comba­ tant commands should consider adding specific billets for cer­ tified AI testers within tactical units, specifically for evaluating the performance of deployed AI models when intended for use in new contexts and to rapidly retrain, test, and field new and updated capabilities.34 The services should more deeply explore embedding operational research teams forward with units using AI at the edge. These teams would consist of small groups of data scientists, engineers, and operational analysts who can diagnose system performance issues on site, vali­ date fixes on operational hardware, and push updates (where possible) within the short (or even the same) operational win­ dows. Such teams could help decrease the lag time between issue discovery and fixes in DDIL conditions by responding to performance problems in near real-time, relying on edge compute nodes and taking tactical conditions into account.</w:t>
      </w:r>
    </w:p>
    <w:p>
      <w:pPr>
        <w:pStyle w:val="DocBody"/>
      </w:pPr>
      <w:r>
        <w:rPr>
          <w:rFonts w:ascii="Times New Roman" w:hAnsi="Times New Roman" w:eastAsia="宋体"/>
          <w:sz w:val="24"/>
        </w:rPr>
        <w:t>This could confer the advantage of enabling rapid fixes and increased responsiveness to adversarial conditions rapidly, with sensitivities to local, mission-specific data and targeted updates that facilitate more predictable system performance across mission sets. With established, clearly delineated au­ thorities in place for combat, operational research teams with certified-tester billets could theoretically implement safe fixes without needing to transfer data rearward or waiting for analy­ sis and updates to be pushed from the front. Sustaining TEVV capacity beyond initial deployment in this way would require dedicated resources for both pre-deployment testing budgets and post-deployment sustainment costs, a reality for which the services likely have not currently planned.</w:t>
      </w:r>
    </w:p>
    <w:p>
      <w:pPr>
        <w:pStyle w:val="DocBody"/>
      </w:pPr>
      <w:r>
        <w:rPr>
          <w:rFonts w:ascii="Times New Roman" w:hAnsi="Times New Roman" w:eastAsia="宋体"/>
          <w:sz w:val="24"/>
        </w:rPr>
        <w:t>To complement progress in incorporating AI-specific TEVV practices into capability development and deployment, the Joint Force should continue to experiment at scale with AI-en­ abled capabilities in exercises and simulations of operations in denied conditions. Such experimentation will be essential to understanding how model performance holds up as DDIL conditions intensify. For example, simulations in virtual envi­ ronments may allow users to understand how AI-enabled capabilities’ ability to comply with changing rules of engage­</w:t>
      </w:r>
    </w:p>
    <w:p>
      <w:pPr>
        <w:pStyle w:val="DocBody"/>
      </w:pPr>
      <w:r>
        <w:rPr>
          <w:rFonts w:ascii="Times New Roman" w:hAnsi="Times New Roman" w:eastAsia="宋体"/>
          <w:sz w:val="24"/>
        </w:rPr>
        <w:t>Margarita Konaev and Owen J. Daniels, “The Russians Are Getting Better: What Moscow Has Learned in Ukraine,” Foreign Affairs, 2023, https://www.foreignaffairs.com/ukraine/russians-are-getting-better-learning.</w:t>
      </w:r>
    </w:p>
    <w:p>
      <w:pPr>
        <w:pStyle w:val="DocBody"/>
      </w:pPr>
      <w:r>
        <w:rPr>
          <w:rFonts w:ascii="Times New Roman" w:hAnsi="Times New Roman" w:eastAsia="宋体"/>
          <w:sz w:val="24"/>
        </w:rPr>
        <w:t>Heather Mongilio, “Marine Corps Rolling out LVC Training Under Project Tripoli,” US Naval Institute, June 27, 2023, https://news.</w:t>
      </w:r>
    </w:p>
    <w:p>
      <w:pPr>
        <w:pStyle w:val="DocBody"/>
      </w:pPr>
      <w:r>
        <w:rPr>
          <w:rFonts w:ascii="Times New Roman" w:hAnsi="Times New Roman" w:eastAsia="宋体"/>
          <w:sz w:val="24"/>
        </w:rPr>
        <w:t>usni.org/2023/06/27/marine-corps-rolling-out-lvc-training-under-project-tripoli; for more on AI- and machine-learning-assisted trai­ ning scenarios, see Jamie Bennet, “US Marine Corps Seeks Industry Input on Live, Virtual &amp; Constructive Training Program,” Exe­ cutiveGov, June 17, 2024, https://executivegov.com/2023/03/us-marine-corps-seeks-industry-input-on-live-virtual-and-construc­ tive-training/.</w:t>
      </w:r>
    </w:p>
    <w:p>
      <w:pPr>
        <w:pStyle w:val="DocBody"/>
      </w:pPr>
      <w:r>
        <w:rPr>
          <w:rFonts w:ascii="Times New Roman" w:hAnsi="Times New Roman" w:eastAsia="宋体"/>
          <w:sz w:val="24"/>
        </w:rPr>
        <w:t>Whitney M. McNamara, Peter Modigliani, and Tate Nurkin, Commission on Software-Defined Warfare: Final Report, Atlantic Council, March 2025, https://www.atlanticcouncil.org/wp-content/uploads/2025/03/Commission-on-Software-Defined-Warfare-Final-Re­ port.pdf.</w:t>
      </w:r>
    </w:p>
    <w:p>
      <w:pPr>
        <w:pStyle w:val="DocBody"/>
      </w:pPr>
      <w:r>
        <w:rPr>
          <w:rFonts w:ascii="Times New Roman" w:hAnsi="Times New Roman" w:eastAsia="宋体"/>
          <w:sz w:val="24"/>
        </w:rPr>
        <w:t>“Marine Corps Mandates Basic AI Training Course for All Troops,” DefenseScoop, May 13, 2026; and John Harper, “Pathway to AI Readiness: Workforce Training,” DefenseScoop, May 13, 2026, https://defensescoop.com/2026/05/13/marine-corps-mandates- basic-ai-training-course-for-all-troops/; DOD Chief Digital and AI Office, “Expanding Access to the Data, Analytics &amp; AI Workforce for DoW”, https://www.ai.mil/Initiatives/DoD-Digital-Workforce/ ment holds or declines with corresponding increases in the contested nature of the environment. Such exercises also can present operators with realistic mission planning scenarios for DDIL conditions. Working through decisions about which AI-enabled capabilities to bring on a given mission based on power, thermal, bandwidth, and connectivity constraints, and when analog alternatives may be preferable, offers practical experience difficult to attain elsewhere. High-fidelity exercises, informed by education and training, can help operators “tin­ ker” with edge systems and innovate at the unit level within safe parameters. Simulations may also allow for AI capabilities to be integrated into live, virtual, constructive training (LVCT)</w:t>
      </w:r>
    </w:p>
    <w:p>
      <w:pPr>
        <w:pStyle w:val="DocBody"/>
      </w:pPr>
      <w:r>
        <w:rPr>
          <w:rFonts w:ascii="Times New Roman" w:hAnsi="Times New Roman" w:eastAsia="宋体"/>
          <w:sz w:val="24"/>
        </w:rPr>
        <w:t>and serve as another venue for iterative feedback on DDIL-re­ levant capability development. Given the difficulty of acces­ sing training data for DDIL contexts, such simulations may also generate useful synthetic and behavioral data.</w:t>
      </w:r>
    </w:p>
    <w:p>
      <w:pPr>
        <w:pStyle w:val="DocBody"/>
      </w:pPr>
      <w:r>
        <w:rPr>
          <w:rFonts w:ascii="Times New Roman" w:hAnsi="Times New Roman" w:eastAsia="宋体"/>
          <w:sz w:val="24"/>
        </w:rPr>
        <w:t>Concrete venues for this already exist. The Marine Corps’ Pro­ ject Tripoli is building a networked LVCT environment incorpo­ rating AI- and machine-learning-assisted scenarios across the Marine Expeditionary Forces, which can host iterative testing of edge AI under realistic operational conditions.35 A/B testing methods associated with commercial software can be adap­ ted to surface what cognitive overload looks like in practice without adding burden to warfighters.36 Together, these ap­ proaches can support the unit-level initiative and experimen­ tation that have traditionally been considered enduring advan­ tages for the US military.</w:t>
      </w:r>
    </w:p>
    <w:p>
      <w:pPr>
        <w:pStyle w:val="DocBody"/>
      </w:pPr>
      <w:r>
        <w:rPr>
          <w:rFonts w:ascii="Times New Roman" w:hAnsi="Times New Roman" w:eastAsia="宋体"/>
          <w:sz w:val="24"/>
        </w:rPr>
        <w:t>Adapting professional military education for AI The services are beginning to implement training and profes­ sional military education (PME) programs geared toward hel­ ping end users incorporate AI into military planning processes and course of action development. Some of these programs, such as the Marine Corps’ Basic AI Course, aim to provide warfighters with a “foundational understanding” of AI systems’</w:t>
      </w:r>
    </w:p>
    <w:p>
      <w:pPr>
        <w:pStyle w:val="DocBody"/>
      </w:pPr>
      <w:r>
        <w:rPr>
          <w:rFonts w:ascii="Times New Roman" w:hAnsi="Times New Roman" w:eastAsia="宋体"/>
          <w:sz w:val="24"/>
        </w:rPr>
        <w:t>strengths and limitations, including in relation to generative AI capabilities, in line with department-wide guidance and AI education strategy.37 Other services are producing compa­ rable efforts: The Army’s Command and General Staff College</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AI and autonomy in contested operations ATLANTIC COUNCIL has begun integrating AI into wargaming; the Air Force Spe­ cial Operations Command has launched AI bootcamps; and the Naval Postgraduate School has stood up an accelerated AI master’s program.38 These initiatives represent important steps toward building and upskilling an AI-literate force, but they largely emphasize general AI literacy and generative AI use, and understanding the challenges likely to confront users of AI systems in DDIL environments will be critical.</w:t>
      </w:r>
    </w:p>
    <w:p>
      <w:pPr>
        <w:pStyle w:val="DocBody"/>
      </w:pPr>
      <w:r>
        <w:rPr>
          <w:rFonts w:ascii="Times New Roman" w:hAnsi="Times New Roman" w:eastAsia="宋体"/>
          <w:sz w:val="24"/>
        </w:rPr>
        <w:t>PME curricula should address examples of specific deci­ sion-making challenges presented by edge systems in contested environments, including automation bias (the ten­ dency for humans to default to machine judgment), calibrated trust, and skill preservation. As a complement to unit-level trai­ ning, education can help calibrate expectations for AI-enabled decision systems as tools that can usefully increase operatio­ nal speed and lethality yet, nonetheless, have shortcomings to be managed. Overconfidence in edge AI systems carries risk, as excessive trust in AI outputs without knowledge of limi­ tations may result in operators failing to exercise human judg­ 38.</w:t>
      </w:r>
    </w:p>
    <w:p>
      <w:pPr>
        <w:pStyle w:val="DocBody"/>
      </w:pPr>
      <w:r>
        <w:rPr>
          <w:rFonts w:ascii="Times New Roman" w:hAnsi="Times New Roman" w:eastAsia="宋体"/>
          <w:sz w:val="24"/>
        </w:rPr>
        <w:t>Sarah Hauck, “U.S. Army Command and General Staff College leads AI Integration in Professional Military Education,” US Army, January 16, 2026, https://www.army.mil/article/290053/; “AI Bootcamp Readies Air Commandos,” Air Force Special Operations Command, April 3, 2026; and Brandi Vincent, “Naval Postgraduate School Offering New Accelerated Master’s Degree Program in AI,” DefenseScoop, December 22, 2025, https://defensescoop.com/2025/12/22/nps-ai-masters-degree-program-naval-postgra­ duate-school/.</w:t>
      </w:r>
    </w:p>
    <w:p>
      <w:pPr>
        <w:pStyle w:val="DocBody"/>
      </w:pPr>
      <w:r>
        <w:rPr>
          <w:rFonts w:ascii="Times New Roman" w:hAnsi="Times New Roman" w:eastAsia="宋体"/>
          <w:sz w:val="24"/>
        </w:rPr>
        <w:t>National Academies, T&amp;E Challenges; for more on out-of-distribution data and the limits of model robustness, see chapter 3 of T&amp;E Challenges, “Test and Evaluation of DAF AI-Enabled Systems,” https://nap.nationalacademies.org/read/27092/chapter/5.</w:t>
      </w:r>
    </w:p>
    <w:p>
      <w:pPr>
        <w:pStyle w:val="DocBody"/>
      </w:pPr>
      <w:r>
        <w:rPr>
          <w:rFonts w:ascii="Times New Roman" w:hAnsi="Times New Roman" w:eastAsia="宋体"/>
          <w:sz w:val="24"/>
        </w:rPr>
        <w:t>National Academies, T&amp;E Challenges; for more on human-systems integration and human-AI interaction under operational condi­ tions, see chapter 6 of that report and the report summary, https://nap.nationalacademies.org/read/27092/chapter/8 and https:// nap.nationalacademies.org/read/27092/chapter/2, respectively.</w:t>
      </w:r>
    </w:p>
    <w:p>
      <w:pPr>
        <w:pStyle w:val="DocBody"/>
      </w:pPr>
      <w:r>
        <w:rPr>
          <w:rFonts w:ascii="Times New Roman" w:hAnsi="Times New Roman" w:eastAsia="宋体"/>
          <w:sz w:val="24"/>
        </w:rPr>
        <w:t>Michael Wolf, “John Deere’s Robotic Tractor Is the Result of Years of Investment in AI-Powered Farming,” Spoon, April 10, 2023, https://thespoon.tech/john-deeres-robotic-tractor-is-the-result-of-years-of-investment-in-ai-powered-farming/#:~:text=Still%20 in%20the%20trial%20phase%2C%20early%20versions,describes%20as%20its%20%E2%80%9Cpaying%20test%20coopera­ tors.%E2%80%9D%20But.</w:t>
      </w:r>
    </w:p>
    <w:p>
      <w:pPr>
        <w:pStyle w:val="DocBody"/>
      </w:pPr>
      <w:r>
        <w:rPr>
          <w:rFonts w:ascii="Times New Roman" w:hAnsi="Times New Roman" w:eastAsia="宋体"/>
          <w:sz w:val="24"/>
        </w:rPr>
        <w:t>Katherine Lacey, “The Number of U.S. Farms Continues Slow Decline,” Chart, Economic Research Service, US Department of Agriculture, March 12, 2025, https://www.ers.usda.gov/data-products/chart-gallery/chart-detail?chartId=58268.</w:t>
      </w:r>
    </w:p>
    <w:p>
      <w:pPr>
        <w:pStyle w:val="DocBody"/>
      </w:pPr>
      <w:r>
        <w:rPr>
          <w:rFonts w:ascii="Times New Roman" w:hAnsi="Times New Roman" w:eastAsia="宋体"/>
          <w:sz w:val="24"/>
        </w:rPr>
        <w:t>John Deere, 2024 Business Impact Report, 2024, 5, https://www.deere.com/assets/pdfs/common/our-company/sustainability/bu­ siness-impact-report-2024.pdf; and “AutoTrac Vision 2.0.,” John Deere (website), n.d., https://www.deere.com/en/technology-pro­ ducts/precision-ag-technology/guidance/auto-trac-vision-2-0.</w:t>
      </w:r>
    </w:p>
    <w:p>
      <w:pPr>
        <w:pStyle w:val="DocBody"/>
      </w:pPr>
      <w:r>
        <w:rPr>
          <w:rFonts w:ascii="Times New Roman" w:hAnsi="Times New Roman" w:eastAsia="宋体"/>
          <w:sz w:val="24"/>
        </w:rPr>
        <w:t>Ashwing Telang, “Artificial Intelligence at John Deere,” Emerj Artificial Intelligence Research, October 13, 2025, https://emerj.com/ artificial-intelligence-at-john-deere/.</w:t>
      </w:r>
    </w:p>
    <w:p>
      <w:pPr>
        <w:pStyle w:val="DocBody"/>
      </w:pPr>
      <w:r>
        <w:rPr>
          <w:rFonts w:ascii="Times New Roman" w:hAnsi="Times New Roman" w:eastAsia="宋体"/>
          <w:sz w:val="24"/>
        </w:rPr>
        <w:t>ment when system performance is degraded near the point of failure. Beyond behavioral risks from human use, AI systems also present structural risks. AI systems operating outside their training distribution will not reliably signal their own uncer­ tainty, meaning operators must supply judgment the system itself cannot.39 Simultaneously, reflexive skepticism could lead operators to forgo valuable capabilities in mission planning.</w:t>
      </w:r>
    </w:p>
    <w:p>
      <w:pPr>
        <w:pStyle w:val="DocBody"/>
      </w:pPr>
      <w:r>
        <w:rPr>
          <w:rFonts w:ascii="Times New Roman" w:hAnsi="Times New Roman" w:eastAsia="宋体"/>
          <w:sz w:val="24"/>
        </w:rPr>
        <w:t>Furthermore, PME and training should complement growing AI literacy in the force with measures to help avoid skills decline or the elimination of key roles, should AI capabilities become degraded during contested operations. Avoiding skills decline must be a priority. Determining the propriety of AI solutions to certain operational challenges versus analog ones will be key, and gaps in determining this balance appear to be persistent.</w:t>
      </w:r>
    </w:p>
    <w:p>
      <w:pPr>
        <w:pStyle w:val="DocBody"/>
      </w:pPr>
      <w:r>
        <w:rPr>
          <w:rFonts w:ascii="Times New Roman" w:hAnsi="Times New Roman" w:eastAsia="宋体"/>
          <w:sz w:val="24"/>
        </w:rPr>
        <w:t>A 2023 National Academies review found that human-systems integration has not been prioritized in AI T&amp;E frameworks, and that human-AI interaction models do not yet account for the dynamic and stressful situations warfighters face.40 Private sector case studies: John Deere and Tesla When it comes to incorporating AI into real-world systems and building user confidence, the private sector offers examples for determining user intentions and responding to consumers’</w:t>
      </w:r>
    </w:p>
    <w:p>
      <w:pPr>
        <w:pStyle w:val="DocBody"/>
      </w:pPr>
      <w:r>
        <w:rPr>
          <w:rFonts w:ascii="Times New Roman" w:hAnsi="Times New Roman" w:eastAsia="宋体"/>
          <w:sz w:val="24"/>
        </w:rPr>
        <w:t>needs and wishes. John Deere and Tesla provide two exa­ mples for integrating user feedback and salient opportunities and risks for the DOD and services to consider.</w:t>
      </w:r>
    </w:p>
    <w:p>
      <w:pPr>
        <w:pStyle w:val="DocBody"/>
      </w:pPr>
      <w:r>
        <w:rPr>
          <w:rFonts w:ascii="Times New Roman" w:hAnsi="Times New Roman" w:eastAsia="宋体"/>
          <w:sz w:val="24"/>
        </w:rPr>
        <w:t>John Deere has integrated AI into a range of so-called preci­ sion farming capabilities (“precision ag”) at scale.41 In the past decade, the company acquired smaller technology firms to incorporate AI and autonomy into farming products and help mitigate pressing labor shortages.42 The company developed its StarFire guidance system and the AutoTrac Vision system to power autonomous tractors like the 9RX for crop yielding and the See and Spray Select™ for weed killing using computer vision.43 Company publications suggested that such precision ag systems could boost productivity by 15 percent and im­ prove the efficient use of fuel, herbicide, and fertilizer inputs.44 However, adoption of autonomous farm equipment was not a given, since system misperformance could harm crop yields and subsequent profits.</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ATLANTIC COUNCIL AI and autonomy in contested operations John Deere’s approach to calibrating user trust has relied on a supervised cooperator model. The company used combi­ nations of demos and paid test cooperators to validate its autonomous tractors’ performance through a real-time app, allowing farmers to view live video feeds, monitor system metrics, and adjust or pause operations with the goal of in­ corporating consumer feedback before releasing autono­ mous farming products broadly. It facilitated word-of-mouth adoption and diffusion across geographic locations as early adopters touted benefits to peers.45 User feedback enabled the company to understand areas for necessary improvement to complement its own testing at its research and develop­ ment center in Texas, where the company allows engineers and farmers to exchange insights.46 Through the company’s centralized John Deere Operations Center Mobile, it can no­ tify users of performance issues and machine health updates.</w:t>
      </w:r>
    </w:p>
    <w:p>
      <w:pPr>
        <w:pStyle w:val="DocBody"/>
      </w:pPr>
      <w:r>
        <w:rPr>
          <w:rFonts w:ascii="Times New Roman" w:hAnsi="Times New Roman" w:eastAsia="宋体"/>
          <w:sz w:val="24"/>
        </w:rPr>
        <w:t>While the number of deployed autonomous tractors appears to be limited and the rollout has been slow, the company’s “handholding” approach to product rollout is intended to en­ sure sufficient evaluation of system performance and build hu­ man trust.47 Company press releases and content have framed autonomy as augmentative to farm labor, not substitutional, to allay fears of human replacement by machines.48 Tesla’s approach to cultivating user trust and confidence differs. It can collect data from millions of vehicles across nu­ merous driving scenarios, helping the company to develop ro­ bust resources for more common driving scenarios and edge cases. This should in theory make the AI subcomponents that power Tesla automobiles’ self-driving performance able to handle unexpected circumstances encountered on the road.49 Tesla has spent in the low billions of dollars on research and 45.</w:t>
      </w:r>
    </w:p>
    <w:p>
      <w:pPr>
        <w:pStyle w:val="DocBody"/>
      </w:pPr>
      <w:r>
        <w:rPr>
          <w:rFonts w:ascii="Times New Roman" w:hAnsi="Times New Roman" w:eastAsia="宋体"/>
          <w:sz w:val="24"/>
        </w:rPr>
        <w:t>“How Deere Plans to Build a World of Fully Autonomous Farming by 2030,” CNBC, October 2, 2022, https://www.cnbc.</w:t>
      </w:r>
    </w:p>
    <w:p>
      <w:pPr>
        <w:pStyle w:val="DocBody"/>
      </w:pPr>
      <w:r>
        <w:rPr>
          <w:rFonts w:ascii="Times New Roman" w:hAnsi="Times New Roman" w:eastAsia="宋体"/>
          <w:sz w:val="24"/>
        </w:rPr>
        <w:t>com/2022/10/02/how-deere-plans-to-build-a-world-of-fully-autonomous-farming-by-2030.html.</w:t>
      </w:r>
    </w:p>
    <w:p>
      <w:pPr>
        <w:pStyle w:val="DocBody"/>
      </w:pPr>
      <w:r>
        <w:rPr>
          <w:rFonts w:ascii="Times New Roman" w:hAnsi="Times New Roman" w:eastAsia="宋体"/>
          <w:sz w:val="24"/>
        </w:rPr>
        <w:t>“Research &amp; Development Center,”</w:t>
      </w:r>
    </w:p>
    <w:p>
      <w:pPr>
        <w:pStyle w:val="DocBody"/>
      </w:pPr>
      <w:r>
        <w:rPr>
          <w:rFonts w:ascii="Times New Roman" w:hAnsi="Times New Roman" w:eastAsia="宋体"/>
          <w:sz w:val="24"/>
        </w:rPr>
        <w:t>John Deere, n.d., https://www.deere.com/en/stories/featured/research-dev-cen­ ter/#:~:text=It%20started%20with%20a%20laptop,Kyle%20Leinaar%2C%20test%20site%20manager.</w:t>
      </w:r>
    </w:p>
    <w:p>
      <w:pPr>
        <w:pStyle w:val="DocBody"/>
      </w:pPr>
      <w:r>
        <w:rPr>
          <w:rFonts w:ascii="Times New Roman" w:hAnsi="Times New Roman" w:eastAsia="宋体"/>
          <w:sz w:val="24"/>
        </w:rPr>
        <w:t>Richard Bishop, “Ag Autonomy Grows Ever Bigger With John Deere CES Announcements,” Forbes, January 16, 2025, https:// www.forbes.com/sites/richardbishop1/2025/01/16/ag-autonomy-grows-ever-bigger-with-john-deere-ces-announcements/;</w:t>
      </w:r>
    </w:p>
    <w:p>
      <w:pPr>
        <w:pStyle w:val="DocBody"/>
      </w:pPr>
      <w:r>
        <w:rPr>
          <w:rFonts w:ascii="Times New Roman" w:hAnsi="Times New Roman" w:eastAsia="宋体"/>
          <w:sz w:val="24"/>
        </w:rPr>
        <w:t>and Bob Woods, “How Deere Plans to Build a World of Fully Autonomous Farming by 2030,” CNBC, updated October 4, 2022, https:// www.cnbc.com/2022/10/02/how-deere-plans-to-build-a-world-of-fully-autonomous-farming-by-2030.html.</w:t>
      </w:r>
    </w:p>
    <w:p>
      <w:pPr>
        <w:pStyle w:val="DocBody"/>
      </w:pPr>
      <w:r>
        <w:rPr>
          <w:rFonts w:ascii="Times New Roman" w:hAnsi="Times New Roman" w:eastAsia="宋体"/>
          <w:sz w:val="24"/>
        </w:rPr>
        <w:t>John Deere, “John Deere 8R Autonomous Tractor,” via Furrow, March 2025, https://thefurrow.co.uk/john-deere-8r-autono­ mous-tractor/.</w:t>
      </w:r>
    </w:p>
    <w:p>
      <w:pPr>
        <w:pStyle w:val="DocBody"/>
      </w:pPr>
      <w:r>
        <w:rPr>
          <w:rFonts w:ascii="Times New Roman" w:hAnsi="Times New Roman" w:eastAsia="宋体"/>
          <w:sz w:val="24"/>
        </w:rPr>
        <w:t>“Full Self-Driving (Supervised),” Tesla, n.d., https://www.tesla.com/fsd.</w:t>
      </w:r>
    </w:p>
    <w:p>
      <w:pPr>
        <w:pStyle w:val="DocBody"/>
      </w:pPr>
      <w:r>
        <w:rPr>
          <w:rFonts w:ascii="Times New Roman" w:hAnsi="Times New Roman" w:eastAsia="宋体"/>
          <w:sz w:val="24"/>
        </w:rPr>
        <w:t>“Tesla Research and Development Expenses 2010–2025,” Macrotrends, https://www.macrotrends.net/stocks/charts/TSLA/tesla/ research-development-expenses.</w:t>
      </w:r>
    </w:p>
    <w:p>
      <w:pPr>
        <w:pStyle w:val="DocBody"/>
      </w:pPr>
      <w:r>
        <w:rPr>
          <w:rFonts w:ascii="Times New Roman" w:hAnsi="Times New Roman" w:eastAsia="宋体"/>
          <w:sz w:val="24"/>
        </w:rPr>
        <w:t>“Full Self-Driving (Supervised),” Tesla.</w:t>
      </w:r>
    </w:p>
    <w:p>
      <w:pPr>
        <w:pStyle w:val="DocBody"/>
      </w:pPr>
      <w:r>
        <w:rPr>
          <w:rFonts w:ascii="Times New Roman" w:hAnsi="Times New Roman" w:eastAsia="宋体"/>
          <w:sz w:val="24"/>
        </w:rPr>
        <w:t>Sina Nordhoff, “Drivers’ Reflections on Their Use of Partial Driving Automation, Trust, and Perceived Safety,” Transportation Research Part F: Traffic Psychology and Behaviour 107 (2024): 1105–1124, https://www.sciencedirect.com/science/article/pii/ S1369847824002729.</w:t>
      </w:r>
    </w:p>
    <w:p>
      <w:pPr>
        <w:pStyle w:val="DocBody"/>
      </w:pPr>
      <w:r>
        <w:rPr>
          <w:rFonts w:ascii="Times New Roman" w:hAnsi="Times New Roman" w:eastAsia="宋体"/>
          <w:sz w:val="24"/>
        </w:rPr>
        <w:t>Brad Templeton, “Tesla Finally Releases FSD Crash Data That Appears More Honest,” Forbes, November 14, 2025, https://www.</w:t>
      </w:r>
    </w:p>
    <w:p>
      <w:pPr>
        <w:pStyle w:val="DocBody"/>
      </w:pPr>
      <w:r>
        <w:rPr>
          <w:rFonts w:ascii="Times New Roman" w:hAnsi="Times New Roman" w:eastAsia="宋体"/>
          <w:sz w:val="24"/>
        </w:rPr>
        <w:t>forbes.com/sites/bradtempleton/2025/11/14/tesla-finally-releases-fsd-crash-data-that-appears-more-honest/.</w:t>
      </w:r>
    </w:p>
    <w:p>
      <w:pPr>
        <w:pStyle w:val="DocBody"/>
      </w:pPr>
      <w:r>
        <w:rPr>
          <w:rFonts w:ascii="Times New Roman" w:hAnsi="Times New Roman" w:eastAsia="宋体"/>
          <w:sz w:val="24"/>
        </w:rPr>
        <w:t>“Part 573 Safety Recall Report 23V-838,” National Highway Traffic Safety Administration, December 12, 2023, https://static.nhtsa.</w:t>
      </w:r>
    </w:p>
    <w:p>
      <w:pPr>
        <w:pStyle w:val="DocBody"/>
      </w:pPr>
      <w:r>
        <w:rPr>
          <w:rFonts w:ascii="Times New Roman" w:hAnsi="Times New Roman" w:eastAsia="宋体"/>
          <w:sz w:val="24"/>
        </w:rPr>
        <w:t>gov/odi/rcl/2023/RCLRPT-23V838-8276.PDF.</w:t>
      </w:r>
    </w:p>
    <w:p>
      <w:pPr>
        <w:pStyle w:val="DocBody"/>
      </w:pPr>
      <w:r>
        <w:rPr>
          <w:rFonts w:ascii="Times New Roman" w:hAnsi="Times New Roman" w:eastAsia="宋体"/>
          <w:sz w:val="24"/>
        </w:rPr>
        <w:t>Kirsten Korosec, “Tesla Has Activated Its In-Car Camera to Monitor Drivers Using Autopilot,” TechCrunch, May 27, 2021, https:// techcrunch.com/2021/05/27/tesla-has-activated-its-in-car-camera-to-monitor-drivers-using-autopilot/.</w:t>
      </w:r>
    </w:p>
    <w:p>
      <w:pPr>
        <w:pStyle w:val="DocBody"/>
      </w:pPr>
      <w:r>
        <w:rPr>
          <w:rFonts w:ascii="Times New Roman" w:hAnsi="Times New Roman" w:eastAsia="宋体"/>
          <w:sz w:val="24"/>
        </w:rPr>
        <w:t>development in roughly the last two years to improve its fleet’s AI capabilities and to develop compute infrastructure.50 However, the company’s approach to rolling out its AI-enabled “full self-driving” (FSD) mode—one of Tesla’s driver-assistance systems—appears to have had mixed results when it comes to building driver trust in the system. FSD began with a beta rollout that pushed updates directly to users’ vehicles. FSD, which is a human-supervised system and advertised as “re­ quiring minimal intervention,” incorporates automated steering useful for urban environments, accounting for frequent turns, stop signs, pedestrians, and other obstacles.51 Tesla’s vast cus­ tomer fleet positioned it strongly to collect and use data to make model improvements, but an academic study of Tesla drivers from 2024 comparing user trust in the less-sophisti­ cated “autopilot” mode and FSD beta features found that 93 percent of participants reported trust in autopilot, while only 42 percent reported trusting FSD and 36 percent did not trust it.52 Crash data released by Tesla suggests that FSD mode with human supervision is nearly twice as safe compared to full-hu­ man driver performance in North America (though statistics on this data may have significant limitations for one-to-one com­ parisons, and metrics are provided by the company).53 Howe­ ver, human complacency in self-driving modes led the Natio­ nal Highway Traffic Safety Administration (NHTSA) to compel a recall of more than two million Tesla vehicles following an over-the-air update to autopilot mode that the NHTSA viewed as creating driver disengagement risk.54 This led Tesla to in­ corporate driver-oriented cameras in vehicles to deter driver passivity.55</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AI and autonomy in contested operations ATLANTIC COUNCIL Tesla and John Deere present useful analogs for military tech­ nology developers and adopters. John Deere’s emphasis on cultivating user trust and integrating new technological capa­ bilities into legacy systems may be especially relevant. The company has also embraced a Startup Collaborator program with smaller precision ag companies that is roughly similar to Other Transaction Authorities-based prototype work in the defense industry. Iterative development and user participa­ tion before full rollout appear to have built confidence with target consumers and facilitated adoption. Tesla’s ability to swiftly propagate updates throughout its fleet is notable for the goals of creating a seamless user-update experience and ensuring its AI-enabled systems are operating at the cutting edge. However, it also highlights the challenge of automation bias relevant for military users.</w:t>
      </w:r>
    </w:p>
    <w:p>
      <w:pPr>
        <w:pStyle w:val="DocBody"/>
      </w:pPr>
      <w:r>
        <w:rPr>
          <w:rFonts w:ascii="Times New Roman" w:hAnsi="Times New Roman" w:eastAsia="宋体"/>
          <w:sz w:val="24"/>
        </w:rPr>
        <w:t>These examples’ limitations for military contexts are also im­ portant. John Deere and Tesla’s systems operate in compa­ ratively pristine environments where intentional adversarial challenges are atypical. The pacing considerations in these environments are market pressures, not strategic and military competition pressures, and both companies arguably enjoy advantages in terms of first movement and scale. Further­ more, while the stakes in terms of human lives and well-being in these use cases are not insignificant, broadly speaking they are lower than in combat environments. “Handholding” rollout models like Deere’s for edge AI in deployed environments would almost certainly entail risks to embedded developers.</w:t>
      </w:r>
    </w:p>
    <w:p>
      <w:pPr>
        <w:pStyle w:val="DocBody"/>
      </w:pPr>
      <w:r>
        <w:rPr>
          <w:rFonts w:ascii="Times New Roman" w:hAnsi="Times New Roman" w:eastAsia="宋体"/>
          <w:sz w:val="24"/>
        </w:rPr>
        <w:t>Nonetheless, both cases show how providing hands-on lear­ ning for edge users, iteratively incorporating feedback, and building confidence through adoption can provide value.</w:t>
      </w:r>
    </w:p>
    <w:p>
      <w:pPr>
        <w:pStyle w:val="DocBody"/>
      </w:pPr>
      <w:r>
        <w:rPr>
          <w:rFonts w:ascii="Times New Roman" w:hAnsi="Times New Roman" w:eastAsia="宋体"/>
          <w:sz w:val="24"/>
        </w:rPr>
        <w:t>Conclusion and future considerations Many of the benefits of AI-enabled systems ultimately turn on human decisions: when to judge a system operationally ready, when to deploy it in contested conditions, when to trust or question its outputs, and where to set the bounds of accep­ table use in line with strategic priorities and under the laws of war and rules of engagement. Realizing AI’s advantages in DDIL environments will depend not only on technological solutions but also on whether human roles, processes, and structures can adapt accordingly.</w:t>
      </w:r>
    </w:p>
    <w:p>
      <w:pPr>
        <w:pStyle w:val="DocBody"/>
      </w:pPr>
      <w:r>
        <w:rPr>
          <w:rFonts w:ascii="Times New Roman" w:hAnsi="Times New Roman" w:eastAsia="宋体"/>
          <w:sz w:val="24"/>
        </w:rPr>
        <w:t>The necessity for adaptation for DDIL conditions extends beyond the tactical level. The DDIL challenges identified in this report, like degraded communications, model drift, and cognitive overload, require broader engagement from the ser­ vices to be addressed effectively. The services have an impor­ tant role to play in setting acquisition and testing standards, owning baseline model data, and developing doctrine, PME, and training; leaders in combatant commands must be aware of any advanced models or AI-enabled capabilities deployed within their area of operations. Preparing for AI-enabled ope­ rations in contested environments therefore requires service- and operational-level process and even doctrinal changes away from the edge.</w:t>
      </w:r>
    </w:p>
    <w:p>
      <w:pPr>
        <w:pStyle w:val="DocBody"/>
      </w:pPr>
      <w:r>
        <w:rPr>
          <w:rFonts w:ascii="Times New Roman" w:hAnsi="Times New Roman" w:eastAsia="宋体"/>
          <w:sz w:val="24"/>
        </w:rPr>
        <w:t>Across DOD initiatives, technical goals and policy have largely outpaced the integration work needed to cultivate fielded ca­ pabilities. DDIL environments will threaten or even eliminate the connectivity that lets operators and commanders mitigate integration shortfalls in more permissive conditions. As the US military confronts the high likelihood that future fights will unfold under DDIL conditions, the steps outlined in this report to facilitate effective AI adoption at the edge are summarized as follows:</w:t>
      </w:r>
    </w:p>
    <w:p>
      <w:pPr>
        <w:pStyle w:val="DocBody"/>
      </w:pPr>
      <w:r>
        <w:rPr>
          <w:rFonts w:ascii="Times New Roman" w:hAnsi="Times New Roman" w:eastAsia="宋体"/>
          <w:sz w:val="24"/>
        </w:rPr>
        <w:t>Delineating authorities (national authorities, services, com­ batant commands)</w:t>
      </w:r>
    </w:p>
    <w:p>
      <w:pPr>
        <w:pStyle w:val="DocBody"/>
      </w:pPr>
      <w:r>
        <w:rPr>
          <w:rFonts w:ascii="Times New Roman" w:hAnsi="Times New Roman" w:eastAsia="宋体"/>
          <w:sz w:val="24"/>
        </w:rPr>
        <w:t>y Map authorities across the AI life cycle (e.g., data gover­ nance, model updates, deployment, repatriation) and specify in advance which echelon holds each; consider clear Rickover-style models for security-related autho­ rities.</w:t>
      </w:r>
    </w:p>
    <w:p>
      <w:pPr>
        <w:pStyle w:val="DocBody"/>
      </w:pPr>
      <w:r>
        <w:rPr>
          <w:rFonts w:ascii="Times New Roman" w:hAnsi="Times New Roman" w:eastAsia="宋体"/>
          <w:sz w:val="24"/>
        </w:rPr>
        <w:t>y Set explicit model-update and retraining timelines for peacetime and wartime (e.g., two to four weeks in pea­ cetime, twenty-four to forty-eight hours in conflict), with updates executed where security can be verified.</w:t>
      </w:r>
    </w:p>
    <w:p>
      <w:pPr>
        <w:pStyle w:val="DocBody"/>
      </w:pPr>
      <w:r>
        <w:rPr>
          <w:rFonts w:ascii="Times New Roman" w:hAnsi="Times New Roman" w:eastAsia="宋体"/>
          <w:sz w:val="24"/>
        </w:rPr>
        <w:t>Iterative development (services and acquisition bodies)</w:t>
      </w:r>
    </w:p>
    <w:p>
      <w:pPr>
        <w:pStyle w:val="DocBody"/>
      </w:pPr>
      <w:r>
        <w:rPr>
          <w:rFonts w:ascii="Times New Roman" w:hAnsi="Times New Roman" w:eastAsia="宋体"/>
          <w:sz w:val="24"/>
        </w:rPr>
        <w:t>y Tie iterative development to doctrine, training, and TTP updates, not just capability refinement, and make contested-environment conditions explicit require­ ments in demonstrations and sprints.</w:t>
      </w:r>
    </w:p>
    <w:p>
      <w:pPr>
        <w:pStyle w:val="DocBody"/>
      </w:pPr>
      <w:r>
        <w:rPr>
          <w:rFonts w:ascii="Times New Roman" w:hAnsi="Times New Roman" w:eastAsia="宋体"/>
          <w:sz w:val="24"/>
        </w:rPr>
        <w:t>y Expand embedded, user-facing development models such as Thunderforge, and develop contracting mecha­ nisms that allow contractor support closer to deployed units, including in wartime.</w:t>
      </w:r>
    </w:p>
    <w:p>
      <w:pPr>
        <w:pStyle w:val="DocBody"/>
      </w:pPr>
      <w:r>
        <w:rPr>
          <w:rFonts w:ascii="Times New Roman" w:hAnsi="Times New Roman" w:eastAsia="宋体"/>
          <w:sz w:val="24"/>
        </w:rPr>
        <w:t>Testing and experimentation (services, operational test com­ munity)</w:t>
      </w:r>
    </w:p>
    <w:p>
      <w:pPr>
        <w:pStyle w:val="DocBody"/>
      </w:pPr>
      <w:r>
        <w:rPr>
          <w:rFonts w:ascii="Times New Roman" w:hAnsi="Times New Roman" w:eastAsia="宋体"/>
          <w:sz w:val="24"/>
        </w:rPr>
        <w:t>y Adopt life cycle TEVV built around the four pillars and resource it in service budgets, both before and after deployment.</w:t>
      </w:r>
    </w:p>
    <w:p>
      <w:pPr>
        <w:pStyle w:val="DocBody"/>
      </w:pPr>
      <w:r>
        <w:rPr>
          <w:rFonts w:ascii="Times New Roman" w:hAnsi="Times New Roman" w:eastAsia="宋体"/>
          <w:sz w:val="24"/>
        </w:rPr>
        <w:t>y Incorporate robust red-teaming of AI applications in­ tended for use in DDIL conditions.</w:t>
      </w:r>
    </w:p>
    <w:p>
      <w:pPr>
        <w:pStyle w:val="DocBody"/>
      </w:pPr>
      <w:r>
        <w:rPr>
          <w:rFonts w:ascii="Times New Roman" w:hAnsi="Times New Roman" w:eastAsia="宋体"/>
          <w:sz w:val="24"/>
        </w:rPr>
        <w:t>y Consider operational-tester billets closer to the edge for AI-specific roles, such as testing and evaluating de­ ployed models set to be used in new contexts.</w:t>
      </w:r>
    </w:p>
    <w:p>
      <w:pPr>
        <w:pStyle w:val="DocBody"/>
      </w:pPr>
      <w:r>
        <w:rPr>
          <w:rFonts w:ascii="Times New Roman" w:hAnsi="Times New Roman" w:eastAsia="宋体"/>
          <w:sz w:val="24"/>
        </w:rPr>
        <w:t>y Explore how operational research teams can enable rapid, effective testing and model adjustments at the edge in the event of a conflict.</w:t>
      </w:r>
    </w:p>
    <w:p>
      <w:pPr>
        <w:pStyle w:val="DocBody"/>
      </w:pPr>
      <w:r>
        <w:rPr>
          <w:rFonts w:ascii="Times New Roman" w:hAnsi="Times New Roman" w:eastAsia="宋体"/>
          <w:sz w:val="24"/>
        </w:rPr>
        <w:t>y Experiment at scale under simulated denied conditions, using synthetic data and LVCT environments such as Project Tripoli to surface human-machine integration concerns and critical mission considerations for users.</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ATLANTIC COUNCIL AI and autonomy in contested operations PME and training (services, PME institutions)</w:t>
      </w:r>
    </w:p>
    <w:p>
      <w:pPr>
        <w:pStyle w:val="DocBody"/>
      </w:pPr>
      <w:r>
        <w:rPr>
          <w:rFonts w:ascii="Times New Roman" w:hAnsi="Times New Roman" w:eastAsia="宋体"/>
          <w:sz w:val="24"/>
        </w:rPr>
        <w:t>y Services and PME institutions need to build DDIL-rele­ vant curricula addressing automation bias, calibrated trust, and skill preservation.</w:t>
      </w:r>
    </w:p>
    <w:p>
      <w:pPr>
        <w:pStyle w:val="DocBody"/>
      </w:pPr>
      <w:r>
        <w:rPr>
          <w:rFonts w:ascii="Times New Roman" w:hAnsi="Times New Roman" w:eastAsia="宋体"/>
          <w:sz w:val="24"/>
        </w:rPr>
        <w:t>y PME should complement hands-on, unit-level training.</w:t>
      </w:r>
    </w:p>
    <w:p>
      <w:pPr>
        <w:pStyle w:val="DocBody"/>
      </w:pPr>
      <w:r>
        <w:rPr>
          <w:rFonts w:ascii="Times New Roman" w:hAnsi="Times New Roman" w:eastAsia="宋体"/>
          <w:sz w:val="24"/>
        </w:rPr>
        <w:t>Finally, several issues fall beyond this paper’s scope but war­ rant attention. Continued progress on model compression, quantization, and faster retraining will be central to what edge AI can realistically do under size, weight, and power constraints. While this paper has focused on protecting US capabilities, the United States is not the only power pursuing AI-enabled information dominance. Complementary work should examine how US forces can impose reciprocal DDIL conditions and costs on adversary systems through data de­ nial, vulnerability exploitation, and the disruption of edge per­ formance in contested spaces.</w:t>
      </w:r>
    </w:p>
    <w:p>
      <w:pPr>
        <w:pStyle w:val="DocBody"/>
      </w:pPr>
      <w:r>
        <w:rPr>
          <w:rFonts w:ascii="Times New Roman" w:hAnsi="Times New Roman" w:eastAsia="宋体"/>
          <w:sz w:val="24"/>
        </w:rPr>
        <w:t>Regardless of the pace of technical progress, the human ele­ ment highlighted in this paper will remain central. Most effec­ tively capitalizing on AI capabilities requires human judgment, organizational structure, and doctrine to adapt at pace.</w:t>
      </w:r>
    </w:p>
    <w:p>
      <w:pPr>
        <w:pStyle w:val="DocBody"/>
      </w:pPr>
      <w:r>
        <w:rPr>
          <w:rFonts w:ascii="Times New Roman" w:hAnsi="Times New Roman" w:eastAsia="宋体"/>
          <w:sz w:val="24"/>
        </w:rPr>
        <w:t>About the author Owen J. Daniels is a nonresident senior fellow in the Forward Defense program of the Atlantic Council’s Scowcroft Center for Strategy and Security. His upcoming book, AI and the Future of War, will be available from Polity Press in early 2027. Daniels is also the associate director of analysis and Andrew W. Marshall fellow at Georgetown’s Center for Security and Emerging Technology. Previously, he worked in the Joint Advanced Warfighting Division at the Institute for Defense Analyses, where he researched issues including the ethical implications of AI and autonomy, autonomous weapons norms, and joint operational concepts. He has also worked as an associate director in the Atlantic Council’s Scowcroft Center for Strategy and Security and as a defense researcher at Aviation Week. He attended Princeton University, where he majored in international relations with minors in Arabic and Near Eastern studies. He has a master’s in public policy from Georgetown University’s McCourt School of Public Policy.</w:t>
      </w:r>
    </w:p>
    <w:p>
      <w:pPr>
        <w:pStyle w:val="DocBody"/>
      </w:pPr>
      <w:r>
        <w:rPr>
          <w:rFonts w:ascii="Times New Roman" w:hAnsi="Times New Roman" w:eastAsia="宋体"/>
          <w:sz w:val="24"/>
        </w:rPr>
        <w:t>Acknowledgments The author thanks project advisers James Cartwright, retired Marine Corps general, Jack Shanahan, retired Air Force lieutenant general, and Douglas Small, retired Navy rear admiral, as well as all of those who participated in consultations to contribute to this report and its recommendations.</w:t>
      </w:r>
    </w:p>
    <w:p>
      <w:pPr>
        <w:pStyle w:val="DocBody"/>
      </w:pPr>
      <w:r>
        <w:rPr>
          <w:rFonts w:ascii="Times New Roman" w:hAnsi="Times New Roman" w:eastAsia="宋体"/>
          <w:sz w:val="24"/>
        </w:rPr>
        <w:t>The Atlantic Council is grateful to Leidos, Primer AI, Latent AI, and Edge Case for their support of this report. This report was written and published in accordance with the Atlantic Council’s policy on intellectual independence, which requires all donors to agree to the council maintaining independent control of the content and conclusions of its work. The author is solely responsible for its analysis and recommendations.</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Atlantic Council Board of Directors *Executive Committee Members</w:t>
      </w:r>
    </w:p>
    <w:p>
      <w:pPr>
        <w:pStyle w:val="DocBody"/>
      </w:pPr>
      <w:r>
        <w:rPr>
          <w:rFonts w:ascii="Times New Roman" w:hAnsi="Times New Roman" w:eastAsia="宋体"/>
          <w:sz w:val="24"/>
        </w:rPr>
        <w:t>List as of July 1,  2026</w:t>
      </w:r>
    </w:p>
    <w:p>
      <w:pPr>
        <w:pStyle w:val="DocBody"/>
      </w:pPr>
      <w:r>
        <w:rPr>
          <w:rFonts w:ascii="Times New Roman" w:hAnsi="Times New Roman" w:eastAsia="宋体"/>
          <w:sz w:val="24"/>
        </w:rPr>
        <w:t>CHAIRMAN *John F.W. Rogers</w:t>
      </w:r>
    </w:p>
    <w:p>
      <w:pPr>
        <w:pStyle w:val="DocBody"/>
      </w:pPr>
      <w:r>
        <w:rPr>
          <w:rFonts w:ascii="Times New Roman" w:hAnsi="Times New Roman" w:eastAsia="宋体"/>
          <w:sz w:val="24"/>
        </w:rPr>
        <w:t>EXECUTIVE CHAIRMAN EMERITUS *James L. Jones</w:t>
      </w:r>
    </w:p>
    <w:p>
      <w:pPr>
        <w:pStyle w:val="DocBody"/>
      </w:pPr>
      <w:r>
        <w:rPr>
          <w:rFonts w:ascii="Times New Roman" w:hAnsi="Times New Roman" w:eastAsia="宋体"/>
          <w:sz w:val="24"/>
        </w:rPr>
        <w:t>PRESIDENT AND CEO *Frederick Kempe</w:t>
      </w:r>
    </w:p>
    <w:p>
      <w:pPr>
        <w:pStyle w:val="DocBody"/>
      </w:pPr>
      <w:r>
        <w:rPr>
          <w:rFonts w:ascii="Times New Roman" w:hAnsi="Times New Roman" w:eastAsia="宋体"/>
          <w:sz w:val="24"/>
        </w:rPr>
        <w:t>EXECUTIVE VICE CHAIRS *Adrienne Arsht *Stephen J. Hadley</w:t>
      </w:r>
    </w:p>
    <w:p>
      <w:pPr>
        <w:pStyle w:val="DocBody"/>
      </w:pPr>
      <w:r>
        <w:rPr>
          <w:rFonts w:ascii="Times New Roman" w:hAnsi="Times New Roman" w:eastAsia="宋体"/>
          <w:sz w:val="24"/>
        </w:rPr>
        <w:t>VICE CHAIRS *Robert J. Abernethy *Alexander V. Mirtchev</w:t>
      </w:r>
    </w:p>
    <w:p>
      <w:pPr>
        <w:pStyle w:val="DocBody"/>
      </w:pPr>
      <w:r>
        <w:rPr>
          <w:rFonts w:ascii="Times New Roman" w:hAnsi="Times New Roman" w:eastAsia="宋体"/>
          <w:sz w:val="24"/>
        </w:rPr>
        <w:t>TREASURER *George Lund</w:t>
      </w:r>
    </w:p>
    <w:p>
      <w:pPr>
        <w:pStyle w:val="DocBody"/>
      </w:pPr>
      <w:r>
        <w:rPr>
          <w:rFonts w:ascii="Times New Roman" w:hAnsi="Times New Roman" w:eastAsia="宋体"/>
          <w:sz w:val="24"/>
        </w:rPr>
        <w:t>DIRECTORS Stephen Achilles Elliot Ackerman *Gina F. Adams Timothy D. Adams *Michael Andersson Ilker Baburoglu Alain Bejjani Colleen Bell Peter J. Beshar *Karan Bhatia Stephen Biegun Linden P. Blue Brad Bondi John Bonsell Philip M. Breedlove R. Nicholas Burns Kurt M. Campbell David L. Caplan Samantha A. Carl-Yoder *Teresa Carlson *James E. Cartwright Christopher Cavoli John E. Chapoton Ahmed Charai Melanie Chen Michael Chertoff George Chopivsky Wesley K. Clark Kellyanne Conway *Helima Croft Ankit N. Desai *Lawrence Di Rita Dante A. Disparte Denelle Dixon *Paula J. Dobriansky Joseph F. Dunford, Jr.</w:t>
      </w:r>
    </w:p>
    <w:p>
      <w:pPr>
        <w:pStyle w:val="DocBody"/>
      </w:pPr>
      <w:r>
        <w:rPr>
          <w:rFonts w:ascii="Times New Roman" w:hAnsi="Times New Roman" w:eastAsia="宋体"/>
          <w:sz w:val="24"/>
        </w:rPr>
        <w:t>Joseph Durso Richard Edelman Stuart E. Eizenstat Mark T. Esper Christopher W.K. Fetzer *Michael Fisch Alan H. Fleischmann Jendayi E. Frazer *Meg Gentle Thomas H. Glocer John B. Goodman Sherri W. Goodman William E. Grayson Marcel Grisnigt Jarosław Grzesiak Murathan Günal Michael V. Hayden *Robin Hayes Tim Holt *Karl V. Hopkins Kay Bailey Hutchison Ian Ihnatowycz Keoki Jackson Deborah Lee James *Joia M. Johnson *Safi Kalo Karen Karniol-Tambour *Andre Kelleners John E. Klein Ratko Knežević C. Jeffrey Knittel Joseph Konzelmann Keith J. Krach Franklin D. Kramer Laura Lane Almar Latour Yann Le Pallec Diane Leopold Andrew J.P. Levy Jan M. Lodal Douglas Lute Jane Holl Lute Mark Machin Marco Margheri Michael Margolis Chris Marlin William Marron Roger R. Martella Jr.</w:t>
      </w:r>
    </w:p>
    <w:p>
      <w:pPr>
        <w:pStyle w:val="DocBody"/>
      </w:pPr>
      <w:r>
        <w:rPr>
          <w:rFonts w:ascii="Times New Roman" w:hAnsi="Times New Roman" w:eastAsia="宋体"/>
          <w:sz w:val="24"/>
        </w:rPr>
        <w:t>Judith A. Miller Dariusz Mioduski Richard Morningstar Georgette Mosbacher Majida Mourad Mary Claire Murphy Scott Nathan *Julia Nesheiwat Edward J. Newberry Franco Nuschese Robert O’Brien *Ahmet M. Ören Ana I. Palacio *Kostas Pantazopoulos David H. Petraeus Elizabeth Frost Pierson Radu Pițurlea *Lisa Pollina Daniel B. Poneman Robert Portman Dina H. Powell dddMcCormick Michael Punke Ashraf Qazi Laura J. Richardson *Gary Rieschel Charles O. Rossotti Harry Sachinis C. Michael Scaparrotti *Ivan A. Schlager Rajiv Shah Wendy R. Sherman Gregg Sherrill Kris Singh Varun Sivaram Walter Slocombe Christopher Smith Clifford M. Sobel Michael S. Steele Richard J.A. Steele Mary Streett Nader Tavakoli *Frances F. Townsend Melanne Verveer Kemba Walden Michael F. Walsh *Peter Weinberg Ronald Weiser *Al Williams Ben Wilson Maciej Witucki Neal S. Wolin Tod D. Wolters Jenny Wood Alan Yang Guang Yang Mary C. Yates Dov S. Zakheim HONORARY DIRECTORS James A. Baker, III Robert M. Gates James N. Mattis Michael G. Mullen Leon E. Panetta William J. Perry Condoleezza Rice Horst Teltschik</w:t>
      </w:r>
    </w:p>
    <w:p>
      <w:pPr>
        <w:spacing w:line="240" w:lineRule="auto"/>
        <w:jc w:val="center"/>
      </w:pPr>
      <w:r>
        <w:rPr>
          <w:rFonts w:ascii="Times New Roman" w:hAnsi="Times New Roman" w:eastAsia="宋体"/>
          <w:color w:val="595959"/>
          <w:sz w:val="21"/>
        </w:rPr>
        <w:t>— · —</w:t>
      </w:r>
    </w:p>
    <w:p>
      <w:pPr>
        <w:pStyle w:val="DocBody"/>
      </w:pPr>
      <w:r>
        <w:rPr>
          <w:rFonts w:ascii="Times New Roman" w:hAnsi="Times New Roman" w:eastAsia="宋体"/>
          <w:sz w:val="24"/>
        </w:rPr>
        <w:t>The Atlantic Council is a nonpartisan organization that ­promotes constructive US leadership and engagement in ­international ­affairs based on the central role of the Atlantic community in ­meeting today’s global ­challenges.</w:t>
      </w:r>
    </w:p>
    <w:p>
      <w:pPr>
        <w:pStyle w:val="DocBody"/>
      </w:pPr>
      <w:r>
        <w:rPr>
          <w:rFonts w:ascii="Times New Roman" w:hAnsi="Times New Roman" w:eastAsia="宋体"/>
          <w:sz w:val="24"/>
        </w:rPr>
        <w:t>ved. No part of this publication may be reproduced or transmitted in any form or by any means without permission in writing from the Atlantic Council, except in the case of brief quotations in news articles, critical articles, or reviews. Please direct inquiries to:</w:t>
      </w:r>
    </w:p>
    <w:p>
      <w:pPr>
        <w:pStyle w:val="DocBody"/>
      </w:pPr>
      <w:r>
        <w:rPr>
          <w:rFonts w:ascii="Times New Roman" w:hAnsi="Times New Roman" w:eastAsia="宋体"/>
          <w:sz w:val="24"/>
        </w:rPr>
        <w:t>Atlantic Council 1400 L Street NW, 11th Floor Washington, DC 20005 (202) 463-7226 www. AtlanticCouncil.org</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B001-054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atlanticcouncil.org/in-depth-research-reports/report/ai-and-autonomy-in-contested-oper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and autonomy in contested operations</dc:title>
  <dc:subject/>
  <dc:creator>briefing-article-kb</dc:creator>
  <cp:keywords/>
  <dc:description>https://www.atlanticcouncil.org/in-depth-research-reports/report/ai-and-autonomy-in-contested-operations/</dc:description>
  <cp:lastModifiedBy/>
  <cp:revision>1</cp:revision>
  <dcterms:created xsi:type="dcterms:W3CDTF">2013-12-23T23:15:00Z</dcterms:created>
  <dcterms:modified xsi:type="dcterms:W3CDTF">2013-12-23T23:15:00Z</dcterms:modified>
  <cp:category/>
</cp:coreProperties>
</file>