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B002-013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Large Models for Battery Prognostics and Health Management: A Review and Future Roadmap</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https://arxiv.org/abs/2608.26111</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B002-013-Arxiv - computer science ai -large-models-for-battery-prognostics-and-health-202608.md</w:t>
            </w:r>
          </w:p>
        </w:tc>
      </w:tr>
    </w:tbl>
    <w:p/>
    <w:p>
      <w:pPr>
        <w:pStyle w:val="DocTitle"/>
      </w:pPr>
      <w:r>
        <w:t>Large Models for Battery Prognostics and Health Management: A Review and Future Roadmap</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arXiv:2608.26111</w:t>
      </w:r>
      <w:r>
        <w:rPr>
          <w:rFonts w:ascii="Times New Roman" w:hAnsi="Times New Roman" w:eastAsia="宋体"/>
          <w:sz w:val="24"/>
        </w:rPr>
        <w:t xml:space="preserve"> (cs)</w:t>
      </w:r>
    </w:p>
    <w:p>
      <w:pPr>
        <w:pStyle w:val="DocBody"/>
      </w:pPr>
      <w:r>
        <w:rPr>
          <w:rFonts w:ascii="Times New Roman" w:hAnsi="Times New Roman" w:eastAsia="宋体"/>
          <w:sz w:val="24"/>
        </w:rPr>
        <w:t>[Submitted on 27 May 2026]</w:t>
      </w:r>
    </w:p>
    <w:p>
      <w:pPr>
        <w:pStyle w:val="DocH1"/>
      </w:pPr>
      <w:r>
        <w:rPr>
          <w:rFonts w:ascii="Times New Roman" w:hAnsi="Times New Roman" w:eastAsia="宋体"/>
          <w:sz w:val="24"/>
        </w:rPr>
        <w:t>Title:Large Models for Battery Prognostics and Health Management: A Review and Future Roadmap</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Jiale Liu</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Huan Wang</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Weicheng Wang</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Rong Zhu</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Qiqi Wang</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Min Xie</w:t>
        </w:r>
      </w:hyperlink>
    </w:p>
    <w:p>
      <w:pPr>
        <w:pStyle w:val="DocBody"/>
      </w:pPr>
      <w:r>
        <w:rPr>
          <w:rFonts w:ascii="Times New Roman" w:hAnsi="Times New Roman" w:eastAsia="宋体"/>
          <w:sz w:val="24"/>
        </w:rPr>
        <w:t xml:space="preserve">View a PDF of the paper titled Large Models for Battery Prognostics and Health Management: A Review and Future Roadmap, by Jiale Liu and 4 other authors </w:t>
      </w:r>
      <w:hyperlink r:id="rId19">
        <w:r>
          <w:rPr>
            <w:rFonts w:ascii="Times New Roman" w:hAnsi="Times New Roman" w:eastAsia="宋体"/>
            <w:color w:val="0563C1"/>
            <w:sz w:val="24"/>
            <w:u w:val="single"/>
          </w:rPr>
          <w:t>View PDF</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HTML (experimental)</w:t>
        </w:r>
      </w:hyperlink>
    </w:p>
    <w:p>
      <w:pPr>
        <w:pStyle w:val="DocBody"/>
        <w:ind w:left="510"/>
      </w:pPr>
      <w:r>
        <w:rPr>
          <w:rFonts w:ascii="Times New Roman" w:hAnsi="Times New Roman" w:eastAsia="宋体"/>
          <w:sz w:val="24"/>
        </w:rPr>
        <w:t>Abstract:Battery Prognostics and Health Management (BPHM) is critical for ensuring the safe, reliable, and cost-effective operation of batteries across electric vehicles, grid storage, and consumer electronics. Conventional BPHM approaches, including physics-based models and task-centric deep learning methods, face challenges in computational efficiency and parameterization, cross-domain generalization, dependence on extensive labeled run-to-failure data, and model interpretability. Recent Large Models (LMs), built upon Transformer architectures and self-supervised pre-training, offer a transformative new paradigm to overcome these long-standing bottlenecks. This review provides the first comprehensive survey of LM applications in BPHM, systematically examining how these models address challenges in the field. We begin by elucidating the foundational technologies enabling LMs, including Transformer architectures, self-supervised learning, large-scale multimodal datasets, and PEFT techniques. We then categorize recent progress along four critical dimensions: mitigating data scarcity, enhancing generalization and robustness, integrating domain knowledge for interpretability, and enabling system-level automation. Despite promising results, significant challenges remain across data accessibility, intelligence validation, trustworthiness, and deployment feasibility. To guide future research, we propose a roadmap focused on building collaborative data ecosystems, validating intelligence for industrial applications, enhancing trustworthiness with physics-informed designs, and enabling efficient on-device deployment. This review establishes a systematic approach to understand and advance LM-driven BPHM, providing researchers and practitioners with essential insights for developing next-generation battery management systems capable of safe, reliable, and autonomous operation throughout battery lifecycles.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Comments:Published in Renewable and Sustainable Energy Reviews</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Subjects:</w:t>
            </w:r>
          </w:p>
        </w:tc>
        <w:tc>
          <w:tcPr>
            <w:tcW w:type="dxa" w:w="4156"/>
          </w:tcPr>
          <w:p>
            <w:pPr>
              <w:spacing w:line="276" w:lineRule="auto" w:after="40"/>
            </w:pPr>
            <w:r>
              <w:rPr>
                <w:rFonts w:ascii="Times New Roman" w:hAnsi="Times New Roman" w:eastAsia="宋体"/>
                <w:b w:val="0"/>
                <w:sz w:val="21"/>
              </w:rPr>
              <w:t>Artificial Intelligence (cs.AI)</w:t>
            </w:r>
          </w:p>
        </w:tc>
      </w:tr>
      <w:tr>
        <w:tc>
          <w:tcPr>
            <w:tcW w:type="dxa" w:w="4156"/>
          </w:tcPr>
          <w:p>
            <w:pPr>
              <w:spacing w:line="276" w:lineRule="auto" w:after="40"/>
            </w:pPr>
            <w:r>
              <w:rPr>
                <w:rFonts w:ascii="Times New Roman" w:hAnsi="Times New Roman" w:eastAsia="宋体"/>
                <w:b w:val="0"/>
                <w:sz w:val="21"/>
              </w:rPr>
              <w:t>Cite as:</w:t>
            </w:r>
          </w:p>
        </w:tc>
        <w:tc>
          <w:tcPr>
            <w:tcW w:type="dxa" w:w="4156"/>
          </w:tcPr>
          <w:p>
            <w:pPr>
              <w:spacing w:line="276" w:lineRule="auto" w:after="40"/>
            </w:pPr>
            <w:r>
              <w:rPr>
                <w:rFonts w:ascii="Times New Roman" w:hAnsi="Times New Roman" w:eastAsia="宋体"/>
                <w:b w:val="0"/>
                <w:sz w:val="21"/>
              </w:rPr>
              <w:t>arXiv:2608.26111 [cs.AI]</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(or arXiv:2608.26111v1 [cs.AI] for this version)</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https://doi.org/10.48550/arXiv.2608.26111 arXiv-issued DOI via DataCite</w:t>
            </w:r>
          </w:p>
        </w:tc>
      </w:tr>
      <w:tr>
        <w:tc>
          <w:tcPr>
            <w:tcW w:type="dxa" w:w="4156"/>
          </w:tcPr>
          <w:p>
            <w:pPr>
              <w:spacing w:line="276" w:lineRule="auto" w:after="40"/>
            </w:pPr>
            <w:r>
              <w:rPr>
                <w:rFonts w:ascii="Times New Roman" w:hAnsi="Times New Roman" w:eastAsia="宋体"/>
                <w:b w:val="0"/>
                <w:sz w:val="21"/>
              </w:rPr>
              <w:t>Related DOI:</w:t>
            </w:r>
          </w:p>
        </w:tc>
        <w:tc>
          <w:tcPr>
            <w:tcW w:type="dxa" w:w="4156"/>
          </w:tcPr>
          <w:p>
            <w:pPr>
              <w:spacing w:line="276" w:lineRule="auto" w:after="40"/>
            </w:pPr>
            <w:r>
              <w:rPr>
                <w:rFonts w:ascii="Times New Roman" w:hAnsi="Times New Roman" w:eastAsia="宋体"/>
                <w:b w:val="0"/>
                <w:sz w:val="21"/>
              </w:rPr>
              <w:t>https://doi.org/10.1016/j.rser.2026.117120 DOI(s) linking to related resources</w:t>
            </w:r>
          </w:p>
        </w:tc>
      </w:tr>
    </w:tbl>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Jiale Liu [</w:t>
      </w:r>
      <w:hyperlink r:id="rId21">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Wed, 27 May 2026 14:11:44 UTC (2,708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Large Models for Battery Prognostics and Health Management: A Review and Future Roadmap, by Jiale Liu and 4 other authors</w:t>
      </w:r>
    </w:p>
    <w:p>
      <w:pPr>
        <w:pStyle w:val="DocBody"/>
        <w:ind w:left="765"/>
      </w:pPr>
      <w:hyperlink r:id="rId19">
        <w:r>
          <w:rPr>
            <w:rFonts w:ascii="Times New Roman" w:hAnsi="Times New Roman" w:eastAsia="宋体"/>
            <w:color w:val="0563C1"/>
            <w:sz w:val="24"/>
            <w:u w:val="single"/>
          </w:rPr>
          <w:t>View PDF</w:t>
        </w:r>
      </w:hyperlink>
    </w:p>
    <w:p>
      <w:pPr>
        <w:pStyle w:val="DocBody"/>
        <w:ind w:left="765"/>
      </w:pPr>
      <w:hyperlink r:id="rId20">
        <w:r>
          <w:rPr>
            <w:rFonts w:ascii="Times New Roman" w:hAnsi="Times New Roman" w:eastAsia="宋体"/>
            <w:color w:val="0563C1"/>
            <w:sz w:val="24"/>
            <w:u w:val="single"/>
          </w:rPr>
          <w:t>HTML (experimental)</w:t>
        </w:r>
      </w:hyperlink>
    </w:p>
    <w:p>
      <w:pPr>
        <w:pStyle w:val="DocBody"/>
        <w:ind w:left="765"/>
      </w:pPr>
      <w:hyperlink r:id="rId22">
        <w:r>
          <w:rPr>
            <w:rFonts w:ascii="Times New Roman" w:hAnsi="Times New Roman" w:eastAsia="宋体"/>
            <w:color w:val="0563C1"/>
            <w:sz w:val="24"/>
            <w:u w:val="single"/>
          </w:rPr>
          <w:t xml:space="preserve">TeX Source </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23">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24">
        <w:r>
          <w:rPr>
            <w:rFonts w:ascii="Times New Roman" w:hAnsi="Times New Roman" w:eastAsia="宋体"/>
            <w:color w:val="0563C1"/>
            <w:sz w:val="24"/>
            <w:u w:val="single"/>
          </w:rPr>
          <w:t>next &gt;</w:t>
        </w:r>
      </w:hyperlink>
    </w:p>
    <w:p>
      <w:pPr>
        <w:pStyle w:val="DocBody"/>
      </w:pPr>
      <w:hyperlink r:id="rId25">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6">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27">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w:t>
      </w:r>
    </w:p>
    <w:p>
      <w:pPr>
        <w:pStyle w:val="DocBody"/>
      </w:pPr>
      <w:hyperlink r:id="rId28">
        <w:r>
          <w:rPr>
            <w:rFonts w:ascii="Times New Roman" w:hAnsi="Times New Roman" w:eastAsia="宋体"/>
            <w:color w:val="0563C1"/>
            <w:sz w:val="24"/>
            <w:u w:val="single"/>
          </w:rPr>
          <w:t>cs</w:t>
        </w:r>
      </w:hyperlink>
    </w:p>
    <w:p>
      <w:pPr>
        <w:pStyle w:val="DocH1"/>
      </w:pPr>
      <w:r>
        <w:rPr>
          <w:rFonts w:ascii="Times New Roman" w:hAnsi="Times New Roman" w:eastAsia="宋体"/>
          <w:sz w:val="24"/>
        </w:rPr>
        <w:t>References &amp; Citations</w:t>
      </w:r>
    </w:p>
    <w:p>
      <w:pPr>
        <w:pStyle w:val="DocBody"/>
        <w:ind w:left="765"/>
      </w:pPr>
      <w:hyperlink r:id="rId29">
        <w:r>
          <w:rPr>
            <w:rFonts w:ascii="Times New Roman" w:hAnsi="Times New Roman" w:eastAsia="宋体"/>
            <w:color w:val="0563C1"/>
            <w:sz w:val="24"/>
            <w:u w:val="single"/>
          </w:rPr>
          <w:t>NASA ADS</w:t>
        </w:r>
      </w:hyperlink>
    </w:p>
    <w:p>
      <w:pPr>
        <w:pStyle w:val="DocBody"/>
        <w:ind w:left="765"/>
      </w:pPr>
      <w:hyperlink r:id="rId30">
        <w:r>
          <w:rPr>
            <w:rFonts w:ascii="Times New Roman" w:hAnsi="Times New Roman" w:eastAsia="宋体"/>
            <w:color w:val="0563C1"/>
            <w:sz w:val="24"/>
            <w:u w:val="single"/>
          </w:rPr>
          <w:t>Google Scholar</w:t>
        </w:r>
      </w:hyperlink>
    </w:p>
    <w:p>
      <w:pPr>
        <w:pStyle w:val="DocBody"/>
        <w:ind w:left="765"/>
      </w:pPr>
      <w:hyperlink r:id="rId31">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32">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33">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34">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35">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6">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37">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38">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39">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40">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41">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42">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43">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44">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45">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6">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47">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48">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49">
        <w:r>
          <w:rPr>
            <w:rFonts w:ascii="Times New Roman" w:hAnsi="Times New Roman" w:eastAsia="宋体"/>
            <w:color w:val="0563C1"/>
            <w:sz w:val="24"/>
            <w:u w:val="single"/>
          </w:rPr>
          <w:t>What is MathJax?</w:t>
        </w:r>
      </w:hyperlink>
      <w:r>
        <w:rPr>
          <w:rFonts w:ascii="Times New Roman" w:hAnsi="Times New Roman" w:eastAsia="宋体"/>
          <w:sz w:val="24"/>
        </w:rPr>
        <w:t>)</w:t>
      </w:r>
    </w:p>
    <w:p>
      <w:pPr>
        <w:pStyle w:val="DocBody"/>
      </w:pPr>
      <w:r>
        <w:rPr>
          <w:rFonts w:ascii="Times New Roman" w:hAnsi="Times New Roman" w:eastAsia="宋体"/>
          <w:sz w:val="24"/>
        </w:rPr>
        <w:t>*[Related DOI]: Digital Object Identifier</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11"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Liu,+J" TargetMode="External"/><Relationship Id="rId14" Type="http://schemas.openxmlformats.org/officeDocument/2006/relationships/hyperlink" Target="https://arxiv.org/search/cs?searchtype=author&amp;query=Wang,+H" TargetMode="External"/><Relationship Id="rId15" Type="http://schemas.openxmlformats.org/officeDocument/2006/relationships/hyperlink" Target="https://arxiv.org/search/cs?searchtype=author&amp;query=Wang,+W" TargetMode="External"/><Relationship Id="rId16" Type="http://schemas.openxmlformats.org/officeDocument/2006/relationships/hyperlink" Target="https://arxiv.org/search/cs?searchtype=author&amp;query=Zhu,+R" TargetMode="External"/><Relationship Id="rId17" Type="http://schemas.openxmlformats.org/officeDocument/2006/relationships/hyperlink" Target="https://arxiv.org/search/cs?searchtype=author&amp;query=Wang,+Q" TargetMode="External"/><Relationship Id="rId18" Type="http://schemas.openxmlformats.org/officeDocument/2006/relationships/hyperlink" Target="https://arxiv.org/search/cs?searchtype=author&amp;query=Xie,+M" TargetMode="External"/><Relationship Id="rId19" Type="http://schemas.openxmlformats.org/officeDocument/2006/relationships/hyperlink" Target="https://arxiv.org/pdf/2608.26111" TargetMode="External"/><Relationship Id="rId20" Type="http://schemas.openxmlformats.org/officeDocument/2006/relationships/hyperlink" Target="https://arxiv.org/html/2608.26111v1" TargetMode="External"/><Relationship Id="rId21" Type="http://schemas.openxmlformats.org/officeDocument/2006/relationships/hyperlink" Target="https://arxiv.org/show-email/cc7ab5f3/2608.26111" TargetMode="External"/><Relationship Id="rId22" Type="http://schemas.openxmlformats.org/officeDocument/2006/relationships/hyperlink" Target="https://arxiv.org/src/2608.26111" TargetMode="External"/><Relationship Id="rId23" Type="http://schemas.openxmlformats.org/officeDocument/2006/relationships/hyperlink" Target="https://arxiv.org/prevnext?id=2608.26111&amp;function=prev&amp;context=cs.AI" TargetMode="External"/><Relationship Id="rId24" Type="http://schemas.openxmlformats.org/officeDocument/2006/relationships/hyperlink" Target="https://arxiv.org/prevnext?id=2608.26111&amp;function=next&amp;context=cs.AI" TargetMode="External"/><Relationship Id="rId25" Type="http://schemas.openxmlformats.org/officeDocument/2006/relationships/hyperlink" Target="https://arxiv.org/list/cs.AI/new" TargetMode="External"/><Relationship Id="rId26" Type="http://schemas.openxmlformats.org/officeDocument/2006/relationships/hyperlink" Target="https://arxiv.org/list/cs.AI/recent" TargetMode="External"/><Relationship Id="rId27" Type="http://schemas.openxmlformats.org/officeDocument/2006/relationships/hyperlink" Target="https://arxiv.org/list/cs.AI/2026-08" TargetMode="External"/><Relationship Id="rId28" Type="http://schemas.openxmlformats.org/officeDocument/2006/relationships/hyperlink" Target="https://arxiv.org/abs/2608.26111?context=cs" TargetMode="External"/><Relationship Id="rId29" Type="http://schemas.openxmlformats.org/officeDocument/2006/relationships/hyperlink" Target="https://ui.adsabs.harvard.edu/abs/arXiv:2608.26111" TargetMode="External"/><Relationship Id="rId30" Type="http://schemas.openxmlformats.org/officeDocument/2006/relationships/hyperlink" Target="https://scholar.google.com/scholar_lookup?arxiv_id=2608.26111" TargetMode="External"/><Relationship Id="rId31" Type="http://schemas.openxmlformats.org/officeDocument/2006/relationships/hyperlink" Target="https://api.semanticscholar.org/arXiv:2608.26111" TargetMode="External"/><Relationship Id="rId32" Type="http://schemas.openxmlformats.org/officeDocument/2006/relationships/hyperlink" Target="https://info.arxiv.org/labs/showcase.html#arxiv-bibliographic-explorer" TargetMode="External"/><Relationship Id="rId33" Type="http://schemas.openxmlformats.org/officeDocument/2006/relationships/hyperlink" Target="https://www.connectedpapers.com/about" TargetMode="External"/><Relationship Id="rId34" Type="http://schemas.openxmlformats.org/officeDocument/2006/relationships/hyperlink" Target="https://www.litmaps.co/" TargetMode="External"/><Relationship Id="rId35" Type="http://schemas.openxmlformats.org/officeDocument/2006/relationships/hyperlink" Target="https://www.scite.ai/" TargetMode="External"/><Relationship Id="rId36" Type="http://schemas.openxmlformats.org/officeDocument/2006/relationships/hyperlink" Target="https://alphaxiv.org/" TargetMode="External"/><Relationship Id="rId37" Type="http://schemas.openxmlformats.org/officeDocument/2006/relationships/hyperlink" Target="https://www.catalyzex.com" TargetMode="External"/><Relationship Id="rId38" Type="http://schemas.openxmlformats.org/officeDocument/2006/relationships/hyperlink" Target="https://dagshub.com/" TargetMode="External"/><Relationship Id="rId39" Type="http://schemas.openxmlformats.org/officeDocument/2006/relationships/hyperlink" Target="http://gotit.pub/faq" TargetMode="External"/><Relationship Id="rId40" Type="http://schemas.openxmlformats.org/officeDocument/2006/relationships/hyperlink" Target="https://huggingface.co/huggingface" TargetMode="External"/><Relationship Id="rId41" Type="http://schemas.openxmlformats.org/officeDocument/2006/relationships/hyperlink" Target="https://sciencecast.org/welcome" TargetMode="External"/><Relationship Id="rId42" Type="http://schemas.openxmlformats.org/officeDocument/2006/relationships/hyperlink" Target="https://replicate.com/docs/arxiv/about" TargetMode="External"/><Relationship Id="rId43" Type="http://schemas.openxmlformats.org/officeDocument/2006/relationships/hyperlink" Target="https://huggingface.co/docs/hub/spaces" TargetMode="External"/><Relationship Id="rId44" Type="http://schemas.openxmlformats.org/officeDocument/2006/relationships/hyperlink" Target="https://txyz.ai" TargetMode="External"/><Relationship Id="rId45" Type="http://schemas.openxmlformats.org/officeDocument/2006/relationships/hyperlink" Target="https://influencemap.cmlab.dev/" TargetMode="External"/><Relationship Id="rId46" Type="http://schemas.openxmlformats.org/officeDocument/2006/relationships/hyperlink" Target="https://core.ac.uk/services/recommender" TargetMode="External"/><Relationship Id="rId47" Type="http://schemas.openxmlformats.org/officeDocument/2006/relationships/hyperlink" Target="https://info.arxiv.org/labs/index.html" TargetMode="External"/><Relationship Id="rId48" Type="http://schemas.openxmlformats.org/officeDocument/2006/relationships/hyperlink" Target="https://arxiv.org/auth/show-endorsers/2608.26111" TargetMode="External"/><Relationship Id="rId49"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 Models for Battery Prognostics and Health Management: A Review and Future Roadmap</dc:title>
  <dc:subject/>
  <dc:creator>briefing-article-kb</dc:creator>
  <cp:keywords/>
  <dc:description>https://arxiv.org/abs/2608.26111</dc:description>
  <cp:lastModifiedBy/>
  <cp:revision>1</cp:revision>
  <dcterms:created xsi:type="dcterms:W3CDTF">2013-12-23T23:15:00Z</dcterms:created>
  <dcterms:modified xsi:type="dcterms:W3CDTF">2013-12-23T23:15:00Z</dcterms:modified>
  <cp:category/>
</cp:coreProperties>
</file>