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B002-021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Explainable Artificial Intelligence for Customer Churn Prediction in Telecommunications: A Framework for CRM Integration</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https://arxiv.org/abs/2608.26151</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B002-021-Arxiv - computer science ai -explainable-artificial-intelligence-for-customer-202608.md</w:t>
            </w:r>
          </w:p>
        </w:tc>
      </w:tr>
    </w:tbl>
    <w:p/>
    <w:p>
      <w:pPr>
        <w:pStyle w:val="DocTitle"/>
      </w:pPr>
      <w:r>
        <w:t>Explainable Artificial Intelligence for Customer Churn Prediction in Telecommunications: A Framework for CRM Integration</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arXiv:2608.26151</w:t>
      </w:r>
      <w:r>
        <w:rPr>
          <w:rFonts w:ascii="Times New Roman" w:hAnsi="Times New Roman" w:eastAsia="宋体"/>
          <w:sz w:val="24"/>
        </w:rPr>
        <w:t xml:space="preserve"> (cs)</w:t>
      </w:r>
    </w:p>
    <w:p>
      <w:pPr>
        <w:pStyle w:val="DocBody"/>
      </w:pPr>
      <w:r>
        <w:rPr>
          <w:rFonts w:ascii="Times New Roman" w:hAnsi="Times New Roman" w:eastAsia="宋体"/>
          <w:sz w:val="24"/>
        </w:rPr>
        <w:t>[Submitted on 1 Jul 2026]</w:t>
      </w:r>
    </w:p>
    <w:p>
      <w:pPr>
        <w:pStyle w:val="DocH1"/>
      </w:pPr>
      <w:r>
        <w:rPr>
          <w:rFonts w:ascii="Times New Roman" w:hAnsi="Times New Roman" w:eastAsia="宋体"/>
          <w:sz w:val="24"/>
        </w:rPr>
        <w:t>Title:Explainable Artificial Intelligence for Customer Churn Prediction in Telecommunications: A Framework for CRM Integration</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Sandeep Gaddamwar</w:t>
        </w:r>
      </w:hyperlink>
    </w:p>
    <w:p>
      <w:pPr>
        <w:pStyle w:val="DocBody"/>
      </w:pPr>
      <w:r>
        <w:rPr>
          <w:rFonts w:ascii="Times New Roman" w:hAnsi="Times New Roman" w:eastAsia="宋体"/>
          <w:sz w:val="24"/>
        </w:rPr>
        <w:t xml:space="preserve">View a PDF of the paper titled Explainable Artificial Intelligence for Customer Churn Prediction in Telecommunications: A Framework for CRM Integration, by Sandeep Gaddamwar </w:t>
      </w:r>
      <w:hyperlink r:id="rId14">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 Logistic Regression attains the strongest AUC-ROC (0.8411) and LightGBM the highest accuracy (78.42%); all four fall within a 0.011 AUC band (0.831--0.841), and 5-fold cross-validation confirms the leading models are effectively tied. Explanations are delivered at two granularities: a global SHAP ranking identifying tenure, total charges, and month-to-month contract as the dominant churn signals, and instance-level SHAP and LIME decompositions that expose the drivers behind each prediction. Building on these outputs, we introduce a four-layer CRM integration architecture that converts risk scores and attribution vectors into tiered segmentation, maps top features to structured retention-action templates, and routes campaign outcomes into a retraining feedback loop. Targeting the highest-risk quintile is projected to cut overall churn by 3.3--5.3 percentage points, preserving an estimated 199K−−319K per campaign cycle.</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Comments:10 pages, 7 figures, 1 table</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 Machine Learning (cs.LG)</w:t>
            </w:r>
          </w:p>
        </w:tc>
      </w:tr>
      <w:tr>
        <w:tc>
          <w:tcPr>
            <w:tcW w:type="dxa" w:w="4156"/>
          </w:tcPr>
          <w:p>
            <w:pPr>
              <w:spacing w:line="276" w:lineRule="auto" w:after="40"/>
            </w:pPr>
            <w:r>
              <w:rPr>
                <w:rFonts w:ascii="Times New Roman" w:hAnsi="Times New Roman" w:eastAsia="宋体"/>
                <w:b w:val="0"/>
                <w:sz w:val="21"/>
              </w:rPr>
              <w:t>ACM classes:</w:t>
            </w:r>
          </w:p>
        </w:tc>
        <w:tc>
          <w:tcPr>
            <w:tcW w:type="dxa" w:w="4156"/>
          </w:tcPr>
          <w:p>
            <w:pPr>
              <w:spacing w:line="276" w:lineRule="auto" w:after="40"/>
            </w:pPr>
            <w:r>
              <w:rPr>
                <w:rFonts w:ascii="Times New Roman" w:hAnsi="Times New Roman" w:eastAsia="宋体"/>
                <w:b w:val="0"/>
                <w:sz w:val="21"/>
              </w:rPr>
              <w:t>I.2.6; H.4.2</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arXiv:2608.26151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arXiv:2608.26151v1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https://doi.org/10.48550/arXiv.2608.26151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Sandeep Gaddamwar [</w:t>
      </w:r>
      <w:hyperlink r:id="rId16">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Wed, 1 Jul 2026 15:30:16 UTC (1,549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Explainable Artificial Intelligence for Customer Churn Prediction in Telecommunications: A Framework for CRM Integration, by Sandeep Gaddamwar</w:t>
      </w:r>
    </w:p>
    <w:p>
      <w:pPr>
        <w:pStyle w:val="DocBody"/>
        <w:ind w:left="765"/>
      </w:pPr>
      <w:hyperlink r:id="rId14">
        <w:r>
          <w:rPr>
            <w:rFonts w:ascii="Times New Roman" w:hAnsi="Times New Roman" w:eastAsia="宋体"/>
            <w:color w:val="0563C1"/>
            <w:sz w:val="24"/>
            <w:u w:val="single"/>
          </w:rPr>
          <w:t>View PDF</w:t>
        </w:r>
      </w:hyperlink>
    </w:p>
    <w:p>
      <w:pPr>
        <w:pStyle w:val="DocBody"/>
        <w:ind w:left="765"/>
      </w:pPr>
      <w:hyperlink r:id="rId15">
        <w:r>
          <w:rPr>
            <w:rFonts w:ascii="Times New Roman" w:hAnsi="Times New Roman" w:eastAsia="宋体"/>
            <w:color w:val="0563C1"/>
            <w:sz w:val="24"/>
            <w:u w:val="single"/>
          </w:rPr>
          <w:t>HTML (experimental)</w:t>
        </w:r>
      </w:hyperlink>
    </w:p>
    <w:p>
      <w:pPr>
        <w:pStyle w:val="DocBody"/>
        <w:ind w:left="765"/>
      </w:pPr>
      <w:hyperlink r:id="rId17">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18">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19">
        <w:r>
          <w:rPr>
            <w:rFonts w:ascii="Times New Roman" w:hAnsi="Times New Roman" w:eastAsia="宋体"/>
            <w:color w:val="0563C1"/>
            <w:sz w:val="24"/>
            <w:u w:val="single"/>
          </w:rPr>
          <w:t>next &gt;</w:t>
        </w:r>
      </w:hyperlink>
    </w:p>
    <w:p>
      <w:pPr>
        <w:pStyle w:val="DocBody"/>
      </w:pPr>
      <w:hyperlink r:id="rId20">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1">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3">
        <w:r>
          <w:rPr>
            <w:rFonts w:ascii="Times New Roman" w:hAnsi="Times New Roman" w:eastAsia="宋体"/>
            <w:color w:val="0563C1"/>
            <w:sz w:val="24"/>
            <w:u w:val="single"/>
          </w:rPr>
          <w:t>cs</w:t>
        </w:r>
      </w:hyperlink>
    </w:p>
    <w:p>
      <w:pPr>
        <w:pStyle w:val="DocBody"/>
      </w:pPr>
      <w:hyperlink r:id="rId24">
        <w:r>
          <w:rPr>
            <w:rFonts w:ascii="Times New Roman" w:hAnsi="Times New Roman" w:eastAsia="宋体"/>
            <w:color w:val="0563C1"/>
            <w:sz w:val="24"/>
            <w:u w:val="single"/>
          </w:rPr>
          <w:t>cs.LG</w:t>
        </w:r>
      </w:hyperlink>
    </w:p>
    <w:p>
      <w:pPr>
        <w:pStyle w:val="DocH1"/>
      </w:pPr>
      <w:r>
        <w:rPr>
          <w:rFonts w:ascii="Times New Roman" w:hAnsi="Times New Roman" w:eastAsia="宋体"/>
          <w:sz w:val="24"/>
        </w:rPr>
        <w:t>References &amp; Citations</w:t>
      </w:r>
    </w:p>
    <w:p>
      <w:pPr>
        <w:pStyle w:val="DocBody"/>
        <w:ind w:left="765"/>
      </w:pPr>
      <w:hyperlink r:id="rId25">
        <w:r>
          <w:rPr>
            <w:rFonts w:ascii="Times New Roman" w:hAnsi="Times New Roman" w:eastAsia="宋体"/>
            <w:color w:val="0563C1"/>
            <w:sz w:val="24"/>
            <w:u w:val="single"/>
          </w:rPr>
          <w:t>NASA ADS</w:t>
        </w:r>
      </w:hyperlink>
    </w:p>
    <w:p>
      <w:pPr>
        <w:pStyle w:val="DocBody"/>
        <w:ind w:left="765"/>
      </w:pPr>
      <w:hyperlink r:id="rId26">
        <w:r>
          <w:rPr>
            <w:rFonts w:ascii="Times New Roman" w:hAnsi="Times New Roman" w:eastAsia="宋体"/>
            <w:color w:val="0563C1"/>
            <w:sz w:val="24"/>
            <w:u w:val="single"/>
          </w:rPr>
          <w:t>Google Scholar</w:t>
        </w:r>
      </w:hyperlink>
    </w:p>
    <w:p>
      <w:pPr>
        <w:pStyle w:val="DocBody"/>
        <w:ind w:left="765"/>
      </w:pPr>
      <w:hyperlink r:id="rId27">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28">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29">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0">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1">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2">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3">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4">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5">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6">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7">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38">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39">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0">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1">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2">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3">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4">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5">
        <w:r>
          <w:rPr>
            <w:rFonts w:ascii="Times New Roman" w:hAnsi="Times New Roman" w:eastAsia="宋体"/>
            <w:color w:val="0563C1"/>
            <w:sz w:val="24"/>
            <w:u w:val="single"/>
          </w:rPr>
          <w:t>What is MathJax?</w:t>
        </w:r>
      </w:hyperlink>
      <w:r>
        <w:rPr>
          <w:rFonts w:ascii="Times New Roman" w:hAnsi="Times New Roman" w:eastAsia="宋体"/>
          <w:sz w:val="24"/>
        </w:rPr>
        <w:t>)</w:t>
      </w:r>
    </w:p>
    <w:p>
      <w:pPr>
        <w:pStyle w:val="DocBody"/>
      </w:pPr>
      <w:r>
        <w:rPr>
          <w:rFonts w:ascii="Times New Roman" w:hAnsi="Times New Roman" w:eastAsia="宋体"/>
          <w:sz w:val="24"/>
        </w:rPr>
        <w:t>*[ACM]: Association of Computing Machinery Classification</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51"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Gaddamwar,+S" TargetMode="External"/><Relationship Id="rId14" Type="http://schemas.openxmlformats.org/officeDocument/2006/relationships/hyperlink" Target="https://arxiv.org/pdf/2608.26151" TargetMode="External"/><Relationship Id="rId15" Type="http://schemas.openxmlformats.org/officeDocument/2006/relationships/hyperlink" Target="https://arxiv.org/html/2608.26151v1" TargetMode="External"/><Relationship Id="rId16" Type="http://schemas.openxmlformats.org/officeDocument/2006/relationships/hyperlink" Target="https://arxiv.org/show-email/f1fd7a6f/2608.26151" TargetMode="External"/><Relationship Id="rId17" Type="http://schemas.openxmlformats.org/officeDocument/2006/relationships/hyperlink" Target="https://arxiv.org/src/2608.26151" TargetMode="External"/><Relationship Id="rId18" Type="http://schemas.openxmlformats.org/officeDocument/2006/relationships/hyperlink" Target="https://arxiv.org/prevnext?id=2608.26151&amp;function=prev&amp;context=cs.AI" TargetMode="External"/><Relationship Id="rId19" Type="http://schemas.openxmlformats.org/officeDocument/2006/relationships/hyperlink" Target="https://arxiv.org/prevnext?id=2608.26151&amp;function=next&amp;context=cs.AI" TargetMode="External"/><Relationship Id="rId20" Type="http://schemas.openxmlformats.org/officeDocument/2006/relationships/hyperlink" Target="https://arxiv.org/list/cs.AI/new" TargetMode="External"/><Relationship Id="rId21" Type="http://schemas.openxmlformats.org/officeDocument/2006/relationships/hyperlink" Target="https://arxiv.org/list/cs.AI/recent" TargetMode="External"/><Relationship Id="rId22" Type="http://schemas.openxmlformats.org/officeDocument/2006/relationships/hyperlink" Target="https://arxiv.org/list/cs.AI/2026-08" TargetMode="External"/><Relationship Id="rId23" Type="http://schemas.openxmlformats.org/officeDocument/2006/relationships/hyperlink" Target="https://arxiv.org/abs/2608.26151?context=cs" TargetMode="External"/><Relationship Id="rId24" Type="http://schemas.openxmlformats.org/officeDocument/2006/relationships/hyperlink" Target="https://arxiv.org/abs/2608.26151?context=cs.LG" TargetMode="External"/><Relationship Id="rId25" Type="http://schemas.openxmlformats.org/officeDocument/2006/relationships/hyperlink" Target="https://ui.adsabs.harvard.edu/abs/arXiv:2608.26151" TargetMode="External"/><Relationship Id="rId26" Type="http://schemas.openxmlformats.org/officeDocument/2006/relationships/hyperlink" Target="https://scholar.google.com/scholar_lookup?arxiv_id=2608.26151" TargetMode="External"/><Relationship Id="rId27" Type="http://schemas.openxmlformats.org/officeDocument/2006/relationships/hyperlink" Target="https://api.semanticscholar.org/arXiv:2608.26151" TargetMode="External"/><Relationship Id="rId28" Type="http://schemas.openxmlformats.org/officeDocument/2006/relationships/hyperlink" Target="https://info.arxiv.org/labs/showcase.html#arxiv-bibliographic-explorer" TargetMode="External"/><Relationship Id="rId29" Type="http://schemas.openxmlformats.org/officeDocument/2006/relationships/hyperlink" Target="https://www.connectedpapers.com/about" TargetMode="External"/><Relationship Id="rId30" Type="http://schemas.openxmlformats.org/officeDocument/2006/relationships/hyperlink" Target="https://www.litmaps.co/" TargetMode="External"/><Relationship Id="rId31" Type="http://schemas.openxmlformats.org/officeDocument/2006/relationships/hyperlink" Target="https://www.scite.ai/" TargetMode="External"/><Relationship Id="rId32" Type="http://schemas.openxmlformats.org/officeDocument/2006/relationships/hyperlink" Target="https://alphaxiv.org/" TargetMode="External"/><Relationship Id="rId33" Type="http://schemas.openxmlformats.org/officeDocument/2006/relationships/hyperlink" Target="https://www.catalyzex.com" TargetMode="External"/><Relationship Id="rId34" Type="http://schemas.openxmlformats.org/officeDocument/2006/relationships/hyperlink" Target="https://dagshub.com/" TargetMode="External"/><Relationship Id="rId35" Type="http://schemas.openxmlformats.org/officeDocument/2006/relationships/hyperlink" Target="http://gotit.pub/faq" TargetMode="External"/><Relationship Id="rId36" Type="http://schemas.openxmlformats.org/officeDocument/2006/relationships/hyperlink" Target="https://huggingface.co/huggingface" TargetMode="External"/><Relationship Id="rId37" Type="http://schemas.openxmlformats.org/officeDocument/2006/relationships/hyperlink" Target="https://sciencecast.org/welcome" TargetMode="External"/><Relationship Id="rId38" Type="http://schemas.openxmlformats.org/officeDocument/2006/relationships/hyperlink" Target="https://replicate.com/docs/arxiv/about" TargetMode="External"/><Relationship Id="rId39" Type="http://schemas.openxmlformats.org/officeDocument/2006/relationships/hyperlink" Target="https://huggingface.co/docs/hub/spaces" TargetMode="External"/><Relationship Id="rId40" Type="http://schemas.openxmlformats.org/officeDocument/2006/relationships/hyperlink" Target="https://txyz.ai" TargetMode="External"/><Relationship Id="rId41" Type="http://schemas.openxmlformats.org/officeDocument/2006/relationships/hyperlink" Target="https://influencemap.cmlab.dev/" TargetMode="External"/><Relationship Id="rId42" Type="http://schemas.openxmlformats.org/officeDocument/2006/relationships/hyperlink" Target="https://core.ac.uk/services/recommender" TargetMode="External"/><Relationship Id="rId43" Type="http://schemas.openxmlformats.org/officeDocument/2006/relationships/hyperlink" Target="https://info.arxiv.org/labs/index.html" TargetMode="External"/><Relationship Id="rId44" Type="http://schemas.openxmlformats.org/officeDocument/2006/relationships/hyperlink" Target="https://arxiv.org/auth/show-endorsers/2608.26151" TargetMode="External"/><Relationship Id="rId45"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Artificial Intelligence for Customer Churn Prediction in Telecommunications: A Framework for CRM Integration</dc:title>
  <dc:subject/>
  <dc:creator>briefing-article-kb</dc:creator>
  <cp:keywords/>
  <dc:description>https://arxiv.org/abs/2608.26151</dc:description>
  <cp:lastModifiedBy/>
  <cp:revision>1</cp:revision>
  <dcterms:created xsi:type="dcterms:W3CDTF">2013-12-23T23:15:00Z</dcterms:created>
  <dcterms:modified xsi:type="dcterms:W3CDTF">2013-12-23T23:15:00Z</dcterms:modified>
  <cp:category/>
</cp:coreProperties>
</file>