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single" w:sz="8" w:color="BFBFBF"/>
          <w:bottom w:val="single" w:sz="8" w:color="BFBFBF"/>
          <w:left w:val="single" w:sz="4" w:color="BFBFBF"/>
          <w:right w:val="single" w:sz="4" w:color="BFBFBF"/>
          <w:insideH w:val="single" w:sz="4" w:color="BFBFBF"/>
          <w:insideV w:val="single" w:sz="4" w:color="BFBFBF"/>
        </w:tblBorders>
      </w:tblPr>
      <w:tblGrid>
        <w:gridCol w:w="4156"/>
        <w:gridCol w:w="4156"/>
      </w:tblGrid>
      <w:tr>
        <w:tc>
          <w:tcPr>
            <w:tcW w:type="dxa" w:w="1701"/>
            <w:shd w:val="clear" w:fill="F2F2F2"/>
          </w:tcPr>
          <w:p>
            <w:pPr>
              <w:spacing w:line="288" w:lineRule="auto"/>
            </w:pPr>
            <w:r>
              <w:rPr>
                <w:rFonts w:ascii="Times New Roman" w:hAnsi="Times New Roman" w:eastAsia="宋体"/>
                <w:b/>
                <w:sz w:val="21"/>
              </w:rPr>
              <w:t>编号</w:t>
            </w:r>
          </w:p>
        </w:tc>
        <w:tc>
          <w:tcPr>
            <w:tcW w:type="dxa" w:w="7030"/>
          </w:tcPr>
          <w:p>
            <w:pPr>
              <w:spacing w:line="288" w:lineRule="auto"/>
            </w:pPr>
            <w:r>
              <w:rPr>
                <w:rFonts w:ascii="Times New Roman" w:hAnsi="Times New Roman" w:eastAsia="宋体"/>
                <w:sz w:val="21"/>
              </w:rPr>
              <w:t>B003-016</w:t>
            </w:r>
          </w:p>
        </w:tc>
      </w:tr>
      <w:tr>
        <w:tc>
          <w:tcPr>
            <w:tcW w:type="dxa" w:w="1701"/>
          </w:tcPr>
          <w:p>
            <w:pPr>
              <w:spacing w:line="288" w:lineRule="auto"/>
            </w:pPr>
            <w:r>
              <w:rPr>
                <w:rFonts w:ascii="Times New Roman" w:hAnsi="Times New Roman" w:eastAsia="宋体"/>
                <w:b/>
                <w:sz w:val="21"/>
              </w:rPr>
              <w:t>机构</w:t>
            </w:r>
          </w:p>
        </w:tc>
        <w:tc>
          <w:tcPr>
            <w:tcW w:type="dxa" w:w="7030"/>
          </w:tcPr>
          <w:p>
            <w:pPr>
              <w:spacing w:line="288" w:lineRule="auto"/>
            </w:pPr>
            <w:r>
              <w:rPr>
                <w:rFonts w:ascii="Times New Roman" w:hAnsi="Times New Roman" w:eastAsia="宋体"/>
                <w:sz w:val="21"/>
              </w:rPr>
              <w:t>AtlanticCouncil（Atlantic Council）</w:t>
            </w:r>
          </w:p>
        </w:tc>
      </w:tr>
      <w:tr>
        <w:tc>
          <w:tcPr>
            <w:tcW w:type="dxa" w:w="1701"/>
          </w:tcPr>
          <w:p>
            <w:pPr>
              <w:spacing w:line="288" w:lineRule="auto"/>
            </w:pPr>
            <w:r>
              <w:rPr>
                <w:rFonts w:ascii="Times New Roman" w:hAnsi="Times New Roman" w:eastAsia="宋体"/>
                <w:b/>
                <w:sz w:val="21"/>
              </w:rPr>
              <w:t>类型/日期</w:t>
            </w:r>
          </w:p>
        </w:tc>
        <w:tc>
          <w:tcPr>
            <w:tcW w:type="dxa" w:w="7030"/>
          </w:tcPr>
          <w:p>
            <w:pPr>
              <w:spacing w:line="288" w:lineRule="auto"/>
            </w:pPr>
            <w:r>
              <w:rPr>
                <w:rFonts w:ascii="Times New Roman" w:hAnsi="Times New Roman" w:eastAsia="宋体"/>
                <w:sz w:val="21"/>
              </w:rPr>
              <w:t>think_tank ｜ 2026-08-29</w:t>
            </w:r>
          </w:p>
        </w:tc>
      </w:tr>
      <w:tr>
        <w:tc>
          <w:tcPr>
            <w:tcW w:type="dxa" w:w="1701"/>
          </w:tcPr>
          <w:p>
            <w:pPr>
              <w:spacing w:line="288" w:lineRule="auto"/>
            </w:pPr>
            <w:r>
              <w:rPr>
                <w:rFonts w:ascii="Times New Roman" w:hAnsi="Times New Roman" w:eastAsia="宋体"/>
                <w:b/>
                <w:sz w:val="21"/>
              </w:rPr>
              <w:t>英文原题</w:t>
            </w:r>
          </w:p>
        </w:tc>
        <w:tc>
          <w:tcPr>
            <w:tcW w:type="dxa" w:w="7030"/>
          </w:tcPr>
          <w:p>
            <w:pPr>
              <w:spacing w:line="288" w:lineRule="auto"/>
            </w:pPr>
            <w:r>
              <w:rPr>
                <w:rFonts w:ascii="Times New Roman" w:hAnsi="Times New Roman" w:eastAsia="宋体"/>
                <w:sz w:val="21"/>
              </w:rPr>
              <w:t>The G20 needs more carrots to rebalance away from China</w:t>
            </w:r>
          </w:p>
        </w:tc>
      </w:tr>
      <w:tr>
        <w:tc>
          <w:tcPr>
            <w:tcW w:type="dxa" w:w="1701"/>
          </w:tcPr>
          <w:p>
            <w:pPr>
              <w:spacing w:line="288" w:lineRule="auto"/>
            </w:pPr>
            <w:r>
              <w:rPr>
                <w:rFonts w:ascii="Times New Roman" w:hAnsi="Times New Roman" w:eastAsia="宋体"/>
                <w:b/>
                <w:sz w:val="21"/>
              </w:rPr>
              <w:t>原文链接</w:t>
            </w:r>
          </w:p>
        </w:tc>
        <w:tc>
          <w:tcPr>
            <w:tcW w:type="dxa" w:w="7030"/>
          </w:tcPr>
          <w:p>
            <w:pPr>
              <w:spacing w:line="288" w:lineRule="auto"/>
            </w:pPr>
            <w:hyperlink r:id="rId11">
              <w:r>
                <w:rPr>
                  <w:rFonts w:ascii="Times New Roman" w:hAnsi="Times New Roman" w:eastAsia="宋体"/>
                  <w:color w:val="0563C1"/>
                  <w:sz w:val="21"/>
                  <w:u w:val="single"/>
                </w:rPr>
                <w:t>https://www.atlanticcouncil.org/blogs/econographics/the-g20-needs-more-carrots-to-rebalance-away-from-china/</w:t>
              </w:r>
            </w:hyperlink>
          </w:p>
        </w:tc>
      </w:tr>
      <w:tr>
        <w:tc>
          <w:tcPr>
            <w:tcW w:type="dxa" w:w="1701"/>
          </w:tcPr>
          <w:p>
            <w:pPr>
              <w:spacing w:line="288" w:lineRule="auto"/>
            </w:pPr>
            <w:r>
              <w:rPr>
                <w:rFonts w:ascii="Times New Roman" w:hAnsi="Times New Roman" w:eastAsia="宋体"/>
                <w:b/>
                <w:sz w:val="21"/>
              </w:rPr>
              <w:t>简报期次</w:t>
            </w:r>
          </w:p>
        </w:tc>
        <w:tc>
          <w:tcPr>
            <w:tcW w:type="dxa" w:w="7030"/>
          </w:tcPr>
          <w:p>
            <w:pPr>
              <w:spacing w:line="288" w:lineRule="auto"/>
            </w:pPr>
            <w:r>
              <w:rPr>
                <w:rFonts w:ascii="Times New Roman" w:hAnsi="Times New Roman" w:eastAsia="宋体"/>
                <w:sz w:val="21"/>
              </w:rPr>
              <w:t>B003（2026-08-29 归档）</w:t>
            </w:r>
          </w:p>
        </w:tc>
      </w:tr>
      <w:tr>
        <w:tc>
          <w:tcPr>
            <w:tcW w:type="dxa" w:w="1701"/>
          </w:tcPr>
          <w:p>
            <w:pPr>
              <w:spacing w:line="288" w:lineRule="auto"/>
            </w:pPr>
            <w:r>
              <w:rPr>
                <w:rFonts w:ascii="Times New Roman" w:hAnsi="Times New Roman" w:eastAsia="宋体"/>
                <w:b/>
                <w:sz w:val="21"/>
              </w:rPr>
              <w:t>本库文件</w:t>
            </w:r>
          </w:p>
        </w:tc>
        <w:tc>
          <w:tcPr>
            <w:tcW w:type="dxa" w:w="7030"/>
          </w:tcPr>
          <w:p>
            <w:pPr>
              <w:spacing w:line="288" w:lineRule="auto"/>
            </w:pPr>
            <w:r>
              <w:rPr>
                <w:rFonts w:ascii="Times New Roman" w:hAnsi="Times New Roman" w:eastAsia="宋体"/>
                <w:sz w:val="21"/>
              </w:rPr>
              <w:t>B003-016-Atlantic council -the-g20-needs-more-carrots-to-rebalance-away-fro-202608.md</w:t>
            </w:r>
          </w:p>
        </w:tc>
      </w:tr>
    </w:tbl>
    <w:p/>
    <w:p>
      <w:pPr>
        <w:pStyle w:val="DocTitle"/>
      </w:pPr>
      <w:r>
        <w:t>The G20 needs more carrots to rebalance away from China</w:t>
      </w:r>
    </w:p>
    <w:p>
      <w:pPr>
        <w:pStyle w:val="DocH1"/>
      </w:pPr>
      <w:r>
        <w:rPr>
          <w:rFonts w:ascii="Times New Roman" w:hAnsi="Times New Roman" w:eastAsia="宋体"/>
          <w:sz w:val="24"/>
        </w:rPr>
        <w:t>Share</w:t>
      </w:r>
    </w:p>
    <w:p>
      <w:pPr>
        <w:pStyle w:val="DocBody"/>
      </w:pPr>
      <w:r>
        <w:rPr>
          <w:rFonts w:ascii="Times New Roman" w:hAnsi="Times New Roman" w:eastAsia="宋体"/>
          <w:sz w:val="24"/>
        </w:rPr>
        <w:t xml:space="preserve">Close Mail  </w:t>
      </w:r>
      <w:hyperlink r:id="rId12">
        <w:r>
          <w:rPr>
            <w:rFonts w:ascii="Times New Roman" w:hAnsi="Times New Roman" w:eastAsia="宋体"/>
            <w:color w:val="0563C1"/>
            <w:sz w:val="24"/>
            <w:u w:val="single"/>
          </w:rPr>
          <w:t xml:space="preserve"> Facebook </w:t>
        </w:r>
      </w:hyperlink>
      <w:r>
        <w:rPr>
          <w:rFonts w:ascii="Times New Roman" w:hAnsi="Times New Roman" w:eastAsia="宋体"/>
          <w:sz w:val="24"/>
        </w:rPr>
        <w:t xml:space="preserve"> </w:t>
      </w:r>
      <w:hyperlink r:id="rId13">
        <w:r>
          <w:rPr>
            <w:rFonts w:ascii="Times New Roman" w:hAnsi="Times New Roman" w:eastAsia="宋体"/>
            <w:color w:val="0563C1"/>
            <w:sz w:val="24"/>
            <w:u w:val="single"/>
          </w:rPr>
          <w:t xml:space="preserve"> Twitter / X </w:t>
        </w:r>
      </w:hyperlink>
      <w:r>
        <w:rPr>
          <w:rFonts w:ascii="Times New Roman" w:hAnsi="Times New Roman" w:eastAsia="宋体"/>
          <w:sz w:val="24"/>
        </w:rPr>
        <w:t xml:space="preserve"> </w:t>
      </w:r>
      <w:hyperlink r:id="rId14">
        <w:r>
          <w:rPr>
            <w:rFonts w:ascii="Times New Roman" w:hAnsi="Times New Roman" w:eastAsia="宋体"/>
            <w:color w:val="0563C1"/>
            <w:sz w:val="24"/>
            <w:u w:val="single"/>
          </w:rPr>
          <w:t xml:space="preserve"> LinkedIn </w:t>
        </w:r>
      </w:hyperlink>
    </w:p>
    <w:p>
      <w:pPr>
        <w:jc w:val="center"/>
      </w:pPr>
      <w:r>
        <w:drawing>
          <wp:inline xmlns:a="http://schemas.openxmlformats.org/drawingml/2006/main" xmlns:pic="http://schemas.openxmlformats.org/drawingml/2006/picture">
            <wp:extent cx="5400000" cy="3600703"/>
            <wp:docPr id="1" name="Picture 1"/>
            <wp:cNvGraphicFramePr>
              <a:graphicFrameLocks noChangeAspect="1"/>
            </wp:cNvGraphicFramePr>
            <a:graphic>
              <a:graphicData uri="http://schemas.openxmlformats.org/drawingml/2006/picture">
                <pic:pic>
                  <pic:nvPicPr>
                    <pic:cNvPr id="0" name="8721b109d354feba.jpg"/>
                    <pic:cNvPicPr/>
                  </pic:nvPicPr>
                  <pic:blipFill>
                    <a:blip r:embed="rId15"/>
                    <a:stretch>
                      <a:fillRect/>
                    </a:stretch>
                  </pic:blipFill>
                  <pic:spPr>
                    <a:xfrm>
                      <a:off x="0" y="0"/>
                      <a:ext cx="5400000" cy="3600703"/>
                    </a:xfrm>
                    <a:prstGeom prst="rect"/>
                  </pic:spPr>
                </pic:pic>
              </a:graphicData>
            </a:graphic>
          </wp:inline>
        </w:drawing>
      </w:r>
    </w:p>
    <w:p>
      <w:pPr>
        <w:pStyle w:val="DocBody"/>
      </w:pPr>
      <w:r>
        <w:rPr>
          <w:rFonts w:ascii="Times New Roman" w:hAnsi="Times New Roman" w:eastAsia="宋体"/>
          <w:sz w:val="24"/>
        </w:rPr>
        <w:t>Summer vacation is over. Washington is once again reaching for the “sticks” in its economic statecraft toolbox, from an escalating tariff fight with Canada to secondary economic sanctions targeting countries still trading with Iran.</w:t>
      </w:r>
    </w:p>
    <w:p>
      <w:pPr>
        <w:pStyle w:val="DocBody"/>
      </w:pPr>
      <w:r>
        <w:rPr>
          <w:rFonts w:ascii="Times New Roman" w:hAnsi="Times New Roman" w:eastAsia="宋体"/>
          <w:sz w:val="24"/>
        </w:rPr>
        <w:t>Geoeconomic tensions seem poised for escalation as central bankers meet in the shadow of the Tetons and as Group of Twenty (G20) finance ministers prepare to gather near the Blue Ridge Mountains at the end of the month. One of the biggest challenges on their agenda will not be solved by tariffs or sanctions alone: how to address global imbalances emanating predominantly from China.</w:t>
      </w:r>
    </w:p>
    <w:p>
      <w:pPr>
        <w:pStyle w:val="DocBody"/>
      </w:pPr>
      <w:r>
        <w:rPr>
          <w:rFonts w:ascii="Times New Roman" w:hAnsi="Times New Roman" w:eastAsia="宋体"/>
          <w:sz w:val="24"/>
        </w:rPr>
        <w:t>Unwinding China’s global imbalances without triggering broader economic destabilization will not be easy. The good news: the United States, the Group of Seven (G7), and others agree on the broad goal and are pursuing complementary initiatives across overlapping plurilateral frameworks. But success will require deploying the positive elements of the economic statecraft toolkit—the “carrots”—in addition to the tariff-related sticks.</w:t>
      </w:r>
    </w:p>
    <w:p>
      <w:pPr>
        <w:pStyle w:val="DocBody"/>
      </w:pPr>
      <w:r>
        <w:rPr>
          <w:rFonts w:ascii="Times New Roman" w:hAnsi="Times New Roman" w:eastAsia="宋体"/>
          <w:sz w:val="24"/>
        </w:rPr>
        <w:t xml:space="preserve">Favorable tariff rates, export credits, regulatory exemptions, and other tools promise to power mutually beneficial economic growth among trade partners. Indeed, bilateral and plurilateral </w:t>
      </w:r>
      <w:hyperlink r:id="rId16">
        <w:r>
          <w:rPr>
            <w:rFonts w:ascii="Times New Roman" w:hAnsi="Times New Roman" w:eastAsia="宋体"/>
            <w:color w:val="0563C1"/>
            <w:sz w:val="24"/>
            <w:u w:val="single"/>
          </w:rPr>
          <w:t>trade deals</w:t>
        </w:r>
      </w:hyperlink>
      <w:r>
        <w:rPr>
          <w:rFonts w:ascii="Times New Roman" w:hAnsi="Times New Roman" w:eastAsia="宋体"/>
          <w:sz w:val="24"/>
        </w:rPr>
        <w:t xml:space="preserve"> have been proliferating at least as fast as punitive tariffs over the last year. They point toward a more constructive path for diversifying supply chains and rebalancing geoeconomic power.</w:t>
      </w:r>
    </w:p>
    <w:p>
      <w:pPr>
        <w:pStyle w:val="DocH1"/>
      </w:pPr>
      <w:r>
        <w:rPr>
          <w:rFonts w:ascii="Times New Roman" w:hAnsi="Times New Roman" w:eastAsia="宋体"/>
          <w:b/>
          <w:sz w:val="24"/>
        </w:rPr>
        <w:t>How to derisk without destabilizing</w:t>
      </w:r>
    </w:p>
    <w:p>
      <w:pPr>
        <w:pStyle w:val="DocBody"/>
      </w:pPr>
      <w:r>
        <w:rPr>
          <w:rFonts w:ascii="Times New Roman" w:hAnsi="Times New Roman" w:eastAsia="宋体"/>
          <w:sz w:val="24"/>
        </w:rPr>
        <w:t xml:space="preserve">How the United States and its partners de-risk from China, and how Beijing reacts, could help shape the twenty-first century’s geopolitical balance of power. Beijing already appears to perceive coordinated efforts to diversify supply chains as a </w:t>
      </w:r>
      <w:hyperlink r:id="rId17">
        <w:r>
          <w:rPr>
            <w:rFonts w:ascii="Times New Roman" w:hAnsi="Times New Roman" w:eastAsia="宋体"/>
            <w:color w:val="0563C1"/>
            <w:sz w:val="24"/>
            <w:u w:val="single"/>
          </w:rPr>
          <w:t>threat</w:t>
        </w:r>
      </w:hyperlink>
      <w:r>
        <w:rPr>
          <w:rFonts w:ascii="Times New Roman" w:hAnsi="Times New Roman" w:eastAsia="宋体"/>
          <w:sz w:val="24"/>
        </w:rPr>
        <w:t xml:space="preserve"> to its export-led economic growth model.</w:t>
      </w:r>
    </w:p>
    <w:p>
      <w:pPr>
        <w:pStyle w:val="DocBody"/>
      </w:pPr>
      <w:r>
        <w:rPr>
          <w:rFonts w:ascii="Times New Roman" w:hAnsi="Times New Roman" w:eastAsia="宋体"/>
          <w:sz w:val="24"/>
        </w:rPr>
        <w:t>The priority, then, must be to align the economic interests of the world’s largest economies while minimizing the risks of a disorderly unwinding of global imbalances or mutually destructive economic self-help measures. As the premier plurilateral discussion forum for geoeconomic issues and one of the few opportunities to bring US and Chinese leaders together, the G20 has an important role to play. Its members must remain focused on strategic priorities that will outlast individual electoral mandates.</w:t>
      </w:r>
    </w:p>
    <w:p>
      <w:pPr>
        <w:pStyle w:val="DocBody"/>
      </w:pPr>
      <w:r>
        <w:rPr>
          <w:rFonts w:ascii="Times New Roman" w:hAnsi="Times New Roman" w:eastAsia="宋体"/>
          <w:sz w:val="24"/>
        </w:rPr>
        <w:t>Three mechanisms can help policymakers maintain that focus.</w:t>
      </w:r>
    </w:p>
    <w:p>
      <w:pPr>
        <w:pStyle w:val="DocH1"/>
      </w:pPr>
      <w:r>
        <w:rPr>
          <w:rFonts w:ascii="Times New Roman" w:hAnsi="Times New Roman" w:eastAsia="宋体"/>
          <w:b/>
          <w:sz w:val="24"/>
        </w:rPr>
        <w:t>First, distinguish structural differences from trade wars</w:t>
      </w:r>
    </w:p>
    <w:p>
      <w:pPr>
        <w:pStyle w:val="DocBody"/>
      </w:pPr>
      <w:r>
        <w:rPr>
          <w:rFonts w:ascii="Times New Roman" w:hAnsi="Times New Roman" w:eastAsia="宋体"/>
          <w:sz w:val="24"/>
        </w:rPr>
        <w:t xml:space="preserve">Not every trade conflict is a trade war. The spiraling </w:t>
      </w:r>
      <w:hyperlink r:id="rId18">
        <w:r>
          <w:rPr>
            <w:rFonts w:ascii="Times New Roman" w:hAnsi="Times New Roman" w:eastAsia="宋体"/>
            <w:color w:val="0563C1"/>
            <w:sz w:val="24"/>
            <w:u w:val="single"/>
          </w:rPr>
          <w:t>US-Canada tariff conflict</w:t>
        </w:r>
      </w:hyperlink>
      <w:r>
        <w:rPr>
          <w:rFonts w:ascii="Times New Roman" w:hAnsi="Times New Roman" w:eastAsia="宋体"/>
          <w:sz w:val="24"/>
        </w:rPr>
        <w:t xml:space="preserve"> is indeed a bilateral trade war. Plurilateral structures like the United States–Mexico–Canada Agreement and G20 discussions cannot defuse this situation. Strategic economic policy differences with China, by contrast, are structural and affect markets and trading partners across the global economy.</w:t>
      </w:r>
    </w:p>
    <w:p>
      <w:pPr>
        <w:pStyle w:val="DocBody"/>
      </w:pPr>
      <w:r>
        <w:rPr>
          <w:rFonts w:ascii="Times New Roman" w:hAnsi="Times New Roman" w:eastAsia="宋体"/>
          <w:sz w:val="24"/>
        </w:rPr>
        <w:t>China’s state-sponsored growth model is inconsistent with the current underpinnings of the global economy. China does not share the G7’s commitment to healthy competition among purely private-sector actors. In particular, decades of industrial policy have contributed to overcapacity and export dependence, pushing Chinese firms to seek growth in global markets as domestic demand fails to keep pace.</w:t>
      </w:r>
    </w:p>
    <w:p>
      <w:pPr>
        <w:pStyle w:val="DocBody"/>
      </w:pPr>
      <w:r>
        <w:rPr>
          <w:rFonts w:ascii="Times New Roman" w:hAnsi="Times New Roman" w:eastAsia="宋体"/>
          <w:sz w:val="24"/>
        </w:rPr>
        <w:t xml:space="preserve">These structural differences help explain why so many policymakers globally agree with the Trump administration that the Bretton Woods system is no longer fit for purpose. They also help explain the G7’s </w:t>
      </w:r>
      <w:hyperlink r:id="rId19">
        <w:r>
          <w:rPr>
            <w:rFonts w:ascii="Times New Roman" w:hAnsi="Times New Roman" w:eastAsia="宋体"/>
            <w:color w:val="0563C1"/>
            <w:sz w:val="24"/>
            <w:u w:val="single"/>
          </w:rPr>
          <w:t>growing willingness</w:t>
        </w:r>
      </w:hyperlink>
      <w:r>
        <w:rPr>
          <w:rFonts w:ascii="Times New Roman" w:hAnsi="Times New Roman" w:eastAsia="宋体"/>
          <w:sz w:val="24"/>
        </w:rPr>
        <w:t xml:space="preserve"> to take government equity stakes in critical minerals companies.</w:t>
      </w:r>
    </w:p>
    <w:p>
      <w:pPr>
        <w:pStyle w:val="DocBody"/>
      </w:pPr>
      <w:r>
        <w:rPr>
          <w:rFonts w:ascii="Times New Roman" w:hAnsi="Times New Roman" w:eastAsia="宋体"/>
          <w:sz w:val="24"/>
        </w:rPr>
        <w:t>Describing the China challenge as a trade war needlessly increases geostrategic tensions and creates the false impression that trade policy tools such as tariffs, export restrictions, or trade finance can deliver a swift solution. Failure to deliver quick “wins” in this context increases the twin risks of voter backlash and destabilizing economic ruptures.</w:t>
      </w:r>
    </w:p>
    <w:p>
      <w:pPr>
        <w:pStyle w:val="DocH1"/>
      </w:pPr>
      <w:r>
        <w:rPr>
          <w:rFonts w:ascii="Times New Roman" w:hAnsi="Times New Roman" w:eastAsia="宋体"/>
          <w:b/>
          <w:sz w:val="24"/>
        </w:rPr>
        <w:t>Second, align interests</w:t>
      </w:r>
    </w:p>
    <w:p>
      <w:pPr>
        <w:pStyle w:val="DocBody"/>
      </w:pPr>
      <w:r>
        <w:rPr>
          <w:rFonts w:ascii="Times New Roman" w:hAnsi="Times New Roman" w:eastAsia="宋体"/>
          <w:sz w:val="24"/>
        </w:rPr>
        <w:t xml:space="preserve">A disorderly unwinding of China’s global imbalances would create risks for both China and its trading partners. Broad-based </w:t>
      </w:r>
      <w:hyperlink r:id="rId20">
        <w:r>
          <w:rPr>
            <w:rFonts w:ascii="Times New Roman" w:hAnsi="Times New Roman" w:eastAsia="宋体"/>
            <w:color w:val="0563C1"/>
            <w:sz w:val="24"/>
            <w:u w:val="single"/>
          </w:rPr>
          <w:t>agreement</w:t>
        </w:r>
      </w:hyperlink>
      <w:r>
        <w:rPr>
          <w:rFonts w:ascii="Times New Roman" w:hAnsi="Times New Roman" w:eastAsia="宋体"/>
          <w:sz w:val="24"/>
        </w:rPr>
        <w:t xml:space="preserve"> already exists within the G7 on the need to diversify supply chains away from China—from pharmaceuticals to critical minerals. Policymakers have been taking plurilateral action for nearly a year. Three significant success stories stand out:</w:t>
      </w:r>
    </w:p>
    <w:p>
      <w:pPr>
        <w:pStyle w:val="DocBody"/>
        <w:ind w:left="765"/>
      </w:pPr>
      <w:r>
        <w:rPr>
          <w:rFonts w:ascii="Times New Roman" w:hAnsi="Times New Roman" w:eastAsia="宋体"/>
          <w:sz w:val="24"/>
        </w:rPr>
        <w:t xml:space="preserve">The </w:t>
      </w:r>
      <w:hyperlink r:id="rId21">
        <w:r>
          <w:rPr>
            <w:rFonts w:ascii="Times New Roman" w:hAnsi="Times New Roman" w:eastAsia="宋体"/>
            <w:color w:val="0563C1"/>
            <w:sz w:val="24"/>
            <w:u w:val="single"/>
          </w:rPr>
          <w:t>Turnberry Agreement</w:t>
        </w:r>
      </w:hyperlink>
      <w:r>
        <w:rPr>
          <w:rFonts w:ascii="Times New Roman" w:hAnsi="Times New Roman" w:eastAsia="宋体"/>
          <w:sz w:val="24"/>
        </w:rPr>
        <w:t>, ratified by the European Parliament earlier this year, delivers greater certainty and stability to the transatlantic economic relationship at a time of significant change.</w:t>
      </w:r>
    </w:p>
    <w:p>
      <w:pPr>
        <w:pStyle w:val="DocBody"/>
        <w:ind w:left="765"/>
      </w:pPr>
      <w:r>
        <w:rPr>
          <w:rFonts w:ascii="Times New Roman" w:hAnsi="Times New Roman" w:eastAsia="宋体"/>
          <w:sz w:val="24"/>
        </w:rPr>
        <w:t xml:space="preserve">The US-led </w:t>
      </w:r>
      <w:hyperlink r:id="rId22">
        <w:r>
          <w:rPr>
            <w:rFonts w:ascii="Times New Roman" w:hAnsi="Times New Roman" w:eastAsia="宋体"/>
            <w:color w:val="0563C1"/>
            <w:sz w:val="24"/>
            <w:u w:val="single"/>
          </w:rPr>
          <w:t>Pax Silica</w:t>
        </w:r>
      </w:hyperlink>
      <w:r>
        <w:rPr>
          <w:rFonts w:ascii="Times New Roman" w:hAnsi="Times New Roman" w:eastAsia="宋体"/>
          <w:sz w:val="24"/>
        </w:rPr>
        <w:t xml:space="preserve"> promises to counter Beijing’s dominance in the critical minerals sector by providing fifty-four partners with accelerated access to advanced technology and export credits. The United States may also require partners to forgo similar arrangements with China.</w:t>
      </w:r>
    </w:p>
    <w:p>
      <w:pPr>
        <w:pStyle w:val="DocBody"/>
        <w:ind w:left="765"/>
      </w:pPr>
      <w:r>
        <w:rPr>
          <w:rFonts w:ascii="Times New Roman" w:hAnsi="Times New Roman" w:eastAsia="宋体"/>
          <w:sz w:val="24"/>
        </w:rPr>
        <w:t>The EU, Canada, and Japan have also turned to bilateral economic and investment partnerships. The [2026 G7 on critical minerals supply chains expressly endorsed plurilateral agreements as the preferred framework for crafting diversified supply chains.</w:t>
      </w:r>
    </w:p>
    <w:p>
      <w:pPr>
        <w:pStyle w:val="DocBody"/>
      </w:pPr>
      <w:r>
        <w:rPr>
          <w:rFonts w:ascii="Times New Roman" w:hAnsi="Times New Roman" w:eastAsia="宋体"/>
          <w:sz w:val="24"/>
        </w:rPr>
        <w:t xml:space="preserve">These policy choices are understandable. As I </w:t>
      </w:r>
      <w:hyperlink r:id="rId23">
        <w:r>
          <w:rPr>
            <w:rFonts w:ascii="Times New Roman" w:hAnsi="Times New Roman" w:eastAsia="宋体"/>
            <w:color w:val="0563C1"/>
            <w:sz w:val="24"/>
            <w:u w:val="single"/>
          </w:rPr>
          <w:t>argued</w:t>
        </w:r>
      </w:hyperlink>
      <w:r>
        <w:rPr>
          <w:rFonts w:ascii="Times New Roman" w:hAnsi="Times New Roman" w:eastAsia="宋体"/>
          <w:sz w:val="24"/>
        </w:rPr>
        <w:t xml:space="preserve"> in 2024, gridlock at the World Trade Organization should not prevent like-minded countries from moving forward with trade liberalization in high-priority areas.</w:t>
      </w:r>
    </w:p>
    <w:p>
      <w:pPr>
        <w:pStyle w:val="DocBody"/>
      </w:pPr>
      <w:r>
        <w:rPr>
          <w:rFonts w:ascii="Times New Roman" w:hAnsi="Times New Roman" w:eastAsia="宋体"/>
          <w:sz w:val="24"/>
        </w:rPr>
        <w:t>Balancing the global economy requires G20 policymakers to invest political capital in aligning China’s growth interests with a more diversified global economy.</w:t>
      </w:r>
    </w:p>
    <w:p>
      <w:pPr>
        <w:pStyle w:val="DocH1"/>
      </w:pPr>
      <w:r>
        <w:rPr>
          <w:rFonts w:ascii="Times New Roman" w:hAnsi="Times New Roman" w:eastAsia="宋体"/>
          <w:b/>
          <w:sz w:val="24"/>
        </w:rPr>
        <w:t>Third, articulate the benefits</w:t>
      </w:r>
    </w:p>
    <w:p>
      <w:pPr>
        <w:pStyle w:val="DocBody"/>
      </w:pPr>
      <w:r>
        <w:rPr>
          <w:rFonts w:ascii="Times New Roman" w:hAnsi="Times New Roman" w:eastAsia="宋体"/>
          <w:sz w:val="24"/>
        </w:rPr>
        <w:t>Reducing concentration risk in supply chains may not initially be welcomed in China. Policymakers in Beijing recognize that their successful export-led growth model has created unwelcome vulnerabilities to external coercion. At the same time, they appreciate the leverage that other countries’ dependence on Chinese markets and supply chains can provide. Supply chain diversification may thus be seen as a threat to China’s growing geoeconomic prominence and, potentially, its economic growth.</w:t>
      </w:r>
    </w:p>
    <w:p>
      <w:pPr>
        <w:pStyle w:val="DocBody"/>
      </w:pPr>
      <w:r>
        <w:rPr>
          <w:rFonts w:ascii="Times New Roman" w:hAnsi="Times New Roman" w:eastAsia="宋体"/>
          <w:sz w:val="24"/>
        </w:rPr>
        <w:t xml:space="preserve">But reducing an unhealthy reliance on China need not create an existential threat to the country. Ironically, supply chain diversification could also align with other Chinese strategic goals. Beijing </w:t>
      </w:r>
      <w:hyperlink r:id="rId24">
        <w:r>
          <w:rPr>
            <w:rFonts w:ascii="Times New Roman" w:hAnsi="Times New Roman" w:eastAsia="宋体"/>
            <w:color w:val="0563C1"/>
            <w:sz w:val="24"/>
            <w:u w:val="single"/>
          </w:rPr>
          <w:t>promotes</w:t>
        </w:r>
      </w:hyperlink>
      <w:r>
        <w:rPr>
          <w:rFonts w:ascii="Times New Roman" w:hAnsi="Times New Roman" w:eastAsia="宋体"/>
          <w:sz w:val="24"/>
        </w:rPr>
        <w:t xml:space="preserve"> accelerated growth across a range of developing nations (most of which are located in the Global South). It has also </w:t>
      </w:r>
      <w:hyperlink r:id="rId25">
        <w:r>
          <w:rPr>
            <w:rFonts w:ascii="Times New Roman" w:hAnsi="Times New Roman" w:eastAsia="宋体"/>
            <w:color w:val="0563C1"/>
            <w:sz w:val="24"/>
            <w:u w:val="single"/>
          </w:rPr>
          <w:t>consistently eschewed</w:t>
        </w:r>
      </w:hyperlink>
      <w:r>
        <w:rPr>
          <w:rFonts w:ascii="Times New Roman" w:hAnsi="Times New Roman" w:eastAsia="宋体"/>
          <w:sz w:val="24"/>
        </w:rPr>
        <w:t xml:space="preserve"> US-style global leadership roles and responsibilities. China cannot have it both ways. It cannot be the world’s sole critical minerals supplier while promoting a multipolar order.</w:t>
      </w:r>
    </w:p>
    <w:p>
      <w:pPr>
        <w:pStyle w:val="DocBody"/>
      </w:pPr>
      <w:r>
        <w:rPr>
          <w:rFonts w:ascii="Times New Roman" w:hAnsi="Times New Roman" w:eastAsia="宋体"/>
          <w:sz w:val="24"/>
        </w:rPr>
        <w:t xml:space="preserve">Countries in the Southern Hemisphere and near the equator currently have a unique opportunity to accelerate economic and technological advances by increasing domestic production and advanced manufacturing, financed by generous G7 export credits and multilateral development bank financing. Plurilateral trade and investment agreements like Pax Silica could propel dramatic economic growth in these countries. China can benefit from these trends. Global demand for advanced computing and other technologies </w:t>
      </w:r>
      <w:hyperlink r:id="rId26">
        <w:r>
          <w:rPr>
            <w:rFonts w:ascii="Times New Roman" w:hAnsi="Times New Roman" w:eastAsia="宋体"/>
            <w:color w:val="0563C1"/>
            <w:sz w:val="24"/>
            <w:u w:val="single"/>
          </w:rPr>
          <w:t>could</w:t>
        </w:r>
      </w:hyperlink>
      <w:r>
        <w:rPr>
          <w:rFonts w:ascii="Times New Roman" w:hAnsi="Times New Roman" w:eastAsia="宋体"/>
          <w:sz w:val="24"/>
        </w:rPr>
        <w:t xml:space="preserve"> create room for new suppliers without necessarily coming at the expense of Chinese production, all while supporting </w:t>
      </w:r>
      <w:hyperlink r:id="rId27">
        <w:r>
          <w:rPr>
            <w:rFonts w:ascii="Times New Roman" w:hAnsi="Times New Roman" w:eastAsia="宋体"/>
            <w:color w:val="0563C1"/>
            <w:sz w:val="24"/>
            <w:u w:val="single"/>
          </w:rPr>
          <w:t>global growth</w:t>
        </w:r>
      </w:hyperlink>
      <w:r>
        <w:rPr>
          <w:rFonts w:ascii="Times New Roman" w:hAnsi="Times New Roman" w:eastAsia="宋体"/>
          <w:sz w:val="24"/>
        </w:rPr>
        <w:t>.</w:t>
      </w:r>
    </w:p>
    <w:p>
      <w:pPr>
        <w:pStyle w:val="DocH1"/>
      </w:pPr>
      <w:r>
        <w:rPr>
          <w:rFonts w:ascii="Times New Roman" w:hAnsi="Times New Roman" w:eastAsia="宋体"/>
          <w:b/>
          <w:sz w:val="24"/>
        </w:rPr>
        <w:t>The G20’s opportunity</w:t>
      </w:r>
    </w:p>
    <w:p>
      <w:pPr>
        <w:pStyle w:val="DocBody"/>
      </w:pPr>
      <w:r>
        <w:rPr>
          <w:rFonts w:ascii="Times New Roman" w:hAnsi="Times New Roman" w:eastAsia="宋体"/>
          <w:sz w:val="24"/>
        </w:rPr>
        <w:t>Leaders facing generational challenges succeed when they articulate the benefits of a policy priority. The negative case alone cannot sustain structural policy shifts, much less create incentives for policy change among adversaries. The price of failure can be high; strategic, multiyear policies without articulated benefits often founder at the ballot box.</w:t>
      </w:r>
    </w:p>
    <w:p>
      <w:pPr>
        <w:pStyle w:val="DocBody"/>
      </w:pPr>
      <w:r>
        <w:rPr>
          <w:rFonts w:ascii="Times New Roman" w:hAnsi="Times New Roman" w:eastAsia="宋体"/>
          <w:sz w:val="24"/>
        </w:rPr>
        <w:t>Successful deployment of positive economic statecraft over the coming decade requires the United States and its allies to articulate the concrete domestic and partner benefits of export credits, regulatory preferences, lower tariffs, and tariff exemptions. Economic growth and job creation can occur across the supply chain.</w:t>
      </w:r>
    </w:p>
    <w:p>
      <w:pPr>
        <w:pStyle w:val="DocBody"/>
      </w:pPr>
      <w:hyperlink r:id="rId28">
        <w:r>
          <w:rPr>
            <w:rFonts w:ascii="Times New Roman" w:hAnsi="Times New Roman" w:eastAsia="宋体"/>
            <w:color w:val="0563C1"/>
            <w:sz w:val="24"/>
            <w:u w:val="single"/>
          </w:rPr>
          <w:t>Pax Silica</w:t>
        </w:r>
      </w:hyperlink>
      <w:r>
        <w:rPr>
          <w:rFonts w:ascii="Times New Roman" w:hAnsi="Times New Roman" w:eastAsia="宋体"/>
          <w:sz w:val="24"/>
        </w:rPr>
        <w:t xml:space="preserve"> provides a good template for promoting the “carrots” in the economic statecraft toolkit because it promises to offer different but complementary benefits to supply chain partners, such as supply-chain access, increased investment, or infrastructure cooperation. Even if China were not the dominant supplier, the positive geoeconomic case for enhanced, accelerated cooperation in this field would remain compelling.</w:t>
      </w:r>
    </w:p>
    <w:p>
      <w:pPr>
        <w:pStyle w:val="DocBody"/>
      </w:pPr>
      <w:r>
        <w:rPr>
          <w:rFonts w:ascii="Times New Roman" w:hAnsi="Times New Roman" w:eastAsia="宋体"/>
          <w:sz w:val="24"/>
        </w:rPr>
        <w:t>The G20’s informal structure was designed to provide a flexible framework for discussing global imbalances and financial fragility. It is one of the few forums that brings together the world’s largest economies for difficult geoeconomic conversations. The G20 is thus the best forum for deploying the positive tools of economic statecraft to support diversification away from Beijing without scuttling China’s economy.</w:t>
      </w:r>
    </w:p>
    <w:p>
      <w:pPr>
        <w:pStyle w:val="DocBody"/>
        <w:ind w:left="1106"/>
      </w:pPr>
      <w:r>
        <w:rPr>
          <w:rFonts w:ascii="Times New Roman" w:hAnsi="Times New Roman" w:eastAsia="宋体"/>
          <w:i/>
          <w:sz w:val="24"/>
        </w:rPr>
        <w:t>Barbara C. Matthews is a nonresident senior fellow at the Atlantic Council’s GeoEconomics Center. A former US Treasury official, she is also the CEO and Founder of BCMstrategy, Inc. a company that generates structured text and quantitative data automatically from the language of public policy.</w:t>
      </w:r>
    </w:p>
    <w:p>
      <w:pPr>
        <w:pStyle w:val="DocH1"/>
      </w:pPr>
      <w:r>
        <w:rPr>
          <w:rFonts w:ascii="Times New Roman" w:hAnsi="Times New Roman" w:eastAsia="宋体"/>
          <w:sz w:val="24"/>
        </w:rPr>
        <w:t>Further reading</w:t>
      </w:r>
    </w:p>
    <w:p>
      <w:pPr>
        <w:jc w:val="center"/>
      </w:pPr>
      <w:r>
        <w:drawing>
          <wp:inline xmlns:a="http://schemas.openxmlformats.org/drawingml/2006/main" xmlns:pic="http://schemas.openxmlformats.org/drawingml/2006/picture">
            <wp:extent cx="1522800" cy="1065960"/>
            <wp:docPr id="2" name="Picture 2"/>
            <wp:cNvGraphicFramePr>
              <a:graphicFrameLocks noChangeAspect="1"/>
            </wp:cNvGraphicFramePr>
            <a:graphic>
              <a:graphicData uri="http://schemas.openxmlformats.org/drawingml/2006/picture">
                <pic:pic>
                  <pic:nvPicPr>
                    <pic:cNvPr id="0" name="53893cb94ee7efdc.jpg"/>
                    <pic:cNvPicPr/>
                  </pic:nvPicPr>
                  <pic:blipFill>
                    <a:blip r:embed="rId29"/>
                    <a:stretch>
                      <a:fillRect/>
                    </a:stretch>
                  </pic:blipFill>
                  <pic:spPr>
                    <a:xfrm>
                      <a:off x="0" y="0"/>
                      <a:ext cx="1522800" cy="1065960"/>
                    </a:xfrm>
                    <a:prstGeom prst="rect"/>
                  </pic:spPr>
                </pic:pic>
              </a:graphicData>
            </a:graphic>
          </wp:inline>
        </w:drawing>
      </w:r>
    </w:p>
    <w:p>
      <w:pPr>
        <w:pStyle w:val="DocCaption"/>
      </w:pPr>
      <w:r>
        <w:t>图2  The G20 needs more carrots to rebalance away from China</w:t>
      </w:r>
    </w:p>
    <w:p>
      <w:pPr>
        <w:pStyle w:val="DocBody"/>
      </w:pPr>
      <w:r>
        <w:rPr>
          <w:rFonts w:ascii="Times New Roman" w:hAnsi="Times New Roman" w:eastAsia="宋体"/>
          <w:sz w:val="24"/>
        </w:rPr>
        <w:t>Mon, Aug 24, 2026</w:t>
      </w:r>
    </w:p>
    <w:p>
      <w:pPr>
        <w:pStyle w:val="DocH1"/>
      </w:pPr>
      <w:hyperlink r:id="rId30">
        <w:r>
          <w:rPr>
            <w:rFonts w:ascii="Times New Roman" w:hAnsi="Times New Roman" w:eastAsia="宋体"/>
            <w:color w:val="0563C1"/>
            <w:sz w:val="24"/>
            <w:u w:val="single"/>
          </w:rPr>
          <w:t>Stablecoin regulation has outpaced global coordination. The G20 can help.</w:t>
        </w:r>
      </w:hyperlink>
    </w:p>
    <w:p>
      <w:pPr>
        <w:pStyle w:val="DocBody"/>
      </w:pPr>
      <w:r>
        <w:rPr>
          <w:rFonts w:ascii="Times New Roman" w:hAnsi="Times New Roman" w:eastAsia="宋体"/>
          <w:sz w:val="24"/>
        </w:rPr>
        <w:t>Econographics By Jai Massari Three challenges stand out: recognizing issuers across borders, agreeing on common rules for stablecoin use, and making stablecoins truly fungible across jurisdictions.</w:t>
      </w:r>
    </w:p>
    <w:p>
      <w:pPr>
        <w:pStyle w:val="DocBody"/>
      </w:pPr>
      <w:hyperlink r:id="rId31">
        <w:r>
          <w:rPr>
            <w:rFonts w:ascii="Times New Roman" w:hAnsi="Times New Roman" w:eastAsia="宋体"/>
            <w:color w:val="0563C1"/>
            <w:sz w:val="24"/>
            <w:u w:val="single"/>
          </w:rPr>
          <w:t>Digital Currencies</w:t>
        </w:r>
      </w:hyperlink>
      <w:r>
        <w:rPr>
          <w:rFonts w:ascii="Times New Roman" w:hAnsi="Times New Roman" w:eastAsia="宋体"/>
          <w:sz w:val="24"/>
        </w:rPr>
        <w:t xml:space="preserve"> </w:t>
      </w:r>
      <w:hyperlink r:id="rId32">
        <w:r>
          <w:rPr>
            <w:rFonts w:ascii="Times New Roman" w:hAnsi="Times New Roman" w:eastAsia="宋体"/>
            <w:color w:val="0563C1"/>
            <w:sz w:val="24"/>
            <w:u w:val="single"/>
          </w:rPr>
          <w:t>Digital Policy</w:t>
        </w:r>
      </w:hyperlink>
    </w:p>
    <w:p>
      <w:pPr>
        <w:jc w:val="center"/>
      </w:pPr>
      <w:r>
        <w:drawing>
          <wp:inline xmlns:a="http://schemas.openxmlformats.org/drawingml/2006/main" xmlns:pic="http://schemas.openxmlformats.org/drawingml/2006/picture">
            <wp:extent cx="1522800" cy="1065960"/>
            <wp:docPr id="3" name="Picture 3"/>
            <wp:cNvGraphicFramePr>
              <a:graphicFrameLocks noChangeAspect="1"/>
            </wp:cNvGraphicFramePr>
            <a:graphic>
              <a:graphicData uri="http://schemas.openxmlformats.org/drawingml/2006/picture">
                <pic:pic>
                  <pic:nvPicPr>
                    <pic:cNvPr id="0" name="e61922a99711d98d.jpg"/>
                    <pic:cNvPicPr/>
                  </pic:nvPicPr>
                  <pic:blipFill>
                    <a:blip r:embed="rId33"/>
                    <a:stretch>
                      <a:fillRect/>
                    </a:stretch>
                  </pic:blipFill>
                  <pic:spPr>
                    <a:xfrm>
                      <a:off x="0" y="0"/>
                      <a:ext cx="1522800" cy="1065960"/>
                    </a:xfrm>
                    <a:prstGeom prst="rect"/>
                  </pic:spPr>
                </pic:pic>
              </a:graphicData>
            </a:graphic>
          </wp:inline>
        </w:drawing>
      </w:r>
    </w:p>
    <w:p>
      <w:pPr>
        <w:pStyle w:val="DocCaption"/>
      </w:pPr>
      <w:r>
        <w:t>图3  The G20 needs more carrots to rebalance away from China</w:t>
      </w:r>
    </w:p>
    <w:p>
      <w:pPr>
        <w:pStyle w:val="DocBody"/>
      </w:pPr>
      <w:r>
        <w:rPr>
          <w:rFonts w:ascii="Times New Roman" w:hAnsi="Times New Roman" w:eastAsia="宋体"/>
          <w:sz w:val="24"/>
        </w:rPr>
        <w:t>Fri, Aug 28, 2026</w:t>
      </w:r>
    </w:p>
    <w:p>
      <w:pPr>
        <w:pStyle w:val="DocH1"/>
      </w:pPr>
      <w:hyperlink r:id="rId34">
        <w:r>
          <w:rPr>
            <w:rFonts w:ascii="Times New Roman" w:hAnsi="Times New Roman" w:eastAsia="宋体"/>
            <w:color w:val="0563C1"/>
            <w:sz w:val="24"/>
            <w:u w:val="single"/>
          </w:rPr>
          <w:t>Why China’s export-maximizing strategy is working—for now</w:t>
        </w:r>
      </w:hyperlink>
    </w:p>
    <w:p>
      <w:pPr>
        <w:pStyle w:val="DocBody"/>
      </w:pPr>
      <w:r>
        <w:rPr>
          <w:rFonts w:ascii="Times New Roman" w:hAnsi="Times New Roman" w:eastAsia="宋体"/>
          <w:sz w:val="24"/>
        </w:rPr>
        <w:t>Dispatches By Martin Mühleisen China’s economy faces real constraints, but Beijing’s repressive political system might manage them for far longer than expected.</w:t>
      </w:r>
    </w:p>
    <w:p>
      <w:pPr>
        <w:pStyle w:val="DocBody"/>
      </w:pPr>
      <w:hyperlink r:id="rId35">
        <w:r>
          <w:rPr>
            <w:rFonts w:ascii="Times New Roman" w:hAnsi="Times New Roman" w:eastAsia="宋体"/>
            <w:color w:val="0563C1"/>
            <w:sz w:val="24"/>
            <w:u w:val="single"/>
          </w:rPr>
          <w:t>China</w:t>
        </w:r>
      </w:hyperlink>
      <w:r>
        <w:rPr>
          <w:rFonts w:ascii="Times New Roman" w:hAnsi="Times New Roman" w:eastAsia="宋体"/>
          <w:sz w:val="24"/>
        </w:rPr>
        <w:t xml:space="preserve"> </w:t>
      </w:r>
      <w:hyperlink r:id="rId36">
        <w:r>
          <w:rPr>
            <w:rFonts w:ascii="Times New Roman" w:hAnsi="Times New Roman" w:eastAsia="宋体"/>
            <w:color w:val="0563C1"/>
            <w:sz w:val="24"/>
            <w:u w:val="single"/>
          </w:rPr>
          <w:t>Economy &amp; Business</w:t>
        </w:r>
      </w:hyperlink>
    </w:p>
    <w:p>
      <w:pPr>
        <w:jc w:val="center"/>
      </w:pPr>
      <w:r>
        <w:drawing>
          <wp:inline xmlns:a="http://schemas.openxmlformats.org/drawingml/2006/main" xmlns:pic="http://schemas.openxmlformats.org/drawingml/2006/picture">
            <wp:extent cx="1522800" cy="1065960"/>
            <wp:docPr id="4" name="Picture 4"/>
            <wp:cNvGraphicFramePr>
              <a:graphicFrameLocks noChangeAspect="1"/>
            </wp:cNvGraphicFramePr>
            <a:graphic>
              <a:graphicData uri="http://schemas.openxmlformats.org/drawingml/2006/picture">
                <pic:pic>
                  <pic:nvPicPr>
                    <pic:cNvPr id="0" name="db123256401b3e89.jpg"/>
                    <pic:cNvPicPr/>
                  </pic:nvPicPr>
                  <pic:blipFill>
                    <a:blip r:embed="rId37"/>
                    <a:stretch>
                      <a:fillRect/>
                    </a:stretch>
                  </pic:blipFill>
                  <pic:spPr>
                    <a:xfrm>
                      <a:off x="0" y="0"/>
                      <a:ext cx="1522800" cy="1065960"/>
                    </a:xfrm>
                    <a:prstGeom prst="rect"/>
                  </pic:spPr>
                </pic:pic>
              </a:graphicData>
            </a:graphic>
          </wp:inline>
        </w:drawing>
      </w:r>
    </w:p>
    <w:p>
      <w:pPr>
        <w:pStyle w:val="DocCaption"/>
      </w:pPr>
      <w:r>
        <w:t>图4  The G20 needs more carrots to rebalance away from China</w:t>
      </w:r>
    </w:p>
    <w:p>
      <w:pPr>
        <w:pStyle w:val="DocBody"/>
      </w:pPr>
      <w:r>
        <w:rPr>
          <w:rFonts w:ascii="Times New Roman" w:hAnsi="Times New Roman" w:eastAsia="宋体"/>
          <w:sz w:val="24"/>
        </w:rPr>
        <w:t>Mon, Aug 24, 2026</w:t>
      </w:r>
    </w:p>
    <w:p>
      <w:pPr>
        <w:pStyle w:val="DocH1"/>
      </w:pPr>
      <w:hyperlink r:id="rId18">
        <w:r>
          <w:rPr>
            <w:rFonts w:ascii="Times New Roman" w:hAnsi="Times New Roman" w:eastAsia="宋体"/>
            <w:color w:val="0563C1"/>
            <w:sz w:val="24"/>
            <w:u w:val="single"/>
          </w:rPr>
          <w:t>Canada wants a deal, but Washington keeps moving the goalposts</w:t>
        </w:r>
      </w:hyperlink>
    </w:p>
    <w:p>
      <w:pPr>
        <w:pStyle w:val="DocBody"/>
      </w:pPr>
      <w:r>
        <w:rPr>
          <w:rFonts w:ascii="Times New Roman" w:hAnsi="Times New Roman" w:eastAsia="宋体"/>
          <w:sz w:val="24"/>
        </w:rPr>
        <w:t xml:space="preserve">Dispatches By </w:t>
      </w:r>
      <w:hyperlink r:id="rId38">
        <w:r>
          <w:rPr>
            <w:rFonts w:ascii="Times New Roman" w:hAnsi="Times New Roman" w:eastAsia="宋体"/>
            <w:color w:val="0563C1"/>
            <w:sz w:val="24"/>
            <w:u w:val="single"/>
          </w:rPr>
          <w:t>Marcy Grossman</w:t>
        </w:r>
      </w:hyperlink>
    </w:p>
    <w:p>
      <w:pPr>
        <w:pStyle w:val="DocBody"/>
      </w:pPr>
      <w:r>
        <w:rPr>
          <w:rFonts w:ascii="Times New Roman" w:hAnsi="Times New Roman" w:eastAsia="宋体"/>
          <w:sz w:val="24"/>
        </w:rPr>
        <w:t>As trade negotiations falter and the possibility of tariffs looms, there is better way forward for Washington and Ottawa—if they choose to take it.</w:t>
      </w:r>
    </w:p>
    <w:p>
      <w:pPr>
        <w:pStyle w:val="DocBody"/>
      </w:pPr>
      <w:hyperlink r:id="rId36">
        <w:r>
          <w:rPr>
            <w:rFonts w:ascii="Times New Roman" w:hAnsi="Times New Roman" w:eastAsia="宋体"/>
            <w:color w:val="0563C1"/>
            <w:sz w:val="24"/>
            <w:u w:val="single"/>
          </w:rPr>
          <w:t>Economy &amp; Business</w:t>
        </w:r>
      </w:hyperlink>
      <w:r>
        <w:rPr>
          <w:rFonts w:ascii="Times New Roman" w:hAnsi="Times New Roman" w:eastAsia="宋体"/>
          <w:sz w:val="24"/>
        </w:rPr>
        <w:t xml:space="preserve"> </w:t>
      </w:r>
      <w:hyperlink r:id="rId39">
        <w:r>
          <w:rPr>
            <w:rFonts w:ascii="Times New Roman" w:hAnsi="Times New Roman" w:eastAsia="宋体"/>
            <w:color w:val="0563C1"/>
            <w:sz w:val="24"/>
            <w:u w:val="single"/>
          </w:rPr>
          <w:t>Politics &amp; Diplomacy</w:t>
        </w:r>
      </w:hyperlink>
    </w:p>
    <w:p>
      <w:pPr>
        <w:pStyle w:val="DocBody"/>
      </w:pPr>
      <w:hyperlink r:id="rId35">
        <w:r>
          <w:rPr>
            <w:rFonts w:ascii="Times New Roman" w:hAnsi="Times New Roman" w:eastAsia="宋体"/>
            <w:color w:val="0563C1"/>
            <w:sz w:val="24"/>
            <w:u w:val="single"/>
          </w:rPr>
          <w:t>China</w:t>
        </w:r>
      </w:hyperlink>
      <w:r>
        <w:rPr>
          <w:rFonts w:ascii="Times New Roman" w:hAnsi="Times New Roman" w:eastAsia="宋体"/>
          <w:sz w:val="24"/>
        </w:rPr>
        <w:t xml:space="preserve"> </w:t>
      </w:r>
      <w:hyperlink r:id="rId36">
        <w:r>
          <w:rPr>
            <w:rFonts w:ascii="Times New Roman" w:hAnsi="Times New Roman" w:eastAsia="宋体"/>
            <w:color w:val="0563C1"/>
            <w:sz w:val="24"/>
            <w:u w:val="single"/>
          </w:rPr>
          <w:t>Economy &amp; Business</w:t>
        </w:r>
      </w:hyperlink>
      <w:r>
        <w:rPr>
          <w:rFonts w:ascii="Times New Roman" w:hAnsi="Times New Roman" w:eastAsia="宋体"/>
          <w:sz w:val="24"/>
        </w:rPr>
        <w:t xml:space="preserve"> </w:t>
      </w:r>
      <w:hyperlink r:id="rId40">
        <w:r>
          <w:rPr>
            <w:rFonts w:ascii="Times New Roman" w:hAnsi="Times New Roman" w:eastAsia="宋体"/>
            <w:color w:val="0563C1"/>
            <w:sz w:val="24"/>
            <w:u w:val="single"/>
          </w:rPr>
          <w:t>G20</w:t>
        </w:r>
      </w:hyperlink>
      <w:r>
        <w:rPr>
          <w:rFonts w:ascii="Times New Roman" w:hAnsi="Times New Roman" w:eastAsia="宋体"/>
          <w:sz w:val="24"/>
        </w:rPr>
        <w:t xml:space="preserve"> </w:t>
      </w:r>
      <w:hyperlink r:id="rId41">
        <w:r>
          <w:rPr>
            <w:rFonts w:ascii="Times New Roman" w:hAnsi="Times New Roman" w:eastAsia="宋体"/>
            <w:color w:val="0563C1"/>
            <w:sz w:val="24"/>
            <w:u w:val="single"/>
          </w:rPr>
          <w:t>Trade and tariffs</w:t>
        </w:r>
      </w:hyperlink>
    </w:p>
    <w:p>
      <w:pPr>
        <w:pStyle w:val="DocBody"/>
      </w:pPr>
      <w:r>
        <w:rPr>
          <w:rFonts w:ascii="Times New Roman" w:hAnsi="Times New Roman" w:eastAsia="宋体"/>
          <w:sz w:val="24"/>
        </w:rPr>
        <w:t>Image: Products container in shipping cargo port with Chinese flag for import export business (China Concept via Shutterstock)</w:t>
      </w:r>
    </w:p>
    <w:p>
      <w:pPr>
        <w:pStyle w:val="DocBody"/>
      </w:pPr>
      <w:r>
        <w:rPr>
          <w:rFonts w:ascii="Times New Roman" w:hAnsi="Times New Roman" w:eastAsia="宋体"/>
          <w:sz w:val="24"/>
        </w:rPr>
        <w:t>Original text Rate this translation Your feedback will be used to help improve Google Translate</w:t>
      </w:r>
    </w:p>
    <w:sectPr w:rsidR="00FC693F" w:rsidRPr="0006063C" w:rsidSect="00034616">
      <w:headerReference w:type="default" r:id="rId9"/>
      <w:footerReference w:type="default" r:id="rId10"/>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color w:val="595959"/>
        <w:sz w:val="21"/>
      </w:rPr>
      <w:t xml:space="preserve">第 </w:t>
    </w:r>
    <w:fldSimple w:instr="PAGE"/>
    <w:r>
      <w:rPr>
        <w:rFonts w:ascii="Times New Roman" w:hAnsi="Times New Roman" w:eastAsia="宋体"/>
        <w:color w:val="595959"/>
        <w:sz w:val="21"/>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宋体"/>
        <w:color w:val="595959"/>
        <w:sz w:val="21"/>
      </w:rPr>
      <w:t>briefing_article 简报文章资料库 ｜ B003-016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Title">
    <w:name w:val="DocTitle"/>
    <w:basedOn w:val="Normal"/>
    <w:pPr>
      <w:spacing w:before="120" w:after="240"/>
      <w:jc w:val="center"/>
    </w:pPr>
    <w:rPr>
      <w:rFonts w:ascii="Times New Roman" w:hAnsi="Times New Roman" w:eastAsia="黑体"/>
      <w:b/>
      <w:sz w:val="44"/>
    </w:rPr>
  </w:style>
  <w:style w:type="paragraph" w:customStyle="1" w:styleId="DocH1">
    <w:name w:val="DocH1"/>
    <w:basedOn w:val="Normal"/>
    <w:pPr>
      <w:spacing w:before="240" w:after="120"/>
    </w:pPr>
    <w:rPr>
      <w:rFonts w:ascii="Times New Roman" w:hAnsi="Times New Roman" w:eastAsia="黑体"/>
      <w:b/>
      <w:sz w:val="32"/>
    </w:rPr>
  </w:style>
  <w:style w:type="paragraph" w:customStyle="1" w:styleId="DocH2">
    <w:name w:val="DocH2"/>
    <w:basedOn w:val="Normal"/>
    <w:pPr>
      <w:spacing w:before="240" w:after="120"/>
    </w:pPr>
    <w:rPr>
      <w:rFonts w:ascii="Times New Roman" w:hAnsi="Times New Roman" w:eastAsia="黑体"/>
      <w:b/>
      <w:sz w:val="28"/>
    </w:rPr>
  </w:style>
  <w:style w:type="paragraph" w:customStyle="1" w:styleId="DocH3">
    <w:name w:val="DocH3"/>
    <w:basedOn w:val="Normal"/>
    <w:pPr>
      <w:spacing w:before="160" w:after="120"/>
    </w:pPr>
    <w:rPr>
      <w:rFonts w:ascii="Times New Roman" w:hAnsi="Times New Roman" w:eastAsia="黑体"/>
      <w:b/>
      <w:sz w:val="24"/>
    </w:rPr>
  </w:style>
  <w:style w:type="paragraph" w:customStyle="1" w:styleId="DocCaption">
    <w:name w:val="DocCaption"/>
    <w:basedOn w:val="Normal"/>
    <w:pPr>
      <w:spacing w:after="200"/>
      <w:jc w:val="center"/>
    </w:pPr>
    <w:rPr>
      <w:rFonts w:ascii="Times New Roman" w:hAnsi="Times New Roman" w:eastAsia="宋体"/>
      <w:color w:val="595959"/>
      <w:sz w:val="21"/>
    </w:rPr>
  </w:style>
  <w:style w:type="paragraph" w:customStyle="1" w:styleId="DocBody">
    <w:name w:val="DocBody"/>
    <w:basedOn w:val="Normal"/>
    <w:pPr>
      <w:ind w:firstLine="480"/>
      <w:jc w:val="both"/>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atlanticcouncil.org/blogs/econographics/the-g20-needs-more-carrots-to-rebalance-away-from-china/" TargetMode="External"/><Relationship Id="rId12" Type="http://schemas.openxmlformats.org/officeDocument/2006/relationships/hyperlink" Target="https://www.facebook.com/sharer/sharer.php?u=https%3A%2F%2Fwww.atlanticcouncil.org%2Fblogs%2Feconographics%2Fthe-g20-needs-more-carrots-to-rebalance-away-from-china%2F" TargetMode="External"/><Relationship Id="rId13" Type="http://schemas.openxmlformats.org/officeDocument/2006/relationships/hyperlink" Target="https://twitter.com/intent/tweet?url=https%3A%2F%2Fwww.atlanticcouncil.org%2Fblogs%2Feconographics%2Fthe-g20-needs-more-carrots-to-rebalance-away-from-china%2F&amp;text=The+G20+needs+more+carrots+to+rebalance+away+from+China" TargetMode="External"/><Relationship Id="rId14" Type="http://schemas.openxmlformats.org/officeDocument/2006/relationships/hyperlink" Target="https://www.linkedin.com/sharing/share-offsite/?url=https://www.atlanticcouncil.org/blogs/econographics/the-g20-needs-more-carrots-to-rebalance-away-from-china/&amp;text=The+G20+needs+more+carrots+to+rebalance+away+from+China%20%5Bhttps://www.atlanticcouncil.org/blogs/econographics/the-g20-needs-more-carrots-to-rebalance-away-from-china/%5D" TargetMode="External"/><Relationship Id="rId15" Type="http://schemas.openxmlformats.org/officeDocument/2006/relationships/image" Target="media/image1.jpg"/><Relationship Id="rId16" Type="http://schemas.openxmlformats.org/officeDocument/2006/relationships/hyperlink" Target="https://www.atlanticcouncil.org/dispatches/the-eu-and-india-are-creating-a-free-trade-area-of-two-billion-people-whats-next/" TargetMode="External"/><Relationship Id="rId17" Type="http://schemas.openxmlformats.org/officeDocument/2006/relationships/hyperlink" Target="https://www.whitecase.com/insight-alert/china-issues-new-supply-chain-security-regulations" TargetMode="External"/><Relationship Id="rId18" Type="http://schemas.openxmlformats.org/officeDocument/2006/relationships/hyperlink" Target="https://www.atlanticcouncil.org/dispatches/canada-wants-a-deal-but-washington-keeps-moving-the-goalposts/" TargetMode="External"/><Relationship Id="rId19" Type="http://schemas.openxmlformats.org/officeDocument/2006/relationships/hyperlink" Target="https://www.pm.gc.ca/en/news/statements/2026/06/17/g7-leaders-declaration-securing-supply-chains-critical-minerals" TargetMode="External"/><Relationship Id="rId20" Type="http://schemas.openxmlformats.org/officeDocument/2006/relationships/hyperlink" Target="https://www.reuters.com/breakingviews/g7-says-de-risking-china-hears-containment-2023-05-22/" TargetMode="External"/><Relationship Id="rId21" Type="http://schemas.openxmlformats.org/officeDocument/2006/relationships/hyperlink" Target="https://www.whitehouse.gov/fact-sheets/2025/07/fact-sheet-the-united-states-and-european-union-reach-massive-trade-deal/" TargetMode="External"/><Relationship Id="rId22" Type="http://schemas.openxmlformats.org/officeDocument/2006/relationships/hyperlink" Target="https://www.state.gov/pax-silica/" TargetMode="External"/><Relationship Id="rId23" Type="http://schemas.openxmlformats.org/officeDocument/2006/relationships/hyperlink" Target="https://www.mercatus.org/media/document/4906mcdanielmatthewspragmatismtradessv1pdf" TargetMode="External"/><Relationship Id="rId24" Type="http://schemas.openxmlformats.org/officeDocument/2006/relationships/hyperlink" Target="https://eh4s.eu/publication/chinas-increasing-influence-in-the-global-south-what-does-it-mean-for-the-eu" TargetMode="External"/><Relationship Id="rId25" Type="http://schemas.openxmlformats.org/officeDocument/2006/relationships/hyperlink" Target="https://www.foreignaffairs.com/china/what-china-doesnt-want" TargetMode="External"/><Relationship Id="rId26" Type="http://schemas.openxmlformats.org/officeDocument/2006/relationships/hyperlink" Target="https://www.idc.com/resource-center/blog/semiconductor-market-to-surge-past-the-trillion-dollar-threshold-ai-infrastructure-drives-market-growth/" TargetMode="External"/><Relationship Id="rId27" Type="http://schemas.openxmlformats.org/officeDocument/2006/relationships/hyperlink" Target="https://rhg.com/research/how-chinas-overcapacity-holds-back-emerging-economies/" TargetMode="External"/><Relationship Id="rId28" Type="http://schemas.openxmlformats.org/officeDocument/2006/relationships/hyperlink" Target="https://ebs.publicnow.com/view/4BFCA069838BA31827FC1B5D6217C610EA5B54C7" TargetMode="External"/><Relationship Id="rId29" Type="http://schemas.openxmlformats.org/officeDocument/2006/relationships/image" Target="media/image2.jpg"/><Relationship Id="rId30" Type="http://schemas.openxmlformats.org/officeDocument/2006/relationships/hyperlink" Target="https://www.atlanticcouncil.org/blogs/econographics/stablecoin-regulation-has-outpaced-global-coordination-the-g20-can-help/" TargetMode="External"/><Relationship Id="rId31" Type="http://schemas.openxmlformats.org/officeDocument/2006/relationships/hyperlink" Target="https://www.atlanticcouncil.org/issue/digital-currencies/" TargetMode="External"/><Relationship Id="rId32" Type="http://schemas.openxmlformats.org/officeDocument/2006/relationships/hyperlink" Target="https://www.atlanticcouncil.org/issue/digital-policy/" TargetMode="External"/><Relationship Id="rId33" Type="http://schemas.openxmlformats.org/officeDocument/2006/relationships/image" Target="media/image3.jpg"/><Relationship Id="rId34" Type="http://schemas.openxmlformats.org/officeDocument/2006/relationships/hyperlink" Target="https://www.atlanticcouncil.org/dispatches/why-chinas-export-maximizing-strategy-is-working-for-now/" TargetMode="External"/><Relationship Id="rId35" Type="http://schemas.openxmlformats.org/officeDocument/2006/relationships/hyperlink" Target="https://www.atlanticcouncil.org/region/china/" TargetMode="External"/><Relationship Id="rId36" Type="http://schemas.openxmlformats.org/officeDocument/2006/relationships/hyperlink" Target="https://www.atlanticcouncil.org/issue/economy-business/" TargetMode="External"/><Relationship Id="rId37" Type="http://schemas.openxmlformats.org/officeDocument/2006/relationships/image" Target="media/image4.jpg"/><Relationship Id="rId38" Type="http://schemas.openxmlformats.org/officeDocument/2006/relationships/hyperlink" Target="https://www.atlanticcouncil.org/expert/marcy-grossman/" TargetMode="External"/><Relationship Id="rId39" Type="http://schemas.openxmlformats.org/officeDocument/2006/relationships/hyperlink" Target="https://www.atlanticcouncil.org/issue/politics-diplomacy/" TargetMode="External"/><Relationship Id="rId40" Type="http://schemas.openxmlformats.org/officeDocument/2006/relationships/hyperlink" Target="https://www.atlanticcouncil.org/issue/g20/" TargetMode="External"/><Relationship Id="rId41" Type="http://schemas.openxmlformats.org/officeDocument/2006/relationships/hyperlink" Target="https://www.atlanticcouncil.org/issue/trade-and-tariff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G20 needs more carrots to rebalance away from China</dc:title>
  <dc:subject/>
  <dc:creator>briefing-article-kb</dc:creator>
  <cp:keywords/>
  <dc:description>https://www.atlanticcouncil.org/blogs/econographics/the-g20-needs-more-carrots-to-rebalance-away-from-china/</dc:description>
  <cp:lastModifiedBy/>
  <cp:revision>1</cp:revision>
  <dcterms:created xsi:type="dcterms:W3CDTF">2013-12-23T23:15:00Z</dcterms:created>
  <dcterms:modified xsi:type="dcterms:W3CDTF">2013-12-23T23:15:00Z</dcterms:modified>
  <cp:category/>
</cp:coreProperties>
</file>