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B003-018</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AtlanticCouncil（Atlantic Council）</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Why China’s export-maximizing strategy is working—for now</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https://www.atlanticcouncil.org/dispatches/why-chinas-export-maximizing-strategy-is-working-for-now/</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B003（2026-08-29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B003-018-Atlantic council -why-chinas-export-maximizing-strategy-is-working-202608.md</w:t>
            </w:r>
          </w:p>
        </w:tc>
      </w:tr>
    </w:tbl>
    <w:p/>
    <w:p>
      <w:pPr>
        <w:pStyle w:val="DocTitle"/>
      </w:pPr>
      <w:r>
        <w:t>Why China’s export-maximizing strategy is working—for now</w:t>
      </w:r>
    </w:p>
    <w:p>
      <w:pPr>
        <w:pStyle w:val="DocH1"/>
      </w:pPr>
      <w:r>
        <w:rPr>
          <w:rFonts w:ascii="Times New Roman" w:hAnsi="Times New Roman" w:eastAsia="宋体"/>
          <w:sz w:val="24"/>
        </w:rPr>
        <w:t>Full Report (PDF followed)</w:t>
      </w:r>
    </w:p>
    <w:p>
      <w:pPr>
        <w:pStyle w:val="DocBody"/>
        <w:ind w:left="510"/>
      </w:pPr>
      <w:r>
        <w:rPr>
          <w:rFonts w:ascii="Times New Roman" w:hAnsi="Times New Roman" w:eastAsia="宋体"/>
          <w:sz w:val="24"/>
        </w:rPr>
        <w:t>Source PDF: https://www.bu.edu/gdp/files/2026/02/GCI-WP-045-Net-Transfers-EN-FIN.pdf</w:t>
      </w:r>
    </w:p>
    <w:p>
      <w:pPr>
        <w:pStyle w:val="DocBody"/>
        <w:ind w:left="510"/>
      </w:pPr>
      <w:r>
        <w:rPr>
          <w:rFonts w:ascii="Times New Roman" w:hAnsi="Times New Roman" w:eastAsia="宋体"/>
          <w:sz w:val="24"/>
        </w:rPr>
        <w:t>抓取自介绍页: https://www.atlanticcouncil.org/dispatches/why-chinas-export-maximizing-strategy-is-working-for-now/</w:t>
      </w:r>
    </w:p>
    <w:p>
      <w:pPr>
        <w:pStyle w:val="DocBody"/>
      </w:pPr>
      <w:r>
        <w:rPr>
          <w:rFonts w:ascii="Times New Roman" w:hAnsi="Times New Roman" w:eastAsia="宋体"/>
          <w:sz w:val="24"/>
        </w:rPr>
        <w:t>www.bu.edu/gdp Global Development Policy Center Reviving Chinese Development Finance in the Global South BY REBECCA RAY, KEVIN P. GALLAGHER, ZHENG ZHAI, MARINA ZUCKER-MARQUES AND YAN LIANG ABSTRACT The multilateral system is falling short in mobilizing the level and composition of capital flows necessary for countries in the Global South to raise living standards and avoid the catastrophic costs of climate change. Rather than channeling a stepwise increase in resources, net capital flows to emerging market and developing countries have turned negative. This predicament would have been much worse if not for the emergence of Chinese overseas finance, yet it too has turned net negative in recent years. The overall trend is driven by the lack of ambition of the multilateral system to increase the scale of development finance and regulate the procyclical nature of private capital flows, whereas the Chinese case is driven by domestic factors in China. The resumption of payments on a significant amount of external debt that China had suspended during the COVID-19 pandemic, together with the lack of overall borrowing space in the Global South, have exacerbated the current predicament. This paper puts Chinese development finance in the context of recent net negative transfers and presents a five-point program for how and why China should revive overseas development finance to the Global South, including a round of bilateral refinancing and new loans, foreign direct investment and trade.  Such an approach Rebecca Ray is a Senior Academic Researcher at the Boston University Global Development Policy Center. She leads the Forests, Agriculture and Indigenous (FAIR)</w:t>
      </w:r>
    </w:p>
    <w:p>
      <w:pPr>
        <w:pStyle w:val="DocBody"/>
      </w:pPr>
      <w:r>
        <w:rPr>
          <w:rFonts w:ascii="Times New Roman" w:hAnsi="Times New Roman" w:eastAsia="宋体"/>
          <w:sz w:val="24"/>
        </w:rPr>
        <w:t>workstream, which produces policy-relevant research on local social and environmental risks and impacts of Chinese overseas economic activity. She holds a PhD in Economics from the University of Massachusetts- Amherst and an MA in International Development from the Elliott School of International Affairs at the George Washington University.</w:t>
      </w:r>
    </w:p>
    <w:p>
      <w:pPr>
        <w:pStyle w:val="DocBody"/>
      </w:pPr>
      <w:r>
        <w:rPr>
          <w:rFonts w:ascii="Times New Roman" w:hAnsi="Times New Roman" w:eastAsia="宋体"/>
          <w:sz w:val="24"/>
        </w:rPr>
        <w:t>GCI WORKING PAPER 045 • 10/2025 G L O B A L C H I N A I N I T I AT I V E</w:t>
      </w:r>
    </w:p>
    <w:p>
      <w:pPr>
        <w:pStyle w:val="DocBody"/>
      </w:pPr>
      <w:r>
        <w:rPr>
          <w:rFonts w:ascii="Times New Roman" w:hAnsi="Times New Roman" w:eastAsia="宋体"/>
          <w:sz w:val="24"/>
        </w:rPr>
        <w:t>www.bu.edu/gdp will not only help countries in the Global South restart growth trajectories but also bring significant benefits to China.</w:t>
      </w:r>
    </w:p>
    <w:p>
      <w:pPr>
        <w:pStyle w:val="DocBody"/>
      </w:pPr>
      <w:r>
        <w:rPr>
          <w:rFonts w:ascii="Times New Roman" w:hAnsi="Times New Roman" w:eastAsia="宋体"/>
          <w:sz w:val="24"/>
        </w:rPr>
        <w:t>INTRODUCTION Emerging market and developing countries (excluding China) need to mobilize an additional $3 trillion annually by 2030 to trigger the growth paths necessary to meet their development needs and avoid the enormous costs of inaction on climate change (G20 Independent Expert Group 2023;</w:t>
      </w:r>
    </w:p>
    <w:p>
      <w:pPr>
        <w:pStyle w:val="DocBody"/>
      </w:pPr>
      <w:r>
        <w:rPr>
          <w:rFonts w:ascii="Times New Roman" w:hAnsi="Times New Roman" w:eastAsia="宋体"/>
          <w:sz w:val="24"/>
        </w:rPr>
        <w:t>Network for Greening the Financial System 2023). However, domestic factors, external shocks and the insufficient availability of low-cost, long-term and growth-enhancing external financing have increasingly constrained many countries in the Global South, particularly the poorest, from mobilizing the necessary levels of investment finance. On top of that, debt burdens are crowding out priority investments in these countries. According to United Nations Trade and Development (UNCTAD), 3.4 billion people live in countries that spend more on interest than on health or education (UNCTAD 2025).</w:t>
      </w:r>
    </w:p>
    <w:p>
      <w:pPr>
        <w:pStyle w:val="DocBody"/>
      </w:pPr>
      <w:r>
        <w:rPr>
          <w:rFonts w:ascii="Times New Roman" w:hAnsi="Times New Roman" w:eastAsia="宋体"/>
          <w:sz w:val="24"/>
        </w:rPr>
        <w:t>Aggravating the situation, in 2022 and 2023, net debt transfers to low- and middle-income countries (LMICs) other than China became negative (see Figure 1a).  In other words, interest and principal repayments from these countries exceeded the amount they received in new disbursements (World Bank 2024). Although total net debt transfers have remained positive for International Development Association (IDA)-eligible countries, net transfers from private bondholders and Chinese lenders have dipped into negative territory (Figure 1b).</w:t>
      </w:r>
    </w:p>
    <w:p>
      <w:pPr>
        <w:pStyle w:val="DocBody"/>
      </w:pPr>
      <w:r>
        <w:rPr>
          <w:rFonts w:ascii="Times New Roman" w:hAnsi="Times New Roman" w:eastAsia="宋体"/>
          <w:sz w:val="24"/>
        </w:rPr>
        <w:t>Figure 1: Net PPG Debt Transfers by Creditor and Borrower Group A.   Net PPG Debt Transfers to All Low- and Middle-Income Countries Except China Kevin P. Gallagher is the is Director of the Boston University Global Development Policy Center and a Professor at the Pardee School of Global Studies. He advises global policy on climate, debt, and development, including as Lead Expert on Multilateral Development Bank Reform for Brazil’s G20 Presidency. He co-chairs initiatives on green debt relief and Belt and Road sustainability and has served on U.S. and international advisory bodies. He has held academic positions at Johns Hopkins, Tufts, El Colegio de México, and Tsinghua University. A prolific author, he has written seven books, including The Case for New Bretton Woods and The China Triangle.</w:t>
      </w:r>
    </w:p>
    <w:p>
      <w:pPr>
        <w:pStyle w:val="DocBody"/>
      </w:pPr>
      <w:r>
        <w:rPr>
          <w:rFonts w:ascii="Times New Roman" w:hAnsi="Times New Roman" w:eastAsia="宋体"/>
          <w:sz w:val="24"/>
        </w:rPr>
        <w:t>www.bu.edu/gdp B.   Net PPG Debt Transfers to IDA-Eligible Countries Source: Author calculations based on World Bank, 2025c.</w:t>
      </w:r>
    </w:p>
    <w:p>
      <w:pPr>
        <w:pStyle w:val="DocBody"/>
      </w:pPr>
      <w:r>
        <w:rPr>
          <w:rFonts w:ascii="Times New Roman" w:hAnsi="Times New Roman" w:eastAsia="宋体"/>
          <w:sz w:val="24"/>
        </w:rPr>
        <w:t>To some extent, the net negative transfers from China reflect the high volume of investments made in earlier years, which built public assets, drove growth and helped close countries’ investment gaps, but these investments have now begun to be repaid. Between 2008 and 2024, China’s two globally active development finance institutions (DFIs)—the China Development Bank (CDB) and the Export- Import Bank of China (CHEXIM)—committed more than $472 billion to countries in the Global South (Ray et al. 2025). Chinese finance has generally been provided at lower cost and with longer maturity than Western private sector finance, although in some cases it has been more costly than that of the Western-backed “legacy” multilateral development banks (MDBs) (Chen 2024; Mihalyi and Trebesch 2023). By contrast, Chinese finance has proven to be more conducive to economic growth than MDB finance. It has helped alleviate poverty and link developing countries to vibrant global value chains—in addition to bringing a healthy competition when it comes to external finance (Wang and Xu 2024; Dreher et al. 2017). Nonetheless, with the onset of the COVID-19 pandemic, Chinese overseas development finance fell precipitously. While it is slowly rebounding, net transfers from China have been negative since 2022 to IDA-eligible countries and LMICs in general.</w:t>
      </w:r>
    </w:p>
    <w:p>
      <w:pPr>
        <w:pStyle w:val="DocBody"/>
      </w:pPr>
      <w:r>
        <w:rPr>
          <w:rFonts w:ascii="Times New Roman" w:hAnsi="Times New Roman" w:eastAsia="宋体"/>
          <w:sz w:val="24"/>
        </w:rPr>
        <w:t>This paper argues that China could adopt a strategic but cautious bilateral approach to increase overseas development finance and address debt distress in the Global South. It should not be China’s responsibility to fill the gaps and compensate for the lack of leadership from the multilateral system. Yet, given the current global predicament, it is in China’s interest to reinvigorate ties with its Global South partners. For countries at or near debt distress, we propose that China refinance existing debts into longer-term, lower-cost liabilities and extend new financing for projects that enhance green growth. For countries without concerns of debt distress, we recommend that China advance new lower-cost financing and collaborative foreign direct investment to boost 21st-century growth paths in the Global South. China has a long track record on both counts that can be built upon moving forward.</w:t>
      </w:r>
    </w:p>
    <w:p>
      <w:pPr>
        <w:pStyle w:val="DocBody"/>
      </w:pPr>
      <w:r>
        <w:rPr>
          <w:rFonts w:ascii="Times New Roman" w:hAnsi="Times New Roman" w:eastAsia="宋体"/>
          <w:sz w:val="24"/>
        </w:rPr>
        <w:t>Following this introduction, the paper proceeds in three parts. Part 2 examines Chinese overseas development finance in its global context. Part 3 presents a comparative analysis of net transfers from China. Part 4 outlines a proposal for China to collaborate with the Global South in the absence of multilateral leadership.</w:t>
      </w:r>
    </w:p>
    <w:p>
      <w:pPr>
        <w:pStyle w:val="DocBody"/>
      </w:pPr>
      <w:r>
        <w:rPr>
          <w:rFonts w:ascii="Times New Roman" w:hAnsi="Times New Roman" w:eastAsia="宋体"/>
          <w:sz w:val="24"/>
        </w:rPr>
        <w:t>Zheng Zhai is a Global China Post-doctoral Research Fellow at the Boston University Global Development Policy Center. He holds a PhD in International Relations from National University of Singapore.</w:t>
      </w:r>
    </w:p>
    <w:p>
      <w:pPr>
        <w:pStyle w:val="DocBody"/>
      </w:pPr>
      <w:r>
        <w:rPr>
          <w:rFonts w:ascii="Times New Roman" w:hAnsi="Times New Roman" w:eastAsia="宋体"/>
          <w:sz w:val="24"/>
        </w:rPr>
        <w:t>His research interests lie in the political economy of development finance, multilateral development banks and global economic governance, with a particular focus on Bretton Woods institutions.</w:t>
      </w:r>
    </w:p>
    <w:p>
      <w:pPr>
        <w:pStyle w:val="DocBody"/>
      </w:pPr>
      <w:r>
        <w:rPr>
          <w:rFonts w:ascii="Times New Roman" w:hAnsi="Times New Roman" w:eastAsia="宋体"/>
          <w:sz w:val="24"/>
        </w:rPr>
        <w:t>His PhD thesis examines the relationship between the financial logic and power dynamic in the World Bank. He is also doing research on China’s debt restructuring, climate finance and the Global Financial Safety Net.</w:t>
      </w:r>
    </w:p>
    <w:p>
      <w:pPr>
        <w:pStyle w:val="DocBody"/>
      </w:pPr>
      <w:r>
        <w:rPr>
          <w:rFonts w:ascii="Times New Roman" w:hAnsi="Times New Roman" w:eastAsia="宋体"/>
          <w:sz w:val="24"/>
        </w:rPr>
        <w:t>www.bu.edu/gdp CHINESE OVERSEAS DEVELOPMENT FINANCE IN CONTEXT In less than two decades, China has emerged as a major provider of global development finance. This finance has sought to address key financing gaps by offering relatively longer maturities and lower costs than the private sector. It has also significantly contributed to public asset building, economic growth and poverty alleviation in the Global South.</w:t>
      </w:r>
    </w:p>
    <w:p>
      <w:pPr>
        <w:pStyle w:val="DocBody"/>
      </w:pPr>
      <w:r>
        <w:rPr>
          <w:rFonts w:ascii="Times New Roman" w:hAnsi="Times New Roman" w:eastAsia="宋体"/>
          <w:sz w:val="24"/>
        </w:rPr>
        <w:t>China’s overseas development finance differs from the Western model in its scale, composition, lending approach and institutional governance, both competing with and supplementing Western finance (Chin and Gallagher 2019). China does not publish official statistics on development finance.</w:t>
      </w:r>
    </w:p>
    <w:p>
      <w:pPr>
        <w:pStyle w:val="DocBody"/>
      </w:pPr>
      <w:r>
        <w:rPr>
          <w:rFonts w:ascii="Times New Roman" w:hAnsi="Times New Roman" w:eastAsia="宋体"/>
          <w:sz w:val="24"/>
        </w:rPr>
        <w:t>Thus, in this section, we draw from third party estimates of Chinese overseas development finance to assess China’s contributions to the system. We draw primarily on estimates of China’s foreign aid, as well as development loans from the China Development Bank (CDB) and the Export-Import Bank of China (CHEXIM). In addition, other financial resources from public entities such as state equity investment funds1 could likewise be considered part of China’s overseas development finance, as noted in previous studies (Lin and Wang 2017; Moses et al. 2022).</w:t>
      </w:r>
    </w:p>
    <w:p>
      <w:pPr>
        <w:pStyle w:val="DocBody"/>
      </w:pPr>
      <w:r>
        <w:rPr>
          <w:rFonts w:ascii="Times New Roman" w:hAnsi="Times New Roman" w:eastAsia="宋体"/>
          <w:sz w:val="24"/>
        </w:rPr>
        <w:t>Trends and determinants Chinese overseas development finance exists in a broader context of Chinese overseas economic cooperation and aid. According to the white paper titled “China’s International Development Cooperation in the New Era,” China’s foreign aid consists of grants, interest-free loans and concessional loans. From 2013 to 2018, China provided an accumulated total of RMB 270.2 billion in foreign aid, with the least developed countries receiving 45.73 percent of the total and Africa accounting for 44.65 percent (State Council Information Office of the People’s Republic of China 2021). According to Kitano and Miyabayashi (2023), net disbursement of China’s aid has significantly increased over the past two decades, reaching $7.1 billion in 2019 before slightly declining during the COVID-19 pandemic. Using the upper-case estimate, China’s net aid disbursement amounted to $8.3 billion in 2022, ranking 7th globally. In general, China’s foreign aid volume has remained relatively stable over time.</w:t>
      </w:r>
    </w:p>
    <w:p>
      <w:pPr>
        <w:pStyle w:val="DocBody"/>
      </w:pPr>
      <w:r>
        <w:rPr>
          <w:rFonts w:ascii="Times New Roman" w:hAnsi="Times New Roman" w:eastAsia="宋体"/>
          <w:sz w:val="24"/>
        </w:rPr>
        <w:t>As part of the China’s 1994 financial reform, the commercial banks and DFIs were separated. From that reform, two major DFIs— CDB and CHEXIM—were established to take the responsibility of providing the majority of China’s overseas development finance (Chen 2024).  Over the past two decades, CDB and CHEXIM have provided substantial overseas development finance in developing countries. The China’s Overseas Development Finance Database (CODF), managed by the Boston University Global Development Policy Center, shows that these two institutions provided a total of $472 billion in overseas development finance between 2008 and 2024. As Figure 2 shows, this amount is twice the Asian Development Bank’s (ADB) $230 billion in Public and Publicly Guaranteed (PPG) debt commitments to LMICs (2008–2023), and approximately 72 percent of the World Bank’s $653 billion total International Development Association (IDA) and International Bank for Reconstruction and Development (IBRD) PPG debt commitments to LMICs (2008-2023) (Ray et al. 2025).  China’s development finance commitments peaked at $62 billion in 2016, followed by sharp declines and only a modest rebound to $6.1 billion in 2024  (Ray et al. 2025).</w:t>
      </w:r>
    </w:p>
    <w:p>
      <w:pPr>
        <w:pStyle w:val="DocBody"/>
      </w:pPr>
      <w:r>
        <w:rPr>
          <w:rFonts w:ascii="Times New Roman" w:hAnsi="Times New Roman" w:eastAsia="宋体"/>
          <w:sz w:val="24"/>
        </w:rPr>
        <w:t>1 Examples include the China-Africa Development Fund and the Silk Road Fund.</w:t>
      </w:r>
    </w:p>
    <w:p>
      <w:pPr>
        <w:pStyle w:val="DocBody"/>
      </w:pPr>
      <w:r>
        <w:rPr>
          <w:rFonts w:ascii="Times New Roman" w:hAnsi="Times New Roman" w:eastAsia="宋体"/>
          <w:sz w:val="24"/>
        </w:rPr>
        <w:t>Marina Zucker-Marques is a Senior Academic Researcher at the Global Economic Governance Initiative and Team Lead for the Financial Stability workstream at the Boston University Global Development Center. She was previously a Post-doctoral Researcher at the Debt Relief for a Green and Inclusive Recovery Project and affiliated with SOAS, University of London. Zucker-Marques has worked at UNCTAD’s Debt and Development Finance Branch and specializes in sovereign debt, the Global Financial Safety Net, international finance, and currency internationalization.</w:t>
      </w:r>
    </w:p>
    <w:p>
      <w:pPr>
        <w:pStyle w:val="DocBody"/>
      </w:pPr>
      <w:r>
        <w:rPr>
          <w:rFonts w:ascii="Times New Roman" w:hAnsi="Times New Roman" w:eastAsia="宋体"/>
          <w:sz w:val="24"/>
        </w:rPr>
        <w:t>She co-chairs the Brazil T20 Task Force 3 on reforming the International Financial Architecture. She holds a PhD from Freie Universität Berlin, a Master’s from Zhejiang Gongshang University, and a Bachelor’s from FACAMP.</w:t>
      </w:r>
    </w:p>
    <w:p>
      <w:pPr>
        <w:pStyle w:val="DocBody"/>
      </w:pPr>
      <w:r>
        <w:rPr>
          <w:rFonts w:ascii="Times New Roman" w:hAnsi="Times New Roman" w:eastAsia="宋体"/>
          <w:sz w:val="24"/>
        </w:rPr>
        <w:t>www.bu.edu/gdp Figure 2: Sovereign Financing Commitments by China (CDB, CHEXIM), World Bank and ADB, by USD billion, 2008–2024 Source: Author calculations from the China’s Overseas Development Finance Database, Boston University Global Development Policy Center, 2025; World Bank, 2025c.</w:t>
      </w:r>
    </w:p>
    <w:p>
      <w:pPr>
        <w:pStyle w:val="DocBody"/>
      </w:pPr>
      <w:r>
        <w:rPr>
          <w:rFonts w:ascii="Times New Roman" w:hAnsi="Times New Roman" w:eastAsia="宋体"/>
          <w:sz w:val="24"/>
        </w:rPr>
        <w:t>Note: The commitment data for World Bank IDA, IBRD and ADB refer to their public and publicly guaranteed (PPG) debt commitments to low- and middle-income countries, as reported in the World Bank’s International Debt Statistics (IDS)</w:t>
      </w:r>
    </w:p>
    <w:p>
      <w:pPr>
        <w:pStyle w:val="DocBody"/>
      </w:pPr>
      <w:r>
        <w:rPr>
          <w:rFonts w:ascii="Times New Roman" w:hAnsi="Times New Roman" w:eastAsia="宋体"/>
          <w:sz w:val="24"/>
        </w:rPr>
        <w:t>database. ADB and World Bank data for 2024 are not yet available.</w:t>
      </w:r>
    </w:p>
    <w:p>
      <w:pPr>
        <w:pStyle w:val="DocBody"/>
      </w:pPr>
      <w:r>
        <w:rPr>
          <w:rFonts w:ascii="Times New Roman" w:hAnsi="Times New Roman" w:eastAsia="宋体"/>
          <w:sz w:val="24"/>
        </w:rPr>
        <w:t>In sum, while aid flows from China have remained relatively stable over the past decade, China’s overseas development finance has been more volatile and declined significantly after the onset of the COVID-19 pandemic. The recent decline is a result of multiple factors. First, domestically, China's earlier expansion in development finance was primarily fueled by a set of factors, including the accumulation of current account surpluses, a desire to diversify away from US Treasuries, overcapacity in the infrastructure sector, global development objectives and the need to secure critical imports (Gallagher et al. 2023). However, the post-pandemic era has seen China confronting significant domestic economic headwinds, necessitating greater allocation of financial resources toward stabilizing its economy and safeguarding social welfare (International Monetary Fund 2024). At the same time, an increasing number of countries are experiencing stress with their current external financing positions (World Bank 2024), and new lending can be perceived as too risky by Chinese lenders. This shifting priority has consequently led to a readjustment in the scale of external finance.</w:t>
      </w:r>
    </w:p>
    <w:p>
      <w:pPr>
        <w:pStyle w:val="DocBody"/>
      </w:pPr>
      <w:r>
        <w:rPr>
          <w:rFonts w:ascii="Times New Roman" w:hAnsi="Times New Roman" w:eastAsia="宋体"/>
          <w:sz w:val="24"/>
        </w:rPr>
        <w:t>Impacts of Chinese Overseas Development Finance The cost of capital for China’s overseas development finance has been analogous to that of the legacy multilateral development banks (MDBs) and lower than private sector borrowing costs.   At the same time, Chinese overseas development finance has contributed to the creation of public assets, secured economic growth and advanced poverty alleviation. However, it has also accentuated climate and biodiversity risks.</w:t>
      </w:r>
    </w:p>
    <w:p>
      <w:pPr>
        <w:pStyle w:val="DocBody"/>
      </w:pPr>
      <w:r>
        <w:rPr>
          <w:rFonts w:ascii="Times New Roman" w:hAnsi="Times New Roman" w:eastAsia="宋体"/>
          <w:sz w:val="24"/>
        </w:rPr>
        <w:t>According to our analyses of AidData (2023), from 2000 to 2021, the weighted average interest rate of China’s overseas development finance was 4.00 percent. Disaggregated by institution, the weighted average interest rates were 4.57 percent for CDB and 3.14 percent for CHEXIM.</w:t>
      </w:r>
    </w:p>
    <w:p>
      <w:pPr>
        <w:pStyle w:val="DocBody"/>
      </w:pPr>
      <w:r>
        <w:rPr>
          <w:rFonts w:ascii="Times New Roman" w:hAnsi="Times New Roman" w:eastAsia="宋体"/>
          <w:sz w:val="24"/>
        </w:rPr>
        <w:t>Private sector sovereign finance was close to double that rate for developing countries (Chen 2024; Mihalyi Yan Liang is a Non-Resident Senior Fellow with the Global China Initiative at the Boston University Global Development Policy Center and the Peter C and Bonnie S Kremer Chair Professor of Economics at Willamette University. She is also a Research Associate at the Levy Economics Institute and a Research Scholar of the Global Institute for Sustainable Prosperity. Yan specializes in the Modern Monetary Theory (MMT), the Political Economy of China, Economic Development and International Economics.</w:t>
      </w:r>
    </w:p>
    <w:p>
      <w:pPr>
        <w:pStyle w:val="DocBody"/>
      </w:pPr>
      <w:r>
        <w:rPr>
          <w:rFonts w:ascii="Times New Roman" w:hAnsi="Times New Roman" w:eastAsia="宋体"/>
          <w:sz w:val="24"/>
        </w:rPr>
        <w:t>Her current research focuses on China’s development finance and industrial transformation, and China’s role in the global financial architecture.</w:t>
      </w:r>
    </w:p>
    <w:p>
      <w:pPr>
        <w:pStyle w:val="DocBody"/>
      </w:pPr>
      <w:r>
        <w:rPr>
          <w:rFonts w:ascii="Times New Roman" w:hAnsi="Times New Roman" w:eastAsia="宋体"/>
          <w:sz w:val="24"/>
        </w:rPr>
        <w:t>www.bu.edu/gdp and Trebesch 2023). In comparison, IDA credits (or loans) provide financing on concessional terms at zero to very low-interest rates (less than two percent), with maturities ranging from 12 to 50 years, including a 5- to 10-year grace period (World Bank 2025b). IBRD loans charge a maturity premium above the benchmark interest rate based on the borrowing country's income level, with higher income countries paying a higher premium. According to the latest data published by the World Bank, the average interest rate for IBRD loans is 4.25 percent and less than two percent per year for IDA countries (World Bank 2025a).</w:t>
      </w:r>
    </w:p>
    <w:p>
      <w:pPr>
        <w:pStyle w:val="DocBody"/>
      </w:pPr>
      <w:r>
        <w:rPr>
          <w:rFonts w:ascii="Times New Roman" w:hAnsi="Times New Roman" w:eastAsia="宋体"/>
          <w:sz w:val="24"/>
        </w:rPr>
        <w:t>Further comparing the weighted average interest rates on external PPG loans to LMICs reveals that financing costs significantly increased following the onset of the COVID-19 pandemic. Although the interest rate of China’s official loans was higher than IBRD’s in most years over the past two decades, Figure 3 shows that in 2023 IBRD interest rates climbed to 5.9 percent, surpassing the 4.6 percent rate of official Chinese loans.</w:t>
      </w:r>
    </w:p>
    <w:p>
      <w:pPr>
        <w:pStyle w:val="DocBody"/>
      </w:pPr>
      <w:r>
        <w:rPr>
          <w:rFonts w:ascii="Times New Roman" w:hAnsi="Times New Roman" w:eastAsia="宋体"/>
          <w:sz w:val="24"/>
        </w:rPr>
        <w:t>Figure 3: Weighted Average Interest Rate of LMICs’ New PPG Debt, by Creditors, 2000–2023 Source: Author calculations from World Bank, 2025c.</w:t>
      </w:r>
    </w:p>
    <w:p>
      <w:pPr>
        <w:pStyle w:val="DocBody"/>
      </w:pPr>
      <w:r>
        <w:rPr>
          <w:rFonts w:ascii="Times New Roman" w:hAnsi="Times New Roman" w:eastAsia="宋体"/>
          <w:sz w:val="24"/>
        </w:rPr>
        <w:t>Recent empirical studies find that China’s overseas development finance projects contribute to socioeconomic development in recipient countries (Berthélemy 2011; Dreher, Fuchs, Parks, et al.</w:t>
      </w:r>
    </w:p>
    <w:p>
      <w:pPr>
        <w:pStyle w:val="DocBody"/>
      </w:pPr>
      <w:r>
        <w:rPr>
          <w:rFonts w:ascii="Times New Roman" w:hAnsi="Times New Roman" w:eastAsia="宋体"/>
          <w:sz w:val="24"/>
        </w:rPr>
        <w:t>2021; Dreher, Fuchs, Hodler, et al. 2021; Dreher et al. 2022). For example, Dreher et al. (2022) and Wang and Xu (2024) each find that these projects have a significant positive impact on economic growth. Martorano et al. (2020) show that China’s aid is effective in improving education and reducing child mortality in Sub-Saharan Africa (SSA) countries. China’s transportation infrastructure projects promote the economic growth in remote areas, contributing to more balanced regional development (Bluhm et al. 2020; Bonfatti and Poelhekke 2017). In addition, China’s infrastructure investments also support developing countries in addressing their infrastructure bottleneck and achieving structural transformation (Lin and Wang 2017; Wang and Xu 2024). Other studies have shown that Chinese overseas development finance has improved poverty alleviation and has facilitated borrowing countries’ integration into global value chains (Amendolagine et al. 2025; Xu et al. 2024; Zhang et al. 2023). Part of this productive growth is due to China’s emphasis on investment in public assets in developing countries (Lin et al. 2024). Table 1 shows that China has provided more than 900 projects which have helped build public assets in the sectors of transportation, energy,</w:t>
      </w:r>
    </w:p>
    <w:p>
      <w:pPr>
        <w:pStyle w:val="DocBody"/>
      </w:pPr>
      <w:r>
        <w:rPr>
          <w:rFonts w:ascii="Times New Roman" w:hAnsi="Times New Roman" w:eastAsia="宋体"/>
          <w:sz w:val="24"/>
        </w:rPr>
        <w:t>www.bu.edu/gdp information and communication technology and water, sanitation and waste in the Global South between 2008 and 2024.</w:t>
      </w:r>
    </w:p>
    <w:p>
      <w:pPr>
        <w:pStyle w:val="DocBody"/>
      </w:pPr>
      <w:r>
        <w:rPr>
          <w:rFonts w:ascii="Times New Roman" w:hAnsi="Times New Roman" w:eastAsia="宋体"/>
          <w:sz w:val="24"/>
        </w:rPr>
        <w:t>Table 1.  China-Financed Overseas Infrastructure Projects (2008–2024)</w:t>
      </w:r>
    </w:p>
    <w:p>
      <w:pPr>
        <w:pStyle w:val="DocBody"/>
      </w:pPr>
      <w:r>
        <w:rPr>
          <w:rFonts w:ascii="Times New Roman" w:hAnsi="Times New Roman" w:eastAsia="宋体"/>
          <w:sz w:val="24"/>
        </w:rPr>
        <w:t>Sector No. of projects Billions of USD Transportation 109.7 Roads and bridges 48.1 Rail transportation 38.4 Air transportation 5.9 Maritime transportation 6.6 Other 10.6 Energy 183.9 Generation 52.1 Fossil fuel 20.0 Hydropower 22.5 Solar and wind 1.4 Other 8.2 Exploration and extraction 26.3 Transmission and distribution 19.4 Petrochemicals and refining 27.8 Multipurpose 58.2 Other 0.2 Information and communication technology 13.9 Water, sanitation and waste 9.1 TOTAL 316.5 Source: Author compilation from the China’s Overseas Development Finance Database, Boston University Global Development Policy Center, 2025.</w:t>
      </w:r>
    </w:p>
    <w:p>
      <w:pPr>
        <w:pStyle w:val="DocBody"/>
      </w:pPr>
      <w:r>
        <w:rPr>
          <w:rFonts w:ascii="Times New Roman" w:hAnsi="Times New Roman" w:eastAsia="宋体"/>
          <w:sz w:val="24"/>
        </w:rPr>
        <w:t>However, Chinese overseas development finance has also been linked to risks, particularly those related to resource reliance, environment degradation and biodiversity loss (Wang and Xu 2023;</w:t>
      </w:r>
    </w:p>
    <w:p>
      <w:pPr>
        <w:pStyle w:val="DocBody"/>
      </w:pPr>
      <w:r>
        <w:rPr>
          <w:rFonts w:ascii="Times New Roman" w:hAnsi="Times New Roman" w:eastAsia="宋体"/>
          <w:sz w:val="24"/>
        </w:rPr>
        <w:t>Yang et al. 2021). In the resource extraction sectors, such financing has the risk of increasing the recipient countries’ dependence on commodity exports, a phenomenon known as the “Dutch Disease” or the “Resource Curse.” The phenomenon is associated with macroeconomic volatility and stagnation, political instability, environmental degradation and social conflict (UN Trade and Development 2025). This risk is perhaps most visible in Latin America, a predominantly middle- income region that risks premature deindustrialization or “re-primarization” from a heavy reliance on commodity-linked finance from China (Caldentey and Vernengo 2021; Gallagher and Porzecanski 2010). This economic reliance can make countries particularly vulnerable to fluctuations in global commodity prices, as demonstrated by Venezuela, where a sharp decline in oil prices triggered a severe economic crisis (Dollar 2018).</w:t>
      </w:r>
    </w:p>
    <w:p>
      <w:pPr>
        <w:pStyle w:val="DocBody"/>
      </w:pPr>
      <w:r>
        <w:rPr>
          <w:rFonts w:ascii="Times New Roman" w:hAnsi="Times New Roman" w:eastAsia="宋体"/>
          <w:sz w:val="24"/>
        </w:rPr>
        <w:t>www.bu.edu/gdp Additionally, Chinese overseas development finance carried significant climate risk in earlier years by supporting a large number of coal, oil and gas power plants, although it ceased funding coal projects after 2021 (Gallagher et al. 2023; Li and Gallagher 2022; Morro et al. 2025; Radford et al.</w:t>
      </w:r>
    </w:p>
    <w:p>
      <w:pPr>
        <w:pStyle w:val="DocBody"/>
      </w:pPr>
      <w:r>
        <w:rPr>
          <w:rFonts w:ascii="Times New Roman" w:hAnsi="Times New Roman" w:eastAsia="宋体"/>
          <w:sz w:val="24"/>
        </w:rPr>
        <w:t>2021). It could present considerable risks to biodiversity and Indigenous communities, as shown by the evidence that more than half of China’s development projects financed by CDB and CHEXIM from 2008 to 2019 overlapped with critical habitats, protected areas or Indigenous lands, higher than the World Bank projects in general (Ray et al. 2025; Yang et al. 2021).  Recent research has found that borrowing countries sometimes turn to China for financing if they are unable to get financing from traditional development lenders, and these projects may entail higher environmental risks (Radomski 2025; Ray et al. 2019).</w:t>
      </w:r>
    </w:p>
    <w:p>
      <w:pPr>
        <w:pStyle w:val="DocBody"/>
      </w:pPr>
      <w:r>
        <w:rPr>
          <w:rFonts w:ascii="Times New Roman" w:hAnsi="Times New Roman" w:eastAsia="宋体"/>
          <w:sz w:val="24"/>
        </w:rPr>
        <w:t>China has begun to place greater emphasis on the environmental and social risks of its overseas projects. In 2021, Xi Jinping committed to ending Chinese support for coal plants overseas, a promise that has been carried out in Chinese overseas development finance as well as foreign direct investment in 2022 and 2023 (Morro et al. 2025). In recent years, China has issued a series of guidelines to promote the development of Environmental and Social Risk Management (ESRM) procedures. This approach stresses “whole lifecycle” ESRM, calling for applying Chinese or international standards when these are more stringent than host-country regulations, and local consultation and accountability mechanisms (Gallagher et al. 2023).</w:t>
      </w:r>
    </w:p>
    <w:p>
      <w:pPr>
        <w:pStyle w:val="DocBody"/>
      </w:pPr>
      <w:r>
        <w:rPr>
          <w:rFonts w:ascii="Times New Roman" w:hAnsi="Times New Roman" w:eastAsia="宋体"/>
          <w:sz w:val="24"/>
        </w:rPr>
        <w:t>www.bu.edu/gdp IDA COUNTRIES’ NET NEGATIVE DEBT TRANSFERS FROM CHINA As noted earlier, net debt transfers2 on PPG debt to low-income and vulnerable countries3 shifted from positive to negative, as China transitioned from being a net lender to a net debt collector for these countries. This observation has been highlighted in the World Bank International Debt Report as well as a recent report by the Lowy Institute and commentary by AidData (Duke 2025; Hawkins 2023; World Bank 2024). This paper contributes additional necessary context for understanding this trend and its implications.</w:t>
      </w:r>
    </w:p>
    <w:p>
      <w:pPr>
        <w:pStyle w:val="DocBody"/>
      </w:pPr>
      <w:r>
        <w:rPr>
          <w:rFonts w:ascii="Times New Roman" w:hAnsi="Times New Roman" w:eastAsia="宋体"/>
          <w:sz w:val="24"/>
        </w:rPr>
        <w:t>Figure 4: Disbursements, Interest and Principal Repayments and Resulting Net Transfers on PPG Lending from China to IDA-Eligible Countries, in Billions of USD, 2000-2023 Source: Author compilation from World Bank, 2025c.</w:t>
      </w:r>
    </w:p>
    <w:p>
      <w:pPr>
        <w:pStyle w:val="DocBody"/>
      </w:pPr>
      <w:r>
        <w:rPr>
          <w:rFonts w:ascii="Times New Roman" w:hAnsi="Times New Roman" w:eastAsia="宋体"/>
          <w:sz w:val="24"/>
        </w:rPr>
        <w:t>Building on these earlier findings, Figure 4 shows that China’s net transfers on PPG lending to IDA countries fell from $2.0 billion4 in 2021 to −$3.9 billion in 2022 and 2023. The 2024 International Debt Report notes that this transition was attributable in part to postponed debt service payments during the early years of the COVID-19 pandemic, which were deferred further into the future even as new lending slowed (Ray et al. 2025; World Bank 2024).</w:t>
      </w:r>
    </w:p>
    <w:p>
      <w:pPr>
        <w:pStyle w:val="DocBody"/>
      </w:pPr>
      <w:r>
        <w:rPr>
          <w:rFonts w:ascii="Times New Roman" w:hAnsi="Times New Roman" w:eastAsia="宋体"/>
          <w:sz w:val="24"/>
        </w:rPr>
        <w:t>To understand the importance of these net transfers, it is crucial to place them in context, among China’s borrowers as well as compared with other creditors. IDA countries’ total debt stock and near- term scheduled debt repayments to all major creditor classes can be found in the data appendix.</w:t>
      </w:r>
    </w:p>
    <w:p>
      <w:pPr>
        <w:pStyle w:val="DocBody"/>
      </w:pPr>
      <w:r>
        <w:rPr>
          <w:rFonts w:ascii="Times New Roman" w:hAnsi="Times New Roman" w:eastAsia="宋体"/>
          <w:sz w:val="24"/>
        </w:rPr>
        <w:t>From these data, four key aspects of net inflows deserve additional context.</w:t>
      </w:r>
    </w:p>
    <w:p>
      <w:pPr>
        <w:pStyle w:val="DocBody"/>
      </w:pPr>
      <w:r>
        <w:rPr>
          <w:rFonts w:ascii="Times New Roman" w:hAnsi="Times New Roman" w:eastAsia="宋体"/>
          <w:sz w:val="24"/>
        </w:rPr>
        <w:t>First, it is important to consider China’s net transfers in context of the other creditors of IDA countries.</w:t>
      </w:r>
    </w:p>
    <w:p>
      <w:pPr>
        <w:pStyle w:val="DocBody"/>
      </w:pPr>
      <w:r>
        <w:rPr>
          <w:rFonts w:ascii="Times New Roman" w:hAnsi="Times New Roman" w:eastAsia="宋体"/>
          <w:sz w:val="24"/>
        </w:rPr>
        <w:t>Figure 1A, above, shows these comprehensive transfers since 2000. China’s net transfers of −$3.9 billion in 2022 and 2023 are somewhat less severe than those from bondholders, which amounted to −$5.0 and −$4.2 billion in these two years, respectively. Unlike bondholders, China’s negative net transfers are partly explained by postponed debt service payments held over from debt restructuring efforts, as the World Bank International Debt Report notes (World Bank 2024). Bondholders do not engage in this type of restructuring, so their net negative transfers are purely a factor of repayment schedules.</w:t>
      </w:r>
    </w:p>
    <w:p>
      <w:pPr>
        <w:pStyle w:val="DocBody"/>
      </w:pPr>
      <w:r>
        <w:rPr>
          <w:rFonts w:ascii="Times New Roman" w:hAnsi="Times New Roman" w:eastAsia="宋体"/>
          <w:sz w:val="24"/>
        </w:rPr>
        <w:t>2 Net debt transfers are calculated as disbursements minus interest and principal repayments.</w:t>
      </w:r>
    </w:p>
    <w:p>
      <w:pPr>
        <w:pStyle w:val="DocBody"/>
      </w:pPr>
      <w:r>
        <w:rPr>
          <w:rFonts w:ascii="Times New Roman" w:hAnsi="Times New Roman" w:eastAsia="宋体"/>
          <w:sz w:val="24"/>
        </w:rPr>
        <w:t>3 IDA-eligible countries receiving concessional World Bank finance through the International Development Association.</w:t>
      </w:r>
    </w:p>
    <w:p>
      <w:pPr>
        <w:pStyle w:val="DocBody"/>
      </w:pPr>
      <w:r>
        <w:rPr>
          <w:rFonts w:ascii="Times New Roman" w:hAnsi="Times New Roman" w:eastAsia="宋体"/>
          <w:sz w:val="24"/>
        </w:rPr>
        <w:t>4 All currency is shown in USD unless otherwise specified.</w:t>
      </w:r>
    </w:p>
    <w:p>
      <w:pPr>
        <w:pStyle w:val="DocBody"/>
      </w:pPr>
      <w:r>
        <w:rPr>
          <w:rFonts w:ascii="Times New Roman" w:hAnsi="Times New Roman" w:eastAsia="宋体"/>
          <w:sz w:val="24"/>
        </w:rPr>
        <w:t>www.bu.edu/gdp This phenomenon is not unusual during times of financial volatility in the home economies of bilateral lenders. In the mid-2000s, amid financial market and real estate bubbles in the US and Europe, which also corresponded to the final years of the Heavily Indebted Poor Countries (HIPC) Initiative, Paris Club creditors had much larger net negative transfers to IDA countries than China has seen recently during its own real estate and financial market volatility, as shown in Figure 5. These net negative transfers can still be substantial burdens for indebted countries, but China is hardly a unique case in this regard. These trends reflect the findings of Avellán and others that bilateral lenders’ net outward transfers are procyclically correlated with those lenders’ domestic economic factors (2024).</w:t>
      </w:r>
    </w:p>
    <w:p>
      <w:pPr>
        <w:pStyle w:val="DocBody"/>
      </w:pPr>
      <w:r>
        <w:rPr>
          <w:rFonts w:ascii="Times New Roman" w:hAnsi="Times New Roman" w:eastAsia="宋体"/>
          <w:sz w:val="24"/>
        </w:rPr>
        <w:t>Figure 5: Net Transfers from China and Paris Club Lenders to IDA-Eligible Countries, 2000-2023 Source: Author compilation from World Bank, 2025c.</w:t>
      </w:r>
    </w:p>
    <w:p>
      <w:pPr>
        <w:pStyle w:val="DocBody"/>
      </w:pPr>
      <w:r>
        <w:rPr>
          <w:rFonts w:ascii="Times New Roman" w:hAnsi="Times New Roman" w:eastAsia="宋体"/>
          <w:sz w:val="24"/>
        </w:rPr>
        <w:t>Second, given the relationship between bilateral lenders’ domestic economic conditions and their net transfers, it is worth noting that China faced net negative transfers from its own creditors in 2022, which reached $24.7 billion or approximately 1.2 percent of its government expenditure. Figure 6 shows this trend in more detail. It is not entirely surprising that China has not extended new net disbursements at the same time as it has not received new net disbursements from its own creditors.</w:t>
      </w:r>
    </w:p>
    <w:p>
      <w:pPr>
        <w:pStyle w:val="DocBody"/>
      </w:pPr>
      <w:r>
        <w:rPr>
          <w:rFonts w:ascii="Times New Roman" w:hAnsi="Times New Roman" w:eastAsia="宋体"/>
          <w:sz w:val="24"/>
        </w:rPr>
        <w:t>China’s net transfers from its creditors rebounded marginally in 2023 to −$18.7 billion, while China’s negative net transfers outflows to its own borrowers also marginally rebounded, from −$3.94 billion in 2022 to −$3.91 billion in 2023.</w:t>
      </w:r>
    </w:p>
    <w:p>
      <w:pPr>
        <w:pStyle w:val="DocBody"/>
      </w:pPr>
      <w:r>
        <w:rPr>
          <w:rFonts w:ascii="Times New Roman" w:hAnsi="Times New Roman" w:eastAsia="宋体"/>
          <w:sz w:val="24"/>
        </w:rPr>
        <w:t>www.bu.edu/gdp Figure 6: Net PPG Credit Transfers to China, 2000-2023 Source: Author compilation from World Bank, 2025c.</w:t>
      </w:r>
    </w:p>
    <w:p>
      <w:pPr>
        <w:pStyle w:val="DocBody"/>
      </w:pPr>
      <w:r>
        <w:rPr>
          <w:rFonts w:ascii="Times New Roman" w:hAnsi="Times New Roman" w:eastAsia="宋体"/>
          <w:sz w:val="24"/>
        </w:rPr>
        <w:t>Third, China’s negative net transfers have been geographically concentrated: the phenomenon of negative net transfers is important for a few countries, but less so for others. Figure 7 shows the net transfers in 2023, measured as a share of each country’s general government expenditures. These negative net transfers are particularly significant in Samoa, the Maldives and Tonga, which each saw net negative transfers equivalent to more than five percent of government expenditures. Twelve additional countries saw net negative transfers over one percent of government expenditures.</w:t>
      </w:r>
    </w:p>
    <w:p>
      <w:pPr>
        <w:pStyle w:val="DocBody"/>
      </w:pPr>
      <w:r>
        <w:rPr>
          <w:rFonts w:ascii="Times New Roman" w:hAnsi="Times New Roman" w:eastAsia="宋体"/>
          <w:sz w:val="24"/>
        </w:rPr>
        <w:t>According to Johns Hopkins University’s China Africa Research Initiative (2025), debt restructuring is already underway in many of these countries, trends that negotiators need to consider. However, the phenomenon is not shared universally among IDA-eligible countries.</w:t>
      </w:r>
    </w:p>
    <w:p>
      <w:pPr>
        <w:pStyle w:val="DocBody"/>
      </w:pPr>
      <w:r>
        <w:rPr>
          <w:rFonts w:ascii="Times New Roman" w:hAnsi="Times New Roman" w:eastAsia="宋体"/>
          <w:sz w:val="24"/>
        </w:rPr>
        <w:t>www.bu.edu/gdp Figure 7: Net Transfers from China to IDA-Eligible Countries, 2023, % of Government Spending Source: Author compilation from International Monetary Fund 2025; World Bank 2025c.</w:t>
      </w:r>
    </w:p>
    <w:p>
      <w:pPr>
        <w:pStyle w:val="DocBody"/>
      </w:pPr>
      <w:r>
        <w:rPr>
          <w:rFonts w:ascii="Times New Roman" w:hAnsi="Times New Roman" w:eastAsia="宋体"/>
          <w:sz w:val="24"/>
        </w:rPr>
        <w:t>Note: Eritrea and Syria are omitted as government expenditure data is not available.</w:t>
      </w:r>
    </w:p>
    <w:p>
      <w:pPr>
        <w:pStyle w:val="DocBody"/>
      </w:pPr>
      <w:r>
        <w:rPr>
          <w:rFonts w:ascii="Times New Roman" w:hAnsi="Times New Roman" w:eastAsia="宋体"/>
          <w:sz w:val="24"/>
        </w:rPr>
        <w:t>www.bu.edu/gdp Figure 7 illustrates that China had net negative transfers to 32 out of 52 IDA-eligible countries. It is also useful to compare China’s negative net transfers to individual countries with those of other creditors. Figure 8 presents net PPG transfers for all IDA-eligible countries in 2023, shown both in total and disaggregated by creditor category. The top 26 countries listed in Figure 8 had larger net negative transfers from China than from any other creditor category. Nine of those 26 had net negative transfers overall, meaning that they could not offset those net negative transfers from China with net positive transfers from other creditors. Nonetheless, China is not alone among creditors in having net negative transfers to some borrowing countries. Figure 8 also shows that five countries saw larger net negative transfers from Paris Club creditors than from any other source; the same holds for seven countries with multilateral creditors, 15 countries with the International Monetary Fund (IMF), 10 countries with bondholders and seven countries with other creditors.</w:t>
      </w:r>
    </w:p>
    <w:p>
      <w:pPr>
        <w:pStyle w:val="DocBody"/>
      </w:pPr>
      <w:r>
        <w:rPr>
          <w:rFonts w:ascii="Times New Roman" w:hAnsi="Times New Roman" w:eastAsia="宋体"/>
          <w:sz w:val="24"/>
        </w:rPr>
        <w:t>A few countries in particular merit special mention. Among the nine countries with overall net negative transfers, Samoa and Tonga stand out with the largest net negative transfers from China.</w:t>
      </w:r>
    </w:p>
    <w:p>
      <w:pPr>
        <w:pStyle w:val="DocBody"/>
      </w:pPr>
      <w:r>
        <w:rPr>
          <w:rFonts w:ascii="Times New Roman" w:hAnsi="Times New Roman" w:eastAsia="宋体"/>
          <w:sz w:val="24"/>
        </w:rPr>
        <w:t>Both countries, identified in Figure 7, have net negative transfers from China above five percent of their government spending. In fact, both Samoa and Tonga had net negative transfers from every class of creditor (China, multilateral creditors and the IMF, plus Paris Club creditors in the case of Samoa). This indicates that these countries were unable to offset net negative transfers from one creditor with positive transfers from another; instead, the net negative transfers compounded across creditors. The other country with net negative transfers from China exceeding five percent of government spending, the Maldives, had positive net transfers overall, owing to support from multilateral creditors5 and other creditors.6 To be concise, this figure demonstrates that for these nine countries, particularly Samoa and Tonga, China’s negative net transfers accentuated an already difficult situation.</w:t>
      </w:r>
    </w:p>
    <w:p>
      <w:pPr>
        <w:pStyle w:val="DocBody"/>
      </w:pPr>
      <w:r>
        <w:rPr>
          <w:rFonts w:ascii="Times New Roman" w:hAnsi="Times New Roman" w:eastAsia="宋体"/>
          <w:sz w:val="24"/>
        </w:rPr>
        <w:t>Nonetheless, of the 26 countries with their largest net negative transfer from China, the majority still had positive overall net transfers from creditors. The same pattern applies to countries in other categories, which had their largest net negative transfers from other creditors. This is especially the case for countries with the largest net negative transfers from bondholders––only one of these 10 countries, Honduras, experienced net negative transfers in aggregate. For many others, net positive transfers from multilateral creditors compensated for bondholders’ negative transfers.</w:t>
      </w:r>
    </w:p>
    <w:p>
      <w:pPr>
        <w:pStyle w:val="DocBody"/>
      </w:pPr>
      <w:r>
        <w:rPr>
          <w:rFonts w:ascii="Times New Roman" w:hAnsi="Times New Roman" w:eastAsia="宋体"/>
          <w:sz w:val="24"/>
        </w:rPr>
        <w:t>5 The Islamic Development Bank was a notable case, responsible for a net positive transfer of 2.9 percent of the Maldives’</w:t>
      </w:r>
    </w:p>
    <w:p>
      <w:pPr>
        <w:pStyle w:val="DocBody"/>
      </w:pPr>
      <w:r>
        <w:rPr>
          <w:rFonts w:ascii="Times New Roman" w:hAnsi="Times New Roman" w:eastAsia="宋体"/>
          <w:sz w:val="24"/>
        </w:rPr>
        <w:t>government spending.</w:t>
      </w:r>
    </w:p>
    <w:p>
      <w:pPr>
        <w:pStyle w:val="DocBody"/>
      </w:pPr>
      <w:r>
        <w:rPr>
          <w:rFonts w:ascii="Times New Roman" w:hAnsi="Times New Roman" w:eastAsia="宋体"/>
          <w:sz w:val="24"/>
        </w:rPr>
        <w:t>6 In particular, India provided a net positive transfer of 6.7 percent of the Maldives’ government spending.</w:t>
      </w:r>
    </w:p>
    <w:p>
      <w:pPr>
        <w:pStyle w:val="DocBody"/>
      </w:pPr>
      <w:r>
        <w:rPr>
          <w:rFonts w:ascii="Times New Roman" w:hAnsi="Times New Roman" w:eastAsia="宋体"/>
          <w:sz w:val="24"/>
        </w:rPr>
        <w:t>www.bu.edu/gdp Figure 8:  Net PPG Transfers to IDA Countries, by Creditor Category and Total, 2023, % of Government Spending Source: Author calculation from International Monetary Fund, 2025; World Bank, 2025c.</w:t>
      </w:r>
    </w:p>
    <w:p>
      <w:pPr>
        <w:pStyle w:val="DocBody"/>
      </w:pPr>
      <w:r>
        <w:rPr>
          <w:rFonts w:ascii="Times New Roman" w:hAnsi="Times New Roman" w:eastAsia="宋体"/>
          <w:sz w:val="24"/>
        </w:rPr>
        <w:t>Note: Transfers are calculated as disbursements minus principal and interest payments. IMF net transfers are calculated as purchases minus repurchases and charges. Eritrea and Syria are excluded due to lack of public data.</w:t>
      </w:r>
    </w:p>
    <w:p>
      <w:pPr>
        <w:pStyle w:val="DocBody"/>
      </w:pPr>
      <w:r>
        <w:rPr>
          <w:rFonts w:ascii="Times New Roman" w:hAnsi="Times New Roman" w:eastAsia="宋体"/>
          <w:sz w:val="24"/>
        </w:rPr>
        <w:t>www.bu.edu/gdp REVIVING CHINESE OVERSEAS DEVELOPMENT FINANCE IN THE GLOBAL SOUTH The multilateral system is falling short in mobilizing the level and composition of capital flows necessary for countries in the Global South to raise living standards and avoid the catastrophic costs of climate change. Indeed, as shown in this paper, international capital flows to the Global South have turned net negative over the past few years. Private capital flows continuously prove to be procyclical, short-term, high-cost and less conducive to growth, and global development finance remains insufficient in scale to counterbalance these cycles.  Multilateral approaches should center around increasing the scale, countercyclicality, affordability and effectiveness of official financial flows, providing comprehensive debt relief to nations at or near debt distress and regulating private capital flows to steer them toward longer-term productive investments (Gallagher and Kozul- Wright 2022).</w:t>
      </w:r>
    </w:p>
    <w:p>
      <w:pPr>
        <w:pStyle w:val="DocBody"/>
      </w:pPr>
      <w:r>
        <w:rPr>
          <w:rFonts w:ascii="Times New Roman" w:hAnsi="Times New Roman" w:eastAsia="宋体"/>
          <w:sz w:val="24"/>
        </w:rPr>
        <w:t>Prospects for multilateral leadership are dim in the short term as the major shareholders in the legacy institutions are turning inward. As a second-best solution, it is in China’s strategic interest to revive its overseas development finance. While China’s net transfers to IDA countries have turned negative, the scale and implications of this trend should not be overstated. Importantly, these are considerably lesser in scale than Paris Club lenders’ similar negative net transfers in the mid-2000s, which occurred while low-income countries were emerging from HIPC programs. China’s recent net negative transfers arose during a time of domestic financial uncertainty, much as the Paris Club’s net negative transfers did in the mid-2000s. Furthermore, they arrived as China itself faced net negative transfers from creditors.</w:t>
      </w:r>
    </w:p>
    <w:p>
      <w:pPr>
        <w:pStyle w:val="DocBody"/>
      </w:pPr>
      <w:r>
        <w:rPr>
          <w:rFonts w:ascii="Times New Roman" w:hAnsi="Times New Roman" w:eastAsia="宋体"/>
          <w:sz w:val="24"/>
        </w:rPr>
        <w:t>Nonetheless, the burden that negative net transfers represent for affected indebted countries should not be understated. Countries across the Global South are in urgent need of a stepwise increase in financing to invest in low-carbon, socially inclusive and resilient economic growth while avoiding the staggering costs of inaction on climate change. Mounting external debt payments and the scarcity of new financing severely dampen growth prospects at the very moment when more resources are most needed. The shortage of new investment financing will generate major social, economic and environmental impacts across the Global South, with spillover effects reaching both China and the West. As Global North countries adopt more inward-looking policies and private capital flows remain inherently procyclical, the prospects for the Global South appear increasingly concerning.</w:t>
      </w:r>
    </w:p>
    <w:p>
      <w:pPr>
        <w:pStyle w:val="DocBody"/>
      </w:pPr>
      <w:r>
        <w:rPr>
          <w:rFonts w:ascii="Times New Roman" w:hAnsi="Times New Roman" w:eastAsia="宋体"/>
          <w:sz w:val="24"/>
        </w:rPr>
        <w:t>With Northern-led multilateral institution and the private sector falling short of their commitments to the poor, China has a strategic interest to reverse course. Like much of the other nations in the Global South, China is gradually being excluded from Northern markets through tariffs and other regulatory protectionist measures. Exporting to the Global North was the linchpin of its economic growth strategy for decades. While it is critical for China to boost domestic consumption and investment, exports must remain a core pillar of its development strategy.</w:t>
      </w:r>
    </w:p>
    <w:p>
      <w:pPr>
        <w:pStyle w:val="DocBody"/>
      </w:pPr>
      <w:r>
        <w:rPr>
          <w:rFonts w:ascii="Times New Roman" w:hAnsi="Times New Roman" w:eastAsia="宋体"/>
          <w:sz w:val="24"/>
        </w:rPr>
        <w:t>Therefore, the Global South is an important trading partner for China; however, if demand is constrained by low investment, weak growth prospects and rising debt distress, these markets will not be robustly available to China. Moreover, it appears that we are entering a new era of ‘geonomics,’</w:t>
      </w:r>
    </w:p>
    <w:p>
      <w:pPr>
        <w:pStyle w:val="DocBody"/>
      </w:pPr>
      <w:r>
        <w:rPr>
          <w:rFonts w:ascii="Times New Roman" w:hAnsi="Times New Roman" w:eastAsia="宋体"/>
          <w:sz w:val="24"/>
        </w:rPr>
        <w:t>characterized by new lines of foreign policy allegiances are being drawn and China is increasingly discounted from its former Western partnerships (Mohr and Trebesch 2025). From both economic and political perspectives, engaging in South-South economic cooperation represents a matter of utmost strategic importance.</w:t>
      </w:r>
    </w:p>
    <w:p>
      <w:pPr>
        <w:pStyle w:val="DocBody"/>
      </w:pPr>
      <w:r>
        <w:rPr>
          <w:rFonts w:ascii="Times New Roman" w:hAnsi="Times New Roman" w:eastAsia="宋体"/>
          <w:sz w:val="24"/>
        </w:rPr>
        <w:t>www.bu.edu/gdp Given this global context and the current structure of the international monetary system where dollar funding is relatively expensive to RMB financing, we propose the following five-pronged approach to reviving Chinese overseas development finance:</w:t>
      </w:r>
    </w:p>
    <w:p>
      <w:pPr>
        <w:pStyle w:val="DocBody"/>
      </w:pPr>
      <w:r>
        <w:rPr>
          <w:rFonts w:ascii="Times New Roman" w:hAnsi="Times New Roman" w:eastAsia="宋体"/>
          <w:sz w:val="24"/>
        </w:rPr>
        <w:t>Refinance existing loans in countries facing debt distress. The benchmark rate in China has been under two percent, similar to IDA rates, for some time. As in its domestic practice, China could extend loan maturities (20 years or more), thereby reducing the net present value of debt obligations without requiring China to take direct haircuts, as Wang and Qian (2022) show. According to Mingey and Wright (2023) and Acker et al. (2020), China has a long history of providing bilateral refinancing despite inaction by the multilateral system, renegotiating upwards of $78 billion of its external debts with countries in the Global South since 2020.</w:t>
      </w:r>
    </w:p>
    <w:p>
      <w:pPr>
        <w:pStyle w:val="DocBody"/>
      </w:pPr>
      <w:r>
        <w:rPr>
          <w:rFonts w:ascii="Times New Roman" w:hAnsi="Times New Roman" w:eastAsia="宋体"/>
          <w:sz w:val="24"/>
        </w:rPr>
        <w:t>Exchange loans that are at risk of default for longer term, RMB-denominated bonds that can be traded, sparing the balance sheets of lending institutions. These bonds can be issued at lower interest rates given the currently favorable RMB policy rate (Bank for International Settlements 2025). This strategy was implemented in Latin American countries in the 1990s and can be adapted for China (Qian 2021).</w:t>
      </w:r>
    </w:p>
    <w:p>
      <w:pPr>
        <w:pStyle w:val="DocBody"/>
      </w:pPr>
      <w:r>
        <w:rPr>
          <w:rFonts w:ascii="Times New Roman" w:hAnsi="Times New Roman" w:eastAsia="宋体"/>
          <w:sz w:val="24"/>
        </w:rPr>
        <w:t>Provide new long-term lending for green growth in RMB, leveraging favorable interest rates to support countries with refinancing space or those not in need of refinancing. This lending should be project-based, not discretionary, to prevent it from being used to repay procyclical creditors. China has already begun to issue RMB-denominated green bonds and its DFIs could provide global leadership at scale (Nedopil Wang and Ma 2025).</w:t>
      </w:r>
    </w:p>
    <w:p>
      <w:pPr>
        <w:pStyle w:val="DocBody"/>
        <w:ind w:left="765"/>
      </w:pPr>
      <w:r>
        <w:rPr>
          <w:rFonts w:ascii="Times New Roman" w:hAnsi="Times New Roman" w:eastAsia="宋体"/>
          <w:sz w:val="24"/>
        </w:rPr>
        <w:t>Engage in cooperative FDI in countries with manufacturing capabilities. For countries with manufacturing capabilities, new financing should be complemented by continued growth in Chinese FDI. The approach ensures that new finance crowds in total investment and domestic capabilities rather than crowd out domestic competition (Xue and Larson 2025). New research shows that China has recently provided more than $227 billion in green manufacturing in the Global South (Xue and Larson 2025).</w:t>
      </w:r>
    </w:p>
    <w:p>
      <w:pPr>
        <w:pStyle w:val="DocBody"/>
      </w:pPr>
      <w:r>
        <w:rPr>
          <w:rFonts w:ascii="Times New Roman" w:hAnsi="Times New Roman" w:eastAsia="宋体"/>
          <w:sz w:val="24"/>
        </w:rPr>
        <w:t>Trade more with countries in the Global South. Consider advancing avenues to conduct trade, especially imports, in RMB to maintain a continuous RMB flow for repaying RMB- denominated debt and to expand trading capabilities in a time of rising protectionism (Angrick 2018). China has made meaningful steps in this direction in September 2024 by eliminating all tariffs with the poorest countries and, more recently, by agreeing to cede its developing country status at the World Trade Organization (WTO) (Le Poidevin 2025;</w:t>
      </w:r>
    </w:p>
    <w:p>
      <w:pPr>
        <w:pStyle w:val="DocBody"/>
      </w:pPr>
      <w:r>
        <w:rPr>
          <w:rFonts w:ascii="Times New Roman" w:hAnsi="Times New Roman" w:eastAsia="宋体"/>
          <w:sz w:val="24"/>
        </w:rPr>
        <w:t>Xinhua News Agency 2024).</w:t>
      </w:r>
    </w:p>
    <w:p>
      <w:pPr>
        <w:pStyle w:val="DocBody"/>
      </w:pPr>
      <w:r>
        <w:rPr>
          <w:rFonts w:ascii="Times New Roman" w:hAnsi="Times New Roman" w:eastAsia="宋体"/>
          <w:sz w:val="24"/>
        </w:rPr>
        <w:t>This strategy aligns with China’s interests for at least four reasons. First, China is losing markets in the Global North, and restarting growth-enhancing development finance in the Global South will help spur demand for Chinese exports. Second, swapping existing loans for long-term bonds tradable on secondary markets would ease Chinese DFI balance sheets and, thus, create space for safer future financing. Third, exchanging dollar-denominated bank loans for RMB bonds will serve China’s broader goal of further internationalizing the RMB. Fourth, if new financing and foreign direct investment are linked to renewable energy and electric vehicles, it can relieve China’s ‘overcapacity’</w:t>
      </w:r>
    </w:p>
    <w:p>
      <w:pPr>
        <w:pStyle w:val="DocBody"/>
      </w:pPr>
      <w:r>
        <w:rPr>
          <w:rFonts w:ascii="Times New Roman" w:hAnsi="Times New Roman" w:eastAsia="宋体"/>
          <w:sz w:val="24"/>
        </w:rPr>
        <w:t>problem.  And fifth, these efforts will support developing countries in pursuing financially sustainable green growth strategies and secure China’s strong ties with other Global South countries.</w:t>
      </w:r>
    </w:p>
    <w:p>
      <w:pPr>
        <w:pStyle w:val="DocBody"/>
      </w:pPr>
      <w:r>
        <w:rPr>
          <w:rFonts w:ascii="Times New Roman" w:hAnsi="Times New Roman" w:eastAsia="宋体"/>
          <w:sz w:val="24"/>
        </w:rPr>
        <w:t>www.bu.edu/gdp REFERENCES Acker, Kevin, Deborah Brautigam, and Yufan Huang. 2020. Debt Relief with Chinese Characteristics. China Africa Research Initiative, School of Advanced International Studies, Johns Hopkins University. https:// papers.ssrn.com/sol3/papers.cfm?abstract_id=3745021.</w:t>
      </w:r>
    </w:p>
    <w:p>
      <w:pPr>
        <w:pStyle w:val="DocBody"/>
      </w:pPr>
      <w:r>
        <w:rPr>
          <w:rFonts w:ascii="Times New Roman" w:hAnsi="Times New Roman" w:eastAsia="宋体"/>
          <w:sz w:val="24"/>
        </w:rPr>
        <w:t>AidData. 2023. “AidData’s Global Chinese Development Finance Dataset.” https://www.aiddata.org/ data/aiddatas-global-chinese-development-finance-dataset-version-3-0.</w:t>
      </w:r>
    </w:p>
    <w:p>
      <w:pPr>
        <w:pStyle w:val="DocBody"/>
      </w:pPr>
      <w:r>
        <w:rPr>
          <w:rFonts w:ascii="Times New Roman" w:hAnsi="Times New Roman" w:eastAsia="宋体"/>
          <w:sz w:val="24"/>
        </w:rPr>
        <w:t>Amendolagine, Vito, Andrea F. Presbitero, and Roberta Rabellotti. 2025. “Chinese Infrastructure Lending in Africa and Participation in Global Value Chains.” Review of World Economics 161 (1): 7–48. https://doi.</w:t>
      </w:r>
    </w:p>
    <w:p>
      <w:pPr>
        <w:pStyle w:val="DocBody"/>
      </w:pPr>
      <w:r>
        <w:rPr>
          <w:rFonts w:ascii="Times New Roman" w:hAnsi="Times New Roman" w:eastAsia="宋体"/>
          <w:sz w:val="24"/>
        </w:rPr>
        <w:t>org/10.1007/s10290-024-00566-0.</w:t>
      </w:r>
    </w:p>
    <w:p>
      <w:pPr>
        <w:pStyle w:val="DocBody"/>
      </w:pPr>
      <w:r>
        <w:rPr>
          <w:rFonts w:ascii="Times New Roman" w:hAnsi="Times New Roman" w:eastAsia="宋体"/>
          <w:sz w:val="24"/>
        </w:rPr>
        <w:t>Angrick, Stefan. 2018. “Structural Conditions for Currency Aninternationalization: International Finance and the Survival Constraint.” Review of International Political Economy 25 (5): 699–725. https://doi.org/10.</w:t>
      </w:r>
    </w:p>
    <w:p>
      <w:pPr>
        <w:pStyle w:val="DocBody"/>
      </w:pPr>
      <w:r>
        <w:rPr>
          <w:rFonts w:ascii="Times New Roman" w:hAnsi="Times New Roman" w:eastAsia="宋体"/>
          <w:sz w:val="24"/>
        </w:rPr>
        <w:t>1080/09692290.2018.1472129.</w:t>
      </w:r>
    </w:p>
    <w:p>
      <w:pPr>
        <w:pStyle w:val="DocBody"/>
      </w:pPr>
      <w:r>
        <w:rPr>
          <w:rFonts w:ascii="Times New Roman" w:hAnsi="Times New Roman" w:eastAsia="宋体"/>
          <w:sz w:val="24"/>
        </w:rPr>
        <w:t>Avellán, Leopoldo, Arturo J. Galindo, Tomás Gómez, and Giulia Lotti. 2024. “The Cyclicality of Official Bilateral Lending: Which Cycle Do Flows Follow?” Emerging Markets Review 59 (March): 101120. https:// doi.org/10.1016/j.ememar.2024.101120.</w:t>
      </w:r>
    </w:p>
    <w:p>
      <w:pPr>
        <w:pStyle w:val="DocBody"/>
      </w:pPr>
      <w:r>
        <w:rPr>
          <w:rFonts w:ascii="Times New Roman" w:hAnsi="Times New Roman" w:eastAsia="宋体"/>
          <w:sz w:val="24"/>
        </w:rPr>
        <w:t>Bank for International Settlements. 2025. “Central Bank Policy Rates, China.” https://data.bis.org/topics/ CBPOL/BIS,WS_CBPOL,1.0/M.CN.</w:t>
      </w:r>
    </w:p>
    <w:p>
      <w:pPr>
        <w:pStyle w:val="DocBody"/>
      </w:pPr>
      <w:r>
        <w:rPr>
          <w:rFonts w:ascii="Times New Roman" w:hAnsi="Times New Roman" w:eastAsia="宋体"/>
          <w:sz w:val="24"/>
        </w:rPr>
        <w:t>Berthélemy, Jean-Claude. 2011. “China’s Engagement and Aid Effectiveness in Africa.” African Development Bank, Working Paper 129, vol. 129.</w:t>
      </w:r>
    </w:p>
    <w:p>
      <w:pPr>
        <w:pStyle w:val="DocBody"/>
      </w:pPr>
      <w:r>
        <w:rPr>
          <w:rFonts w:ascii="Times New Roman" w:hAnsi="Times New Roman" w:eastAsia="宋体"/>
          <w:sz w:val="24"/>
        </w:rPr>
        <w:t>Bluhm, Richard, Axel Dreher, Andreas Fuchs, Bradley Parks, Austin Strange, and Michael J. Tierney.</w:t>
      </w:r>
    </w:p>
    <w:p>
      <w:pPr>
        <w:pStyle w:val="DocBody"/>
        <w:ind w:left="765"/>
      </w:pPr>
      <w:r>
        <w:rPr>
          <w:rFonts w:ascii="Times New Roman" w:hAnsi="Times New Roman" w:eastAsia="宋体"/>
          <w:sz w:val="24"/>
        </w:rPr>
        <w:t>“Connective Financing: Chinese Infrastructure Projects and the Diffusion of Economic Activity in Developing Countries.” CESifo Working Papers 8344. https://doi.org/10.2139/ssrn.3262101.</w:t>
      </w:r>
    </w:p>
    <w:p>
      <w:pPr>
        <w:pStyle w:val="DocBody"/>
      </w:pPr>
      <w:r>
        <w:rPr>
          <w:rFonts w:ascii="Times New Roman" w:hAnsi="Times New Roman" w:eastAsia="宋体"/>
          <w:sz w:val="24"/>
        </w:rPr>
        <w:t>Bonfatti, Roberto, and Steven Poelhekke. 2017. “From Mine to Coast: Transport Infrastructure and the Direction of Trade in Developing Countries.” Journal of Development Economics 127 (July): 91–108. https:// doi.org/10.1016/j.jdeveco.2017.03.004.</w:t>
      </w:r>
    </w:p>
    <w:p>
      <w:pPr>
        <w:pStyle w:val="DocBody"/>
      </w:pPr>
      <w:r>
        <w:rPr>
          <w:rFonts w:ascii="Times New Roman" w:hAnsi="Times New Roman" w:eastAsia="宋体"/>
          <w:sz w:val="24"/>
        </w:rPr>
        <w:t>Boston University Global Development Policy Center. 2025. “China’s Overseas Development Finance.”</w:t>
      </w:r>
    </w:p>
    <w:p>
      <w:pPr>
        <w:pStyle w:val="DocBody"/>
      </w:pPr>
      <w:r>
        <w:rPr>
          <w:rFonts w:ascii="Times New Roman" w:hAnsi="Times New Roman" w:eastAsia="宋体"/>
          <w:sz w:val="24"/>
        </w:rPr>
        <w:t>http://www.bu.edu/gdp/chinas-overseas-development-finance/.</w:t>
      </w:r>
    </w:p>
    <w:p>
      <w:pPr>
        <w:pStyle w:val="DocBody"/>
      </w:pPr>
      <w:r>
        <w:rPr>
          <w:rFonts w:ascii="Times New Roman" w:hAnsi="Times New Roman" w:eastAsia="宋体"/>
          <w:sz w:val="24"/>
        </w:rPr>
        <w:t>Caldentey, Esteban Pérez, and Matías Vernengo. 2021. “Financialization, Premature Deindustrialization, and Instability in Latin America*.” Review of Keynesian Economics. Review of Keynesian Economics 9 (4):</w:t>
      </w:r>
    </w:p>
    <w:p>
      <w:pPr>
        <w:pStyle w:val="DocBody"/>
      </w:pPr>
      <w:r>
        <w:rPr>
          <w:rFonts w:ascii="Times New Roman" w:hAnsi="Times New Roman" w:eastAsia="宋体"/>
          <w:sz w:val="24"/>
        </w:rPr>
        <w:t>493–511. https://doi.org/10.4337/roke.2021.04.03.</w:t>
      </w:r>
    </w:p>
    <w:p>
      <w:pPr>
        <w:pStyle w:val="DocBody"/>
      </w:pPr>
      <w:r>
        <w:rPr>
          <w:rFonts w:ascii="Times New Roman" w:hAnsi="Times New Roman" w:eastAsia="宋体"/>
          <w:sz w:val="24"/>
        </w:rPr>
        <w:t>Chen, Muyang. 2024. The Latecomer’s Rise. Cornell University Press. https://www.cornellpress.cornell.</w:t>
      </w:r>
    </w:p>
    <w:p>
      <w:pPr>
        <w:pStyle w:val="DocBody"/>
      </w:pPr>
      <w:r>
        <w:rPr>
          <w:rFonts w:ascii="Times New Roman" w:hAnsi="Times New Roman" w:eastAsia="宋体"/>
          <w:sz w:val="24"/>
        </w:rPr>
        <w:t>edu/book/9781501775857/the-latecomers-rise/.</w:t>
      </w:r>
    </w:p>
    <w:p>
      <w:pPr>
        <w:pStyle w:val="DocBody"/>
      </w:pPr>
      <w:r>
        <w:rPr>
          <w:rFonts w:ascii="Times New Roman" w:hAnsi="Times New Roman" w:eastAsia="宋体"/>
          <w:sz w:val="24"/>
        </w:rPr>
        <w:t>Chin, Gregory T., and Kevin P. Gallagher. 2019. “Coordinated Credit Spaces: The Globalization of Chinese Development Finance.” Development and Change 50 (1): 245–74. https://doi.org/10.1111/dech.12470.</w:t>
      </w:r>
    </w:p>
    <w:p>
      <w:pPr>
        <w:pStyle w:val="DocBody"/>
      </w:pPr>
      <w:r>
        <w:rPr>
          <w:rFonts w:ascii="Times New Roman" w:hAnsi="Times New Roman" w:eastAsia="宋体"/>
          <w:sz w:val="24"/>
        </w:rPr>
        <w:t>China Africa Research Initiative. 2025. “Debt Relief.” Global Debt Relief Dashboard. http://www.sais- cari.org/debt-relief.</w:t>
      </w:r>
    </w:p>
    <w:p>
      <w:pPr>
        <w:pStyle w:val="DocBody"/>
      </w:pPr>
      <w:r>
        <w:rPr>
          <w:rFonts w:ascii="Times New Roman" w:hAnsi="Times New Roman" w:eastAsia="宋体"/>
          <w:sz w:val="24"/>
        </w:rPr>
        <w:t>Dollar, David. 2018. “Chinese Investment in Latin America Continues to Expand.” Brookings. https://www.</w:t>
      </w:r>
    </w:p>
    <w:p>
      <w:pPr>
        <w:pStyle w:val="DocBody"/>
      </w:pPr>
      <w:r>
        <w:rPr>
          <w:rFonts w:ascii="Times New Roman" w:hAnsi="Times New Roman" w:eastAsia="宋体"/>
          <w:sz w:val="24"/>
        </w:rPr>
        <w:t>brookings.edu/articles/despite-slowdown-chinese-investment-in-latin-america-continues-to-expand/.</w:t>
      </w:r>
    </w:p>
    <w:p>
      <w:pPr>
        <w:pStyle w:val="DocBody"/>
      </w:pPr>
      <w:r>
        <w:rPr>
          <w:rFonts w:ascii="Times New Roman" w:hAnsi="Times New Roman" w:eastAsia="宋体"/>
          <w:sz w:val="24"/>
        </w:rPr>
        <w:t>www.bu.edu/gdp Dreher, Axel, Andreas Fuchs, Roland Hodler, Bradley C. Parks, Paul A. Raschky, and Michael J.</w:t>
      </w:r>
    </w:p>
    <w:p>
      <w:pPr>
        <w:pStyle w:val="DocBody"/>
      </w:pPr>
      <w:r>
        <w:rPr>
          <w:rFonts w:ascii="Times New Roman" w:hAnsi="Times New Roman" w:eastAsia="宋体"/>
          <w:sz w:val="24"/>
        </w:rPr>
        <w:t>Tierney. 2021. “Is Favoritism a Threat to Chinese Aid Effectiveness? A Subnational Analysis of Chinese Development Projects.” World Development 139 (March): 105291. https://doi.org/10.1016/j.</w:t>
      </w:r>
    </w:p>
    <w:p>
      <w:pPr>
        <w:pStyle w:val="DocBody"/>
      </w:pPr>
      <w:r>
        <w:rPr>
          <w:rFonts w:ascii="Times New Roman" w:hAnsi="Times New Roman" w:eastAsia="宋体"/>
          <w:sz w:val="24"/>
        </w:rPr>
        <w:t>worlddev.2020.105291.</w:t>
      </w:r>
    </w:p>
    <w:p>
      <w:pPr>
        <w:pStyle w:val="DocBody"/>
      </w:pPr>
      <w:r>
        <w:rPr>
          <w:rFonts w:ascii="Times New Roman" w:hAnsi="Times New Roman" w:eastAsia="宋体"/>
          <w:sz w:val="24"/>
        </w:rPr>
        <w:t>Dreher, Axel, Andreas Fuchs, Bradley C. Parks, Austin M. Strange, and Michael J. Tierney. 2022. Banking on Beijing: The Aims and Impacts of China’s Overseas Development Program. Cambridge University Press.</w:t>
      </w:r>
    </w:p>
    <w:p>
      <w:pPr>
        <w:pStyle w:val="DocBody"/>
      </w:pPr>
      <w:r>
        <w:rPr>
          <w:rFonts w:ascii="Times New Roman" w:hAnsi="Times New Roman" w:eastAsia="宋体"/>
          <w:sz w:val="24"/>
        </w:rPr>
        <w:t>Dreher, Axel, Andreas Fuchs, Bradley Parks, Austin Strange, and Michael J. Tierney. 2021. “Aid, China, and Growth: Evidence from a New Global Development Finance Dataset.” American Economic Journal:</w:t>
      </w:r>
    </w:p>
    <w:p>
      <w:pPr>
        <w:pStyle w:val="DocBody"/>
      </w:pPr>
      <w:r>
        <w:rPr>
          <w:rFonts w:ascii="Times New Roman" w:hAnsi="Times New Roman" w:eastAsia="宋体"/>
          <w:sz w:val="24"/>
        </w:rPr>
        <w:t>Economic Policy 13 (2): 135–74. https://doi.org/10.1257/pol.20180631.</w:t>
      </w:r>
    </w:p>
    <w:p>
      <w:pPr>
        <w:pStyle w:val="DocBody"/>
      </w:pPr>
      <w:r>
        <w:rPr>
          <w:rFonts w:ascii="Times New Roman" w:hAnsi="Times New Roman" w:eastAsia="宋体"/>
          <w:sz w:val="24"/>
        </w:rPr>
        <w:t>Dreher, Axel, Andreas Funch, Bradley Parks, Austin Strange, and Michael Tierney. 2017. Aid, China, and Growth: Evidence from a New Global Development Finance Dataset. No. 46. Working Paper. Aid Data.</w:t>
      </w:r>
    </w:p>
    <w:p>
      <w:pPr>
        <w:pStyle w:val="DocBody"/>
      </w:pPr>
      <w:r>
        <w:rPr>
          <w:rFonts w:ascii="Times New Roman" w:hAnsi="Times New Roman" w:eastAsia="宋体"/>
          <w:sz w:val="24"/>
        </w:rPr>
        <w:t>https://docs.aiddata.org/ad4/pdfs/WPS46_Aid_China_and_Growth.pdf.</w:t>
      </w:r>
    </w:p>
    <w:p>
      <w:pPr>
        <w:pStyle w:val="DocBody"/>
      </w:pPr>
      <w:r>
        <w:rPr>
          <w:rFonts w:ascii="Times New Roman" w:hAnsi="Times New Roman" w:eastAsia="宋体"/>
          <w:sz w:val="24"/>
        </w:rPr>
        <w:t>Duke, Riley. 2025. Peak Repayment: China’s Global Lending. Lowy Institute. https://interactives.</w:t>
      </w:r>
    </w:p>
    <w:p>
      <w:pPr>
        <w:pStyle w:val="DocBody"/>
      </w:pPr>
      <w:r>
        <w:rPr>
          <w:rFonts w:ascii="Times New Roman" w:hAnsi="Times New Roman" w:eastAsia="宋体"/>
          <w:sz w:val="24"/>
        </w:rPr>
        <w:t>lowyinstitute.org/features/peak-repayment-china-global-lending/.</w:t>
      </w:r>
    </w:p>
    <w:p>
      <w:pPr>
        <w:pStyle w:val="DocBody"/>
      </w:pPr>
      <w:r>
        <w:rPr>
          <w:rFonts w:ascii="Times New Roman" w:hAnsi="Times New Roman" w:eastAsia="宋体"/>
          <w:sz w:val="24"/>
        </w:rPr>
        <w:t>G20 Independent Expert Group. 2023. “The Triple Agenda.” https://www.cgdev.org/sites/default/files/ The_Triple_Agenda_G20-IEG_Report_Volume1_2023.pdf.</w:t>
      </w:r>
    </w:p>
    <w:p>
      <w:pPr>
        <w:pStyle w:val="DocBody"/>
      </w:pPr>
      <w:r>
        <w:rPr>
          <w:rFonts w:ascii="Times New Roman" w:hAnsi="Times New Roman" w:eastAsia="宋体"/>
          <w:sz w:val="24"/>
        </w:rPr>
        <w:t>Gallagher, Kevin P., and Richard Kozul-Wright. 2022. The Case for a New Bretton Woods. Polity Press. https://www.politybooks.com/bookdetail?book_slug=the-case-for-a-new-bretton- woods--9781509546534.</w:t>
      </w:r>
    </w:p>
    <w:p>
      <w:pPr>
        <w:pStyle w:val="DocBody"/>
      </w:pPr>
      <w:r>
        <w:rPr>
          <w:rFonts w:ascii="Times New Roman" w:hAnsi="Times New Roman" w:eastAsia="宋体"/>
          <w:sz w:val="24"/>
        </w:rPr>
        <w:t>Gallagher, Kevin P., William N. Kring, Rebecca Ray, Oyintarelado Moses, Cecilia Springer, and Yan Wang.</w:t>
      </w:r>
    </w:p>
    <w:p>
      <w:pPr>
        <w:pStyle w:val="DocBody"/>
        <w:ind w:left="765"/>
      </w:pPr>
      <w:r>
        <w:rPr>
          <w:rFonts w:ascii="Times New Roman" w:hAnsi="Times New Roman" w:eastAsia="宋体"/>
          <w:sz w:val="24"/>
        </w:rPr>
        <w:t>The BRI at Ten: Maximizing the Benefits and Minimizing the Risks of China’s Belt and Road Initiative.</w:t>
      </w:r>
    </w:p>
    <w:p>
      <w:pPr>
        <w:pStyle w:val="DocBody"/>
      </w:pPr>
      <w:r>
        <w:rPr>
          <w:rFonts w:ascii="Times New Roman" w:hAnsi="Times New Roman" w:eastAsia="宋体"/>
          <w:sz w:val="24"/>
        </w:rPr>
        <w:t>Boston University Global Development Policy Center. https://www.bu.edu/gdp/2023/10/09/the-bri-at- ten-maximizing-the-benefits-and-minimizing-the-risks-of-chinas-belt-and-road-initiative/.</w:t>
      </w:r>
    </w:p>
    <w:p>
      <w:pPr>
        <w:pStyle w:val="DocBody"/>
      </w:pPr>
      <w:r>
        <w:rPr>
          <w:rFonts w:ascii="Times New Roman" w:hAnsi="Times New Roman" w:eastAsia="宋体"/>
          <w:sz w:val="24"/>
        </w:rPr>
        <w:t>Gallagher, Kevin P., and Roberto Porzecanski. 2010. The Dragon in the Room | Stanford University Press.</w:t>
      </w:r>
    </w:p>
    <w:p>
      <w:pPr>
        <w:pStyle w:val="DocBody"/>
      </w:pPr>
      <w:r>
        <w:rPr>
          <w:rFonts w:ascii="Times New Roman" w:hAnsi="Times New Roman" w:eastAsia="宋体"/>
          <w:sz w:val="24"/>
        </w:rPr>
        <w:t>Stanford. https://www.sup.org/books/politics/dragon-room.</w:t>
      </w:r>
    </w:p>
    <w:p>
      <w:pPr>
        <w:pStyle w:val="DocBody"/>
      </w:pPr>
      <w:r>
        <w:rPr>
          <w:rFonts w:ascii="Times New Roman" w:hAnsi="Times New Roman" w:eastAsia="宋体"/>
          <w:sz w:val="24"/>
        </w:rPr>
        <w:t>Hawkins, Amy. 2023. “China ‘World’s Biggest Debt Collector’ as Poorer Nations Struggle with Its Loans.”</w:t>
      </w:r>
    </w:p>
    <w:p>
      <w:pPr>
        <w:pStyle w:val="DocBody"/>
      </w:pPr>
      <w:r>
        <w:rPr>
          <w:rFonts w:ascii="Times New Roman" w:hAnsi="Times New Roman" w:eastAsia="宋体"/>
          <w:sz w:val="24"/>
        </w:rPr>
        <w:t>World News. The Guardian, November 6. https://www.theguardian.com/world/2023/nov/06/china- worlds-biggest-debt-collector-as-poorer-nations-struggle-with-its-loans.</w:t>
      </w:r>
    </w:p>
    <w:p>
      <w:pPr>
        <w:pStyle w:val="DocBody"/>
      </w:pPr>
      <w:r>
        <w:rPr>
          <w:rFonts w:ascii="Times New Roman" w:hAnsi="Times New Roman" w:eastAsia="宋体"/>
          <w:sz w:val="24"/>
        </w:rPr>
        <w:t>International Monetary Fund. 2024. People’s Republic of China: 2024 Article IV Consultation. International Monetary Fund. https://www.imf.org/en/Publications/CR/Issues/2024/08/01/Peoples-Republic-of- China-2024-Article-IV-Consultation-Press-Release-Staff-Report-and-552803.</w:t>
      </w:r>
    </w:p>
    <w:p>
      <w:pPr>
        <w:pStyle w:val="DocBody"/>
      </w:pPr>
      <w:r>
        <w:rPr>
          <w:rFonts w:ascii="Times New Roman" w:hAnsi="Times New Roman" w:eastAsia="宋体"/>
          <w:sz w:val="24"/>
        </w:rPr>
        <w:t>International Monetary Fund. 2025. “World Economic Outlook.” https://data.imf.org/en/datasets/IMF.</w:t>
      </w:r>
    </w:p>
    <w:p>
      <w:pPr>
        <w:pStyle w:val="DocBody"/>
      </w:pPr>
      <w:r>
        <w:rPr>
          <w:rFonts w:ascii="Times New Roman" w:hAnsi="Times New Roman" w:eastAsia="宋体"/>
          <w:sz w:val="24"/>
        </w:rPr>
        <w:t>RES:WEO.</w:t>
      </w:r>
    </w:p>
    <w:p>
      <w:pPr>
        <w:pStyle w:val="DocBody"/>
      </w:pPr>
      <w:r>
        <w:rPr>
          <w:rFonts w:ascii="Times New Roman" w:hAnsi="Times New Roman" w:eastAsia="宋体"/>
          <w:sz w:val="24"/>
        </w:rPr>
        <w:t>Kitano, Naohiro, and Yumiko Miyabayashi. 2023. “China’s Foreign Aid as a Proxy of ODA: Preliminary Estimate 2001-2022.” Journal of Contemporary East Asia Studies 12 (1): 264–93. https://doi.org/10.1080/ 24761028.2024.2316532.</w:t>
      </w:r>
    </w:p>
    <w:p>
      <w:pPr>
        <w:pStyle w:val="DocBody"/>
      </w:pPr>
      <w:r>
        <w:rPr>
          <w:rFonts w:ascii="Times New Roman" w:hAnsi="Times New Roman" w:eastAsia="宋体"/>
          <w:sz w:val="24"/>
        </w:rPr>
        <w:t>Le Poidevin, Olivia. 2025. “China to Forego Special and Differential Treatment in Future WTO Negotiations.” China. Reuters, September 23. https://www.reuters.com/world/china/china-forego- special-differential-treatment-future-wto-negotiations-2025-09-23/.</w:t>
      </w:r>
    </w:p>
    <w:p>
      <w:pPr>
        <w:pStyle w:val="DocBody"/>
      </w:pPr>
      <w:r>
        <w:rPr>
          <w:rFonts w:ascii="Times New Roman" w:hAnsi="Times New Roman" w:eastAsia="宋体"/>
          <w:sz w:val="24"/>
        </w:rPr>
        <w:t>Li, Xia, and Kevin P. Gallagher. 2022. “Assessing the Climate Change Exposure of Foreign Direct Investment.” Nature Communications 13 (1): 1451. https://doi.org/10.1038/s41467-022-28975-5.</w:t>
      </w:r>
    </w:p>
    <w:p>
      <w:pPr>
        <w:pStyle w:val="DocBody"/>
      </w:pPr>
      <w:r>
        <w:rPr>
          <w:rFonts w:ascii="Times New Roman" w:hAnsi="Times New Roman" w:eastAsia="宋体"/>
          <w:sz w:val="24"/>
        </w:rPr>
        <w:t>www.bu.edu/gdp Lin, Justin Yifu, and Yan Wang. 2017. Going Beyond Aid: Development Cooperation for Structural Transformation. Cambridge University Press. https://doi.org/10.1017/9781316597354.</w:t>
      </w:r>
    </w:p>
    <w:p>
      <w:pPr>
        <w:pStyle w:val="DocBody"/>
      </w:pPr>
      <w:r>
        <w:rPr>
          <w:rFonts w:ascii="Times New Roman" w:hAnsi="Times New Roman" w:eastAsia="宋体"/>
          <w:sz w:val="24"/>
        </w:rPr>
        <w:t>Lin, Justin Yifu, Yan Wang, and Yinyin Xu. 2024. Development Beyond Debt: Why Financing Public Assets at Affordable Rates Is Key. October 21. https://www.bu.edu/gdp/2024/10/21/development-beyond-debt- why-financing-public-assets-at-affordable-rates-is-key/.</w:t>
      </w:r>
    </w:p>
    <w:p>
      <w:pPr>
        <w:pStyle w:val="DocBody"/>
      </w:pPr>
      <w:r>
        <w:rPr>
          <w:rFonts w:ascii="Times New Roman" w:hAnsi="Times New Roman" w:eastAsia="宋体"/>
          <w:sz w:val="24"/>
        </w:rPr>
        <w:t>Martorano, Bruno, Laura Metzger, and Marco Sanfilippo. 2020. “Chinese Development Assistance and Household Welfare in Sub-Saharan Africa.” World Development 129 (May): 104909. https://doi.</w:t>
      </w:r>
    </w:p>
    <w:p>
      <w:pPr>
        <w:pStyle w:val="DocBody"/>
      </w:pPr>
      <w:r>
        <w:rPr>
          <w:rFonts w:ascii="Times New Roman" w:hAnsi="Times New Roman" w:eastAsia="宋体"/>
          <w:sz w:val="24"/>
        </w:rPr>
        <w:t>org/10.1016/j.worlddev.2020.104909.</w:t>
      </w:r>
    </w:p>
    <w:p>
      <w:pPr>
        <w:pStyle w:val="DocBody"/>
      </w:pPr>
      <w:r>
        <w:rPr>
          <w:rFonts w:ascii="Times New Roman" w:hAnsi="Times New Roman" w:eastAsia="宋体"/>
          <w:sz w:val="24"/>
        </w:rPr>
        <w:t>Mihalyi, David, and Christoph Trebesch. 2023. Who Lends to Africa and How? Introducing the Africa Debt Database. Kiel Institute for the World Economy. https://www.ifw-kiel.de/publications/who-lends-to- africa-and-how-introducing-the-africa-debt-database-20876/.</w:t>
      </w:r>
    </w:p>
    <w:p>
      <w:pPr>
        <w:pStyle w:val="DocBody"/>
      </w:pPr>
      <w:r>
        <w:rPr>
          <w:rFonts w:ascii="Times New Roman" w:hAnsi="Times New Roman" w:eastAsia="宋体"/>
          <w:sz w:val="24"/>
        </w:rPr>
        <w:t>Mingey, Matthew, and Logan Wright. 2023. China’s External Debt Renegotiations After Zambia. New York.</w:t>
      </w:r>
    </w:p>
    <w:p>
      <w:pPr>
        <w:pStyle w:val="DocBody"/>
      </w:pPr>
      <w:r>
        <w:rPr>
          <w:rFonts w:ascii="Times New Roman" w:hAnsi="Times New Roman" w:eastAsia="宋体"/>
          <w:sz w:val="24"/>
        </w:rPr>
        <w:t>https://rhg.com/research/chinas-external-debt-renegotiations-after-zambia/.</w:t>
      </w:r>
    </w:p>
    <w:p>
      <w:pPr>
        <w:pStyle w:val="DocBody"/>
      </w:pPr>
      <w:r>
        <w:rPr>
          <w:rFonts w:ascii="Times New Roman" w:hAnsi="Times New Roman" w:eastAsia="宋体"/>
          <w:sz w:val="24"/>
        </w:rPr>
        <w:t>Mohr, Cathrin, and Christoph Trebesch. 2025. Geoeconomics. mo. Kiel Institute for the World Economy.</w:t>
      </w:r>
    </w:p>
    <w:p>
      <w:pPr>
        <w:pStyle w:val="DocBody"/>
      </w:pPr>
      <w:r>
        <w:rPr>
          <w:rFonts w:ascii="Times New Roman" w:hAnsi="Times New Roman" w:eastAsia="宋体"/>
          <w:sz w:val="24"/>
        </w:rPr>
        <w:t>https://www.ifw-kiel.de/de/publikationen/geoeconomics-33632/.</w:t>
      </w:r>
    </w:p>
    <w:p>
      <w:pPr>
        <w:pStyle w:val="DocBody"/>
      </w:pPr>
      <w:r>
        <w:rPr>
          <w:rFonts w:ascii="Times New Roman" w:hAnsi="Times New Roman" w:eastAsia="宋体"/>
          <w:sz w:val="24"/>
        </w:rPr>
        <w:t>Morro, Diego, Ishana Ratan, Jiaqi Lu, and Kevin P. Gallagher. 2025. No New Coal: A Shift in the Composition of China’s Overseas Power Plant Portfolio? Boston University Global Development Policy Center. https://www.bu.edu/gdp/2025/04/28/no-new-coal-a-shift-in-the-composition-of-chinas- overseas-power-plant-portfolio/.</w:t>
      </w:r>
    </w:p>
    <w:p>
      <w:pPr>
        <w:pStyle w:val="DocBody"/>
      </w:pPr>
      <w:r>
        <w:rPr>
          <w:rFonts w:ascii="Times New Roman" w:hAnsi="Times New Roman" w:eastAsia="宋体"/>
          <w:sz w:val="24"/>
        </w:rPr>
        <w:t>Moses, Oyintarelado, Laura Gormley, and Cecilia Springer. 2022. China’s Paid-In Capital: Identifying and Analyzing China’s Overseas Development Investment Funds. Boston University Global Development Policy Center. https://www.bu.edu/gdp/2022/10/31/chinas-paid-in-capital-identifying-and-analyzing-chinas- overseas-development-investment-funds/.</w:t>
      </w:r>
    </w:p>
    <w:p>
      <w:pPr>
        <w:pStyle w:val="DocBody"/>
      </w:pPr>
      <w:r>
        <w:rPr>
          <w:rFonts w:ascii="Times New Roman" w:hAnsi="Times New Roman" w:eastAsia="宋体"/>
          <w:sz w:val="24"/>
        </w:rPr>
        <w:t>Nedopil Wang, Christoph, and Hanrui Ma. 2025. “China’s First Sovereign RMB Green Bond Sends a Strong Signal.” Finance. East Asia Forum, July 28. https://eastasiaforum.org/2025/07/28/chinas-first- sovereign-rmb-green-bond-sends-a-strong-signal/.</w:t>
      </w:r>
    </w:p>
    <w:p>
      <w:pPr>
        <w:pStyle w:val="DocBody"/>
      </w:pPr>
      <w:r>
        <w:rPr>
          <w:rFonts w:ascii="Times New Roman" w:hAnsi="Times New Roman" w:eastAsia="宋体"/>
          <w:sz w:val="24"/>
        </w:rPr>
        <w:t>Network for Greening the Financial System. 2023. “NGFS Climate Scenarios for Central Banks and Supervisor.” https://www.ngfs.net/system/files/import/ngfs/medias/documents/ngfs_climate_ scenarios_for_central_banks_and_supervisors_phase_iv.pdf.</w:t>
      </w:r>
    </w:p>
    <w:p>
      <w:pPr>
        <w:pStyle w:val="DocBody"/>
      </w:pPr>
      <w:r>
        <w:rPr>
          <w:rFonts w:ascii="Times New Roman" w:hAnsi="Times New Roman" w:eastAsia="宋体"/>
          <w:sz w:val="24"/>
        </w:rPr>
        <w:t>Qian, Ying. 2021. Brady Bonds and the Potential for Debt Restructuring in the Post-Pandemic Era. Boston University Global Development Policy Center. https://www.bu.edu/gdp/2021/09/22/brady-bonds-and- the-potential-for-debt-restructuring-in-the-post-pandemic-era/.</w:t>
      </w:r>
    </w:p>
    <w:p>
      <w:pPr>
        <w:pStyle w:val="DocBody"/>
      </w:pPr>
      <w:r>
        <w:rPr>
          <w:rFonts w:ascii="Times New Roman" w:hAnsi="Times New Roman" w:eastAsia="宋体"/>
          <w:sz w:val="24"/>
        </w:rPr>
        <w:t>Radford, Arden, Jeffrey A. Geddes, Kevin P. Gallagher, and Bruce A. Larson. 2021. “Open-Source Methods for Estimating Health Risks of Fine Particulate Matter from Coal-Fired Power Plants: A Demonstration from Karachi, Pakistan.” Environmental Impact Assessment Review 91 (November):</w:t>
      </w:r>
    </w:p>
    <w:p>
      <w:pPr>
        <w:pStyle w:val="DocBody"/>
        <w:ind w:left="765"/>
      </w:pPr>
      <w:r>
        <w:rPr>
          <w:rFonts w:ascii="Times New Roman" w:hAnsi="Times New Roman" w:eastAsia="宋体"/>
          <w:sz w:val="24"/>
        </w:rPr>
        <w:t>https://doi.org/10.1016/j.eiar.2021.106638.</w:t>
      </w:r>
    </w:p>
    <w:p>
      <w:pPr>
        <w:pStyle w:val="DocBody"/>
      </w:pPr>
      <w:r>
        <w:rPr>
          <w:rFonts w:ascii="Times New Roman" w:hAnsi="Times New Roman" w:eastAsia="宋体"/>
          <w:sz w:val="24"/>
        </w:rPr>
        <w:t>Radomski, Julie. 2025. Dinosaur Dams: The Historical Origins of Chinese Hydroelectric Projects and Their Environmental Implications. Boston University Global Development Policy Center. https://www.bu.edu/ gdp/2025/08/27/dinosaur-dams-the-historical-origins-of-chinese-hydroelectric-projects-and-their- environmental-implications/.</w:t>
      </w:r>
    </w:p>
    <w:p>
      <w:pPr>
        <w:pStyle w:val="DocBody"/>
      </w:pPr>
      <w:r>
        <w:rPr>
          <w:rFonts w:ascii="Times New Roman" w:hAnsi="Times New Roman" w:eastAsia="宋体"/>
          <w:sz w:val="24"/>
        </w:rPr>
        <w:t>Ray, Rebecca, Kevin P. Gallagher, and Cynthia Ann Sanborn, eds. 2019. Development Banks and Sustainability in the Andean Amazon. Routledge Studies in Latin American Development. Routledge.</w:t>
      </w:r>
    </w:p>
    <w:p>
      <w:pPr>
        <w:pStyle w:val="DocBody"/>
      </w:pPr>
      <w:r>
        <w:rPr>
          <w:rFonts w:ascii="Times New Roman" w:hAnsi="Times New Roman" w:eastAsia="宋体"/>
          <w:sz w:val="24"/>
        </w:rPr>
        <w:t>https://doi.org/10.4324/9780429330193.</w:t>
      </w:r>
    </w:p>
    <w:p>
      <w:pPr>
        <w:pStyle w:val="DocBody"/>
      </w:pPr>
      <w:r>
        <w:rPr>
          <w:rFonts w:ascii="Times New Roman" w:hAnsi="Times New Roman" w:eastAsia="宋体"/>
          <w:sz w:val="24"/>
        </w:rPr>
        <w:t>www.bu.edu/gdp Ray, Rebecca, Diego Morro, Alice Ni, Mengdi Yue, and Riza Zhapabayeva. 2025. Peer-to-Peer Lending:</w:t>
      </w:r>
    </w:p>
    <w:p>
      <w:pPr>
        <w:pStyle w:val="DocBody"/>
      </w:pPr>
      <w:r>
        <w:rPr>
          <w:rFonts w:ascii="Times New Roman" w:hAnsi="Times New Roman" w:eastAsia="宋体"/>
          <w:sz w:val="24"/>
        </w:rPr>
        <w:t>China’s Overseas Development Finance Pivots to National and Regional Development Banks. GCI Policy Brief No. 026. Boston University Global Development Policy Center. https://www.bu.edu/gdp/files/2025/07/ GCI-PB-26-CODF-2025-FIN.pdf.</w:t>
      </w:r>
    </w:p>
    <w:p>
      <w:pPr>
        <w:pStyle w:val="DocBody"/>
      </w:pPr>
      <w:r>
        <w:rPr>
          <w:rFonts w:ascii="Times New Roman" w:hAnsi="Times New Roman" w:eastAsia="宋体"/>
          <w:sz w:val="24"/>
        </w:rPr>
        <w:t>State Council Information Office of the People’s Republic of China. 2021. China’s International Development Cooperation in the New Era. State Council of the People’s Republic of China.</w:t>
      </w:r>
    </w:p>
    <w:p>
      <w:pPr>
        <w:pStyle w:val="DocBody"/>
      </w:pPr>
      <w:r>
        <w:rPr>
          <w:rFonts w:ascii="Times New Roman" w:hAnsi="Times New Roman" w:eastAsia="宋体"/>
          <w:sz w:val="24"/>
        </w:rPr>
        <w:t>UN Trade and Development. 2025. The State of Commodity Dependence 2025. UN Trade and Development. https://unctad.org/publication/state-commodity-dependence-2025.</w:t>
      </w:r>
    </w:p>
    <w:p>
      <w:pPr>
        <w:pStyle w:val="DocBody"/>
      </w:pPr>
      <w:r>
        <w:rPr>
          <w:rFonts w:ascii="Times New Roman" w:hAnsi="Times New Roman" w:eastAsia="宋体"/>
          <w:sz w:val="24"/>
        </w:rPr>
        <w:t>UNCTAD. 2025. A World of Debt 2025. United Nations Conference on trade and development. https:// unctad.org/publication/world-of-debt.</w:t>
      </w:r>
    </w:p>
    <w:p>
      <w:pPr>
        <w:pStyle w:val="DocBody"/>
      </w:pPr>
      <w:r>
        <w:rPr>
          <w:rFonts w:ascii="Times New Roman" w:hAnsi="Times New Roman" w:eastAsia="宋体"/>
          <w:sz w:val="24"/>
        </w:rPr>
        <w:t>Wang, Yan, and Ying Qian. 2022. In Debt Restructuring, Is a “Haircut” Better than “Rescheduling?” New Research Shows They Are Comparable Approaches. https://www.bu.edu/gdp/2022/09/21/in-debt- restructuring-is-a-haircut-better-than-rescheduling-new-research-shows-they-are-comparable- approaches/.</w:t>
      </w:r>
    </w:p>
    <w:p>
      <w:pPr>
        <w:pStyle w:val="DocBody"/>
      </w:pPr>
      <w:r>
        <w:rPr>
          <w:rFonts w:ascii="Times New Roman" w:hAnsi="Times New Roman" w:eastAsia="宋体"/>
          <w:sz w:val="24"/>
        </w:rPr>
        <w:t>Wang, Yan, and Yinyin Xu. 2023. Generating Green Growth: Green Transformation in the Global South and Roles of Development Finance. Boston University Global Development Policy Center. https://www.bu.edu/ gdp/2023/07/24/generating-green-growth-green-transformation-in-the-global-south-and-roles-of- development-finance/.</w:t>
      </w:r>
    </w:p>
    <w:p>
      <w:pPr>
        <w:pStyle w:val="DocBody"/>
      </w:pPr>
      <w:r>
        <w:rPr>
          <w:rFonts w:ascii="Times New Roman" w:hAnsi="Times New Roman" w:eastAsia="宋体"/>
          <w:sz w:val="24"/>
        </w:rPr>
        <w:t>Wang, Yan, and Yinyin Xu. 2024. Direct Impacts and Spatial Spillovers: The Impact of Chinese Infrastructure Projects on Economic Activities in Sub-Saharan Africa. Boston University Global Development Policy Center.</w:t>
      </w:r>
    </w:p>
    <w:p>
      <w:pPr>
        <w:pStyle w:val="DocBody"/>
      </w:pPr>
      <w:r>
        <w:rPr>
          <w:rFonts w:ascii="Times New Roman" w:hAnsi="Times New Roman" w:eastAsia="宋体"/>
          <w:sz w:val="24"/>
        </w:rPr>
        <w:t>https://www.bu.edu/gdp/2024/05/20/direct-impacts-and-spatial-spillovers-the-impact-of-chinese- infrastructure-projects-on-economic-activities-in-sub-saharan-africa/.</w:t>
      </w:r>
    </w:p>
    <w:p>
      <w:pPr>
        <w:pStyle w:val="DocBody"/>
      </w:pPr>
      <w:r>
        <w:rPr>
          <w:rFonts w:ascii="Times New Roman" w:hAnsi="Times New Roman" w:eastAsia="宋体"/>
          <w:sz w:val="24"/>
        </w:rPr>
        <w:t>World Bank. 2024. International Debt Report 2024. World Bank. https://openknowledge.worldbank.org/ entities/publication/f1700aa0-cc73-42b7-8ceb-630c5528a574.</w:t>
      </w:r>
    </w:p>
    <w:p>
      <w:pPr>
        <w:pStyle w:val="DocBody"/>
      </w:pPr>
      <w:r>
        <w:rPr>
          <w:rFonts w:ascii="Times New Roman" w:hAnsi="Times New Roman" w:eastAsia="宋体"/>
          <w:sz w:val="24"/>
        </w:rPr>
        <w:t>World Bank. 2025a. “IBRD Financial Products: Lending Rates &amp; Fees.” Text/HTML. World Bank. https:// treasury.worldbank.org/en/about/unit/treasury/ibrd-financial-products/lending-rates-and-fees.</w:t>
      </w:r>
    </w:p>
    <w:p>
      <w:pPr>
        <w:pStyle w:val="DocBody"/>
      </w:pPr>
      <w:r>
        <w:rPr>
          <w:rFonts w:ascii="Times New Roman" w:hAnsi="Times New Roman" w:eastAsia="宋体"/>
          <w:sz w:val="24"/>
        </w:rPr>
        <w:t>World Bank. 2025b. “IDA Terms.” https://thedocs.worldbank.org/en/doc/ e4625f9763f77ba4568dedd76546581d-0410012024/related/IDA-Terms-effective-04-01-2025.pdf.</w:t>
      </w:r>
    </w:p>
    <w:p>
      <w:pPr>
        <w:pStyle w:val="DocBody"/>
      </w:pPr>
      <w:r>
        <w:rPr>
          <w:rFonts w:ascii="Times New Roman" w:hAnsi="Times New Roman" w:eastAsia="宋体"/>
          <w:sz w:val="24"/>
        </w:rPr>
        <w:t>World Bank. 2025c. “International Debt Statistics.” https://databank.worldbank.org/source/ international-debt-statistics.</w:t>
      </w:r>
    </w:p>
    <w:p>
      <w:pPr>
        <w:pStyle w:val="DocBody"/>
      </w:pPr>
      <w:r>
        <w:rPr>
          <w:rFonts w:ascii="Times New Roman" w:hAnsi="Times New Roman" w:eastAsia="宋体"/>
          <w:sz w:val="24"/>
        </w:rPr>
        <w:t>Xinhua News Agency. 2024. “China Announces Zero-Tariff Treatment for Least Developed Countries.”</w:t>
      </w:r>
    </w:p>
    <w:p>
      <w:pPr>
        <w:pStyle w:val="DocBody"/>
      </w:pPr>
      <w:r>
        <w:rPr>
          <w:rFonts w:ascii="Times New Roman" w:hAnsi="Times New Roman" w:eastAsia="宋体"/>
          <w:sz w:val="24"/>
        </w:rPr>
        <w:t>September 12. https://english.news.cn/20240912/c990dea99f6b4332813a1af33b7eadc0/c.html.</w:t>
      </w:r>
    </w:p>
    <w:p>
      <w:pPr>
        <w:pStyle w:val="DocBody"/>
      </w:pPr>
      <w:r>
        <w:rPr>
          <w:rFonts w:ascii="Times New Roman" w:hAnsi="Times New Roman" w:eastAsia="宋体"/>
          <w:sz w:val="24"/>
        </w:rPr>
        <w:t>Xu, Q., W. Xiong, J. Sun, Z. Chen, and J. Zhang. 2024. Productive Debt: China’s Overseas Lending and Economic Growth in Developing Countries. Institute for World Economics and Politics.</w:t>
      </w:r>
    </w:p>
    <w:p>
      <w:pPr>
        <w:pStyle w:val="DocBody"/>
      </w:pPr>
      <w:r>
        <w:rPr>
          <w:rFonts w:ascii="Times New Roman" w:hAnsi="Times New Roman" w:eastAsia="宋体"/>
          <w:sz w:val="24"/>
        </w:rPr>
        <w:t>Xue, Xiaokang, and Mathias Larson. 2025. China’s Green Leap Outward: The Rapid Scale- up of Overseas Chinese Clean-Tech Manufacturing Investments. Net Zero Industrial Policy Lab. https://www.</w:t>
      </w:r>
    </w:p>
    <w:p>
      <w:pPr>
        <w:pStyle w:val="DocBody"/>
      </w:pPr>
      <w:r>
        <w:rPr>
          <w:rFonts w:ascii="Times New Roman" w:hAnsi="Times New Roman" w:eastAsia="宋体"/>
          <w:sz w:val="24"/>
        </w:rPr>
        <w:t>netzeropolicylab.com/china-green-leap.</w:t>
      </w:r>
    </w:p>
    <w:p>
      <w:pPr>
        <w:pStyle w:val="DocBody"/>
      </w:pPr>
      <w:r>
        <w:rPr>
          <w:rFonts w:ascii="Times New Roman" w:hAnsi="Times New Roman" w:eastAsia="宋体"/>
          <w:sz w:val="24"/>
        </w:rPr>
        <w:t>Yang, Hongbo, B. Alexander Simmons, Rebecca Ray, et al. 2021. “Risks to Global Biodiversity and Indigenous Lands from China’s Overseas Development Finance.” Nature Ecology &amp; Evolution 5 (11): 1520–</w:t>
      </w:r>
    </w:p>
    <w:p>
      <w:pPr>
        <w:pStyle w:val="DocBody"/>
        <w:ind w:left="765"/>
      </w:pPr>
      <w:r>
        <w:rPr>
          <w:rFonts w:ascii="Times New Roman" w:hAnsi="Times New Roman" w:eastAsia="宋体"/>
          <w:sz w:val="24"/>
        </w:rPr>
        <w:t>https://doi.org/10.1038/s41559-021-01541-w.</w:t>
      </w:r>
    </w:p>
    <w:p>
      <w:pPr>
        <w:pStyle w:val="DocBody"/>
      </w:pPr>
      <w:r>
        <w:rPr>
          <w:rFonts w:ascii="Times New Roman" w:hAnsi="Times New Roman" w:eastAsia="宋体"/>
          <w:sz w:val="24"/>
        </w:rPr>
        <w:t>www.bu.edu/gdp Zhang, Liyunpeng, Yuhang Zhuang, Yibing Ding, and Ziwei Liu. 2023. “Infrastructure and Poverty Reduction: Assessing the Dynamic Impact of Chinese Infrastructure Investment in Sub-Saharan Africa.”</w:t>
      </w:r>
    </w:p>
    <w:p>
      <w:pPr>
        <w:pStyle w:val="DocBody"/>
      </w:pPr>
      <w:r>
        <w:rPr>
          <w:rFonts w:ascii="Times New Roman" w:hAnsi="Times New Roman" w:eastAsia="宋体"/>
          <w:sz w:val="24"/>
        </w:rPr>
        <w:t>Journal of Asian Economics 84 (February): 101573. https://doi.org/10.1016/j.asieco.2022.101573.</w:t>
      </w:r>
    </w:p>
    <w:p>
      <w:pPr>
        <w:pStyle w:val="DocBody"/>
      </w:pPr>
      <w:r>
        <w:rPr>
          <w:rFonts w:ascii="Times New Roman" w:hAnsi="Times New Roman" w:eastAsia="宋体"/>
          <w:sz w:val="24"/>
        </w:rPr>
        <w:t>Zucker-Marques, Marina, Ulrich Volz, and Kevin P. Gallagher. 2023. Debt Relief by Multilateral Lenders – Why, How and How Much? Boston University Global Development Policy Center; Centre for Sustainable Finance, SOAS, University of London; Heinrich-Böll-Stiftung. https://drgr.org/our-proposal/report-debt- relief-by-multilateral-lenders-why-how-and-how-much/.</w:t>
      </w:r>
    </w:p>
    <w:p>
      <w:pPr>
        <w:pStyle w:val="DocBody"/>
      </w:pPr>
      <w:r>
        <w:rPr>
          <w:rFonts w:ascii="Times New Roman" w:hAnsi="Times New Roman" w:eastAsia="宋体"/>
          <w:sz w:val="24"/>
        </w:rPr>
        <w:t>www.bu.edu/gdp DATA APPENDIX Appendix Figure 1: Share of External PPG Debt Stock, 2023, IDA-Eligible Countries Source: Author calculation from International Monetary Fund, 2025; World Bank, 2025b.</w:t>
      </w:r>
    </w:p>
    <w:p>
      <w:pPr>
        <w:pStyle w:val="DocBody"/>
      </w:pPr>
      <w:r>
        <w:rPr>
          <w:rFonts w:ascii="Times New Roman" w:hAnsi="Times New Roman" w:eastAsia="宋体"/>
          <w:sz w:val="24"/>
        </w:rPr>
        <w:t>www.bu.edu/gdp Appendix Figure 2: Share of External PPG Debt Service, 2026-2030, IDA-Eligible Countries Source: Author calculation from International Monetary Fund, 2025; World Bank, 2025c.</w:t>
      </w:r>
    </w:p>
    <w:p>
      <w:pPr>
        <w:pStyle w:val="DocBody"/>
      </w:pPr>
      <w:r>
        <w:rPr>
          <w:rFonts w:ascii="Times New Roman" w:hAnsi="Times New Roman" w:eastAsia="宋体"/>
          <w:sz w:val="24"/>
        </w:rPr>
        <w:t>Global Development Policy Center Boston University 53 Bay State Road Boston, MA 02215 gdp@bu.edu @GDP_Center bu.edu/gdp The Global China Initiative (GCI) is a research inititiative at Boston University Global Development Policy Center. The GDP Center is a University wide center in partnership with the Frederick S. Pardee School for Global Studies. The Center’s mission is to advance policy-oriented research for financial stability, human wellbeing, and environmental sustainability.</w:t>
      </w:r>
    </w:p>
    <w:p>
      <w:pPr>
        <w:pStyle w:val="DocBody"/>
      </w:pPr>
      <w:r>
        <w:rPr>
          <w:rFonts w:ascii="Times New Roman" w:hAnsi="Times New Roman" w:eastAsia="宋体"/>
          <w:sz w:val="24"/>
        </w:rPr>
        <w:t>www.bu.edu/gdp G L O B A L C H I N A I N I T I AT I V E The views expressed in this Working Paper are strictly those of the author(s)</w:t>
      </w:r>
    </w:p>
    <w:p>
      <w:pPr>
        <w:pStyle w:val="DocBody"/>
      </w:pPr>
      <w:r>
        <w:rPr>
          <w:rFonts w:ascii="Times New Roman" w:hAnsi="Times New Roman" w:eastAsia="宋体"/>
          <w:sz w:val="24"/>
        </w:rPr>
        <w:t>and do not represent the position of Boston University, or the Global Development Policy Center.</w:t>
      </w:r>
    </w:p>
    <w:p>
      <w:pPr>
        <w:spacing w:line="240" w:lineRule="auto"/>
        <w:jc w:val="center"/>
      </w:pPr>
      <w:r>
        <w:rPr>
          <w:rFonts w:ascii="Times New Roman" w:hAnsi="Times New Roman" w:eastAsia="宋体"/>
          <w:color w:val="595959"/>
          <w:sz w:val="21"/>
        </w:rPr>
        <w:t>— · —</w:t>
      </w:r>
    </w:p>
    <w:p>
      <w:pPr>
        <w:pStyle w:val="DocH1"/>
      </w:pPr>
      <w:r>
        <w:rPr>
          <w:rFonts w:ascii="Times New Roman" w:hAnsi="Times New Roman" w:eastAsia="宋体"/>
          <w:sz w:val="24"/>
        </w:rPr>
        <w:t>Page Summary (original landing page)</w:t>
      </w:r>
    </w:p>
    <w:p>
      <w:pPr>
        <w:pStyle w:val="DocH1"/>
      </w:pPr>
      <w:r>
        <w:rPr>
          <w:rFonts w:ascii="Times New Roman" w:hAnsi="Times New Roman" w:eastAsia="宋体"/>
          <w:sz w:val="24"/>
        </w:rPr>
        <w:t>Share</w:t>
      </w:r>
    </w:p>
    <w:p>
      <w:pPr>
        <w:pStyle w:val="DocBody"/>
      </w:pPr>
      <w:r>
        <w:rPr>
          <w:rFonts w:ascii="Times New Roman" w:hAnsi="Times New Roman" w:eastAsia="宋体"/>
          <w:sz w:val="24"/>
        </w:rPr>
        <w:t xml:space="preserve">Close Mail  </w:t>
      </w:r>
      <w:hyperlink r:id="rId12">
        <w:r>
          <w:rPr>
            <w:rFonts w:ascii="Times New Roman" w:hAnsi="Times New Roman" w:eastAsia="宋体"/>
            <w:color w:val="0563C1"/>
            <w:sz w:val="24"/>
            <w:u w:val="single"/>
          </w:rPr>
          <w:t xml:space="preserve"> Facebook </w:t>
        </w:r>
      </w:hyperlink>
      <w:r>
        <w:rPr>
          <w:rFonts w:ascii="Times New Roman" w:hAnsi="Times New Roman" w:eastAsia="宋体"/>
          <w:sz w:val="24"/>
        </w:rPr>
        <w:t xml:space="preserve"> </w:t>
      </w:r>
      <w:hyperlink r:id="rId13">
        <w:r>
          <w:rPr>
            <w:rFonts w:ascii="Times New Roman" w:hAnsi="Times New Roman" w:eastAsia="宋体"/>
            <w:color w:val="0563C1"/>
            <w:sz w:val="24"/>
            <w:u w:val="single"/>
          </w:rPr>
          <w:t xml:space="preserve"> Twitter / X </w:t>
        </w:r>
      </w:hyperlink>
      <w:r>
        <w:rPr>
          <w:rFonts w:ascii="Times New Roman" w:hAnsi="Times New Roman" w:eastAsia="宋体"/>
          <w:sz w:val="24"/>
        </w:rPr>
        <w:t xml:space="preserve"> </w:t>
      </w:r>
      <w:hyperlink r:id="rId14">
        <w:r>
          <w:rPr>
            <w:rFonts w:ascii="Times New Roman" w:hAnsi="Times New Roman" w:eastAsia="宋体"/>
            <w:color w:val="0563C1"/>
            <w:sz w:val="24"/>
            <w:u w:val="single"/>
          </w:rPr>
          <w:t xml:space="preserve"> LinkedIn </w:t>
        </w:r>
      </w:hyperlink>
    </w:p>
    <w:p>
      <w:pPr>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27fb21dee9cd6ac1.jpg"/>
                    <pic:cNvPicPr/>
                  </pic:nvPicPr>
                  <pic:blipFill>
                    <a:blip r:embed="rId15"/>
                    <a:stretch>
                      <a:fillRect/>
                    </a:stretch>
                  </pic:blipFill>
                  <pic:spPr>
                    <a:xfrm>
                      <a:off x="0" y="0"/>
                      <a:ext cx="5400000" cy="3037500"/>
                    </a:xfrm>
                    <a:prstGeom prst="rect"/>
                  </pic:spPr>
                </pic:pic>
              </a:graphicData>
            </a:graphic>
          </wp:inline>
        </w:drawing>
      </w:r>
    </w:p>
    <w:p>
      <w:pPr>
        <w:pStyle w:val="DocBody"/>
      </w:pPr>
      <w:r>
        <w:rPr>
          <w:rFonts w:ascii="Times New Roman" w:hAnsi="Times New Roman" w:eastAsia="宋体"/>
          <w:sz w:val="24"/>
        </w:rPr>
        <w:t xml:space="preserve">WASHINGTON—China’s trade surplus, the </w:t>
      </w:r>
      <w:hyperlink r:id="rId16">
        <w:r>
          <w:rPr>
            <w:rFonts w:ascii="Times New Roman" w:hAnsi="Times New Roman" w:eastAsia="宋体"/>
            <w:color w:val="0563C1"/>
            <w:sz w:val="24"/>
            <w:u w:val="single"/>
          </w:rPr>
          <w:t>largest in history</w:t>
        </w:r>
      </w:hyperlink>
      <w:r>
        <w:rPr>
          <w:rFonts w:ascii="Times New Roman" w:hAnsi="Times New Roman" w:eastAsia="宋体"/>
          <w:sz w:val="24"/>
        </w:rPr>
        <w:t xml:space="preserve"> at $1.2 trillion in 2025, is routinely cited as evidence of unfair competition or currency manipulation. It is much more than that. It is the visible byproduct of a deliberate strategy aimed at self-sufficiency that discourages private consumption, subsidizes industrial investment, and exports whatever the domestic market cannot absorb.</w:t>
      </w:r>
    </w:p>
    <w:p>
      <w:pPr>
        <w:pStyle w:val="DocBody"/>
      </w:pPr>
      <w:r>
        <w:rPr>
          <w:rFonts w:ascii="Times New Roman" w:hAnsi="Times New Roman" w:eastAsia="宋体"/>
          <w:sz w:val="24"/>
        </w:rPr>
        <w:t xml:space="preserve">China’s strategy is </w:t>
      </w:r>
      <w:hyperlink r:id="rId17">
        <w:r>
          <w:rPr>
            <w:rFonts w:ascii="Times New Roman" w:hAnsi="Times New Roman" w:eastAsia="宋体"/>
            <w:color w:val="0563C1"/>
            <w:sz w:val="24"/>
            <w:u w:val="single"/>
          </w:rPr>
          <w:t>mercantilist</w:t>
        </w:r>
      </w:hyperlink>
      <w:r>
        <w:rPr>
          <w:rFonts w:ascii="Times New Roman" w:hAnsi="Times New Roman" w:eastAsia="宋体"/>
          <w:sz w:val="24"/>
        </w:rPr>
        <w:t xml:space="preserve"> in a way many analysts recognize—but what is less widely appreciated is how that familiar label now operates through advanced manufacturing, global value chains, and geopolitical positioning. Western countries cannot correct China’s mercantilism merely through trade or </w:t>
      </w:r>
      <w:hyperlink r:id="rId18">
        <w:r>
          <w:rPr>
            <w:rFonts w:ascii="Times New Roman" w:hAnsi="Times New Roman" w:eastAsia="宋体"/>
            <w:color w:val="0563C1"/>
            <w:sz w:val="24"/>
            <w:u w:val="single"/>
          </w:rPr>
          <w:t>exchange-rate diplomacy</w:t>
        </w:r>
      </w:hyperlink>
      <w:r>
        <w:rPr>
          <w:rFonts w:ascii="Times New Roman" w:hAnsi="Times New Roman" w:eastAsia="宋体"/>
          <w:sz w:val="24"/>
        </w:rPr>
        <w:t xml:space="preserve">, and treating it simply as part of a broader global imbalances story misses the central problem. Whether China’s trade surplus is fair or manipulated is therefore an interesting but not essential question. The more important one is whether China’s </w:t>
      </w:r>
      <w:hyperlink r:id="rId19">
        <w:r>
          <w:rPr>
            <w:rFonts w:ascii="Times New Roman" w:hAnsi="Times New Roman" w:eastAsia="宋体"/>
            <w:color w:val="0563C1"/>
            <w:sz w:val="24"/>
            <w:u w:val="single"/>
          </w:rPr>
          <w:t>geopolitical</w:t>
        </w:r>
      </w:hyperlink>
      <w:r>
        <w:rPr>
          <w:rFonts w:ascii="Times New Roman" w:hAnsi="Times New Roman" w:eastAsia="宋体"/>
          <w:sz w:val="24"/>
        </w:rPr>
        <w:t xml:space="preserve"> strategy can be contained by the democracies whose living standards and political stability it increasingly threatens.</w:t>
      </w:r>
    </w:p>
    <w:p>
      <w:pPr>
        <w:pStyle w:val="DocH1"/>
      </w:pPr>
      <w:r>
        <w:rPr>
          <w:rFonts w:ascii="Times New Roman" w:hAnsi="Times New Roman" w:eastAsia="宋体"/>
          <w:b/>
          <w:sz w:val="24"/>
        </w:rPr>
        <w:t>The next China shock</w:t>
      </w:r>
    </w:p>
    <w:p>
      <w:pPr>
        <w:pStyle w:val="DocBody"/>
      </w:pPr>
      <w:r>
        <w:rPr>
          <w:rFonts w:ascii="Times New Roman" w:hAnsi="Times New Roman" w:eastAsia="宋体"/>
          <w:sz w:val="24"/>
        </w:rPr>
        <w:t xml:space="preserve">China’s strategy rests on three mutually reinforcing pillars. The first is industrial: rapid </w:t>
      </w:r>
      <w:hyperlink r:id="rId20">
        <w:r>
          <w:rPr>
            <w:rFonts w:ascii="Times New Roman" w:hAnsi="Times New Roman" w:eastAsia="宋体"/>
            <w:color w:val="0563C1"/>
            <w:sz w:val="24"/>
            <w:u w:val="single"/>
          </w:rPr>
          <w:t>technological diffusion</w:t>
        </w:r>
      </w:hyperlink>
      <w:r>
        <w:rPr>
          <w:rFonts w:ascii="Times New Roman" w:hAnsi="Times New Roman" w:eastAsia="宋体"/>
          <w:sz w:val="24"/>
        </w:rPr>
        <w:t xml:space="preserve">, fierce state-sponsored competition encouraged by public subsidies in selected industries, and tight integration across the production chain. All are playing out inside a domestic market large enough to give Chinese firms a scale advantage that few rivals can match. The result is a manufacturing base that has kept expanding even as domestic demand has stagnated, forcing firms into destructive price competition at home and aggressive export </w:t>
      </w:r>
      <w:hyperlink r:id="rId21">
        <w:r>
          <w:rPr>
            <w:rFonts w:ascii="Times New Roman" w:hAnsi="Times New Roman" w:eastAsia="宋体"/>
            <w:color w:val="0563C1"/>
            <w:sz w:val="24"/>
            <w:u w:val="single"/>
          </w:rPr>
          <w:t>pricing</w:t>
        </w:r>
      </w:hyperlink>
      <w:r>
        <w:rPr>
          <w:rFonts w:ascii="Times New Roman" w:hAnsi="Times New Roman" w:eastAsia="宋体"/>
          <w:sz w:val="24"/>
        </w:rPr>
        <w:t xml:space="preserve"> abroad. This has displaced Western producers in what has been dubbed the </w:t>
      </w:r>
      <w:hyperlink r:id="rId22">
        <w:r>
          <w:rPr>
            <w:rFonts w:ascii="Times New Roman" w:hAnsi="Times New Roman" w:eastAsia="宋体"/>
            <w:color w:val="0563C1"/>
            <w:sz w:val="24"/>
            <w:u w:val="single"/>
          </w:rPr>
          <w:t>China Shock 2.0</w:t>
        </w:r>
      </w:hyperlink>
      <w:r>
        <w:rPr>
          <w:rFonts w:ascii="Times New Roman" w:hAnsi="Times New Roman" w:eastAsia="宋体"/>
          <w:sz w:val="24"/>
        </w:rPr>
        <w:t>.</w:t>
      </w:r>
    </w:p>
    <w:p>
      <w:pPr>
        <w:pStyle w:val="DocBody"/>
      </w:pPr>
      <w:r>
        <w:rPr>
          <w:rFonts w:ascii="Times New Roman" w:hAnsi="Times New Roman" w:eastAsia="宋体"/>
          <w:sz w:val="24"/>
        </w:rPr>
        <w:t xml:space="preserve">The second pillar is financial. A large share of China’s external surplus is </w:t>
      </w:r>
      <w:hyperlink r:id="rId23">
        <w:r>
          <w:rPr>
            <w:rFonts w:ascii="Times New Roman" w:hAnsi="Times New Roman" w:eastAsia="宋体"/>
            <w:color w:val="0563C1"/>
            <w:sz w:val="24"/>
            <w:u w:val="single"/>
          </w:rPr>
          <w:t>recycled</w:t>
        </w:r>
      </w:hyperlink>
      <w:r>
        <w:rPr>
          <w:rFonts w:ascii="Times New Roman" w:hAnsi="Times New Roman" w:eastAsia="宋体"/>
          <w:sz w:val="24"/>
        </w:rPr>
        <w:t xml:space="preserve"> directly into loans, foreign direct investment, and infrastructure financing abroad, rather than left to accumulate as reserves that would put upward pressure on its currency. Because this recycling happens through state banks and policy vehicles rather than the central bank’s own balance sheet, it requires relatively little overt intervention, and it converts what would otherwise be a currency adjustment into an instrument of financial statecraft.</w:t>
      </w:r>
    </w:p>
    <w:p>
      <w:pPr>
        <w:pStyle w:val="DocBody"/>
      </w:pPr>
      <w:r>
        <w:rPr>
          <w:rFonts w:ascii="Times New Roman" w:hAnsi="Times New Roman" w:eastAsia="宋体"/>
          <w:sz w:val="24"/>
        </w:rPr>
        <w:t xml:space="preserve">The third pillar is geopolitical. Beijing has pursued vertical integration and supply-chain consolidation not merely for industrial efficiency but as a deliberate instrument of leverage. Dominance in the mining and processing of rare earths and other critical minerals, for example, gives China control over </w:t>
      </w:r>
      <w:hyperlink r:id="rId24">
        <w:r>
          <w:rPr>
            <w:rFonts w:ascii="Times New Roman" w:hAnsi="Times New Roman" w:eastAsia="宋体"/>
            <w:color w:val="0563C1"/>
            <w:sz w:val="24"/>
            <w:u w:val="single"/>
          </w:rPr>
          <w:t>chokepoints</w:t>
        </w:r>
      </w:hyperlink>
      <w:r>
        <w:rPr>
          <w:rFonts w:ascii="Times New Roman" w:hAnsi="Times New Roman" w:eastAsia="宋体"/>
          <w:sz w:val="24"/>
        </w:rPr>
        <w:t xml:space="preserve"> for inputs that Western defense, automotive, and electronics industries cannot currently replace. The same logic extends to investment in </w:t>
      </w:r>
      <w:hyperlink r:id="rId25">
        <w:r>
          <w:rPr>
            <w:rFonts w:ascii="Times New Roman" w:hAnsi="Times New Roman" w:eastAsia="宋体"/>
            <w:color w:val="0563C1"/>
            <w:sz w:val="24"/>
            <w:u w:val="single"/>
          </w:rPr>
          <w:t>technology</w:t>
        </w:r>
      </w:hyperlink>
      <w:r>
        <w:rPr>
          <w:rFonts w:ascii="Times New Roman" w:hAnsi="Times New Roman" w:eastAsia="宋体"/>
          <w:sz w:val="24"/>
        </w:rPr>
        <w:t>, ports, and other critical infrastructure across low-income and emerging-market economies, where Chinese finance builds dependencies that pay geopolitical as well as commercial dividends.</w:t>
      </w:r>
    </w:p>
    <w:p>
      <w:pPr>
        <w:pStyle w:val="DocH1"/>
      </w:pPr>
      <w:r>
        <w:rPr>
          <w:rFonts w:ascii="Times New Roman" w:hAnsi="Times New Roman" w:eastAsia="宋体"/>
          <w:b/>
          <w:sz w:val="24"/>
        </w:rPr>
        <w:t>Contradictions inside the model</w:t>
      </w:r>
    </w:p>
    <w:p>
      <w:pPr>
        <w:pStyle w:val="DocBody"/>
      </w:pPr>
      <w:r>
        <w:rPr>
          <w:rFonts w:ascii="Times New Roman" w:hAnsi="Times New Roman" w:eastAsia="宋体"/>
          <w:sz w:val="24"/>
        </w:rPr>
        <w:t xml:space="preserve">China’s external success masks considerable </w:t>
      </w:r>
      <w:hyperlink r:id="rId26">
        <w:r>
          <w:rPr>
            <w:rFonts w:ascii="Times New Roman" w:hAnsi="Times New Roman" w:eastAsia="宋体"/>
            <w:color w:val="0563C1"/>
            <w:sz w:val="24"/>
            <w:u w:val="single"/>
          </w:rPr>
          <w:t>internal strains</w:t>
        </w:r>
      </w:hyperlink>
      <w:r>
        <w:rPr>
          <w:rFonts w:ascii="Times New Roman" w:hAnsi="Times New Roman" w:eastAsia="宋体"/>
          <w:sz w:val="24"/>
        </w:rPr>
        <w:t xml:space="preserve">, of course. China’s working-age population has passed its peak. Major studies project a loss of </w:t>
      </w:r>
      <w:hyperlink r:id="rId27">
        <w:r>
          <w:rPr>
            <w:rFonts w:ascii="Times New Roman" w:hAnsi="Times New Roman" w:eastAsia="宋体"/>
            <w:color w:val="0563C1"/>
            <w:sz w:val="24"/>
            <w:u w:val="single"/>
          </w:rPr>
          <w:t>roughly a quarter</w:t>
        </w:r>
      </w:hyperlink>
      <w:r>
        <w:rPr>
          <w:rFonts w:ascii="Times New Roman" w:hAnsi="Times New Roman" w:eastAsia="宋体"/>
          <w:sz w:val="24"/>
        </w:rPr>
        <w:t xml:space="preserve"> of the workforce by mid-century, an adjustment without precedent for large countries. Household wealth is trapped in a property sector that remains under water, and elevated youth unemployment is </w:t>
      </w:r>
      <w:hyperlink r:id="rId28">
        <w:r>
          <w:rPr>
            <w:rFonts w:ascii="Times New Roman" w:hAnsi="Times New Roman" w:eastAsia="宋体"/>
            <w:color w:val="0563C1"/>
            <w:sz w:val="24"/>
            <w:u w:val="single"/>
          </w:rPr>
          <w:t>testing the social contract</w:t>
        </w:r>
      </w:hyperlink>
      <w:r>
        <w:rPr>
          <w:rFonts w:ascii="Times New Roman" w:hAnsi="Times New Roman" w:eastAsia="宋体"/>
          <w:sz w:val="24"/>
        </w:rPr>
        <w:t xml:space="preserve"> that underpinned three decades of rapid growth. These are genuine constraints on China’s model: an economy that depends on suppressing consumption and subsidizing production cannot indefinitely ignore a shrinking labor force and a household sector unwilling to spend.</w:t>
      </w:r>
    </w:p>
    <w:p>
      <w:pPr>
        <w:pStyle w:val="DocBody"/>
      </w:pPr>
      <w:r>
        <w:rPr>
          <w:rFonts w:ascii="Times New Roman" w:hAnsi="Times New Roman" w:eastAsia="宋体"/>
          <w:sz w:val="24"/>
        </w:rPr>
        <w:t xml:space="preserve">Yet a </w:t>
      </w:r>
      <w:hyperlink r:id="rId29">
        <w:r>
          <w:rPr>
            <w:rFonts w:ascii="Times New Roman" w:hAnsi="Times New Roman" w:eastAsia="宋体"/>
            <w:color w:val="0563C1"/>
            <w:sz w:val="24"/>
            <w:u w:val="single"/>
          </w:rPr>
          <w:t>repressive political system</w:t>
        </w:r>
      </w:hyperlink>
      <w:r>
        <w:rPr>
          <w:rFonts w:ascii="Times New Roman" w:hAnsi="Times New Roman" w:eastAsia="宋体"/>
          <w:sz w:val="24"/>
        </w:rPr>
        <w:t xml:space="preserve"> that exerts intensive surveillance over public discourse can manage these strains for far longer than an open economy could, all while the state builds out its geopolitical footprint. This is the paradox democracies need to internalize: The very tools that make China’s system resistant to a change in power also make its long-term trajectory harder to read, and potentially more dangerous. As internal contradictions become harder to manage through growth alone, a leadership under pressure may find </w:t>
      </w:r>
      <w:hyperlink r:id="rId30">
        <w:r>
          <w:rPr>
            <w:rFonts w:ascii="Times New Roman" w:hAnsi="Times New Roman" w:eastAsia="宋体"/>
            <w:color w:val="0563C1"/>
            <w:sz w:val="24"/>
            <w:u w:val="single"/>
          </w:rPr>
          <w:t>external assertion</w:t>
        </w:r>
      </w:hyperlink>
      <w:r>
        <w:rPr>
          <w:rFonts w:ascii="Times New Roman" w:hAnsi="Times New Roman" w:eastAsia="宋体"/>
          <w:sz w:val="24"/>
        </w:rPr>
        <w:t>—whether over Taiwan or in the South China Sea—a more useful instrument for controlling domestic dissent than economic reform.</w:t>
      </w:r>
    </w:p>
    <w:p>
      <w:pPr>
        <w:pStyle w:val="DocBody"/>
      </w:pPr>
      <w:r>
        <w:rPr>
          <w:rFonts w:ascii="Times New Roman" w:hAnsi="Times New Roman" w:eastAsia="宋体"/>
          <w:sz w:val="24"/>
        </w:rPr>
        <w:t xml:space="preserve">History suggests that revisionist powers tend to become more willing to take risks if they believe their power is beginning to erode compared to that of their rivals. A low-probability lunge for advantage can appear preferable to leaders facing a humiliating and irreversible decline in relative power. Whether China currently exhibits that pattern is a live </w:t>
      </w:r>
      <w:hyperlink r:id="rId31">
        <w:r>
          <w:rPr>
            <w:rFonts w:ascii="Times New Roman" w:hAnsi="Times New Roman" w:eastAsia="宋体"/>
            <w:color w:val="0563C1"/>
            <w:sz w:val="24"/>
            <w:u w:val="single"/>
          </w:rPr>
          <w:t>debate</w:t>
        </w:r>
      </w:hyperlink>
      <w:r>
        <w:rPr>
          <w:rFonts w:ascii="Times New Roman" w:hAnsi="Times New Roman" w:eastAsia="宋体"/>
          <w:sz w:val="24"/>
        </w:rPr>
        <w:t>, but it is one that Western planners should not treat as a remote scenario.</w:t>
      </w:r>
    </w:p>
    <w:p>
      <w:pPr>
        <w:pStyle w:val="DocH1"/>
      </w:pPr>
      <w:r>
        <w:rPr>
          <w:rFonts w:ascii="Times New Roman" w:hAnsi="Times New Roman" w:eastAsia="宋体"/>
          <w:b/>
          <w:sz w:val="24"/>
        </w:rPr>
        <w:t>The German precedent</w:t>
      </w:r>
    </w:p>
    <w:p>
      <w:pPr>
        <w:pStyle w:val="DocBody"/>
      </w:pPr>
      <w:r>
        <w:rPr>
          <w:rFonts w:ascii="Times New Roman" w:hAnsi="Times New Roman" w:eastAsia="宋体"/>
          <w:sz w:val="24"/>
        </w:rPr>
        <w:t xml:space="preserve">China’s trajectory has a genuine, if imperfect, </w:t>
      </w:r>
      <w:hyperlink r:id="rId32">
        <w:r>
          <w:rPr>
            <w:rFonts w:ascii="Times New Roman" w:hAnsi="Times New Roman" w:eastAsia="宋体"/>
            <w:color w:val="0563C1"/>
            <w:sz w:val="24"/>
            <w:u w:val="single"/>
          </w:rPr>
          <w:t>precedent</w:t>
        </w:r>
      </w:hyperlink>
      <w:r>
        <w:rPr>
          <w:rFonts w:ascii="Times New Roman" w:hAnsi="Times New Roman" w:eastAsia="宋体"/>
          <w:sz w:val="24"/>
        </w:rPr>
        <w:t xml:space="preserve"> in the newly unified German Empire of the late nineteenth and early twentieth centuries. Germany combined a tightly integrated corporate-industrial structure, headed by an autocratic regime oriented toward Prussian military ideals, with a large domestic market and rapid technological catch-up. It produced economic and military capabilities that rivals operating under older economic models found difficult to match. The friction this generated with the established powers of the day eventually erupted into conflict, and it took two world wars and the near-total exhaustion of the European state system before a more liberal order was reestablished.</w:t>
      </w:r>
    </w:p>
    <w:p>
      <w:pPr>
        <w:pStyle w:val="DocBody"/>
      </w:pPr>
      <w:r>
        <w:rPr>
          <w:rFonts w:ascii="Times New Roman" w:hAnsi="Times New Roman" w:eastAsia="宋体"/>
          <w:sz w:val="24"/>
        </w:rPr>
        <w:t xml:space="preserve">Recent </w:t>
      </w:r>
      <w:hyperlink r:id="rId33">
        <w:r>
          <w:rPr>
            <w:rFonts w:ascii="Times New Roman" w:hAnsi="Times New Roman" w:eastAsia="宋体"/>
            <w:color w:val="0563C1"/>
            <w:sz w:val="24"/>
            <w:u w:val="single"/>
          </w:rPr>
          <w:t>work on the Anglo-German rivalry</w:t>
        </w:r>
      </w:hyperlink>
      <w:r>
        <w:rPr>
          <w:rFonts w:ascii="Times New Roman" w:hAnsi="Times New Roman" w:eastAsia="宋体"/>
          <w:sz w:val="24"/>
        </w:rPr>
        <w:t xml:space="preserve"> shows that this contest was embedded in early global supply chains for dual-use industries, such as chemicals, electrical equipment, and machinery. At the time, Britain dominated high-value finance and shipping, while Germany was rapidly catching up in manufacturing under an autocratic, corporatist model. Their rivalry played out in naval rearmament and colonial competition. But it also played out through economic statecraft, as Britain sought to weaponize its control over shipping lanes and raw-material supply chains, while Germany responded by upgrading toward a more self-sufficient continental industrial base.</w:t>
      </w:r>
    </w:p>
    <w:p>
      <w:pPr>
        <w:pStyle w:val="DocBody"/>
      </w:pPr>
      <w:r>
        <w:rPr>
          <w:rFonts w:ascii="Times New Roman" w:hAnsi="Times New Roman" w:eastAsia="宋体"/>
          <w:sz w:val="24"/>
        </w:rPr>
        <w:t>This is a parallel that should concern today’s policymakers: A mercantilist economic model, paired with an autocratic political system capable of directing capital and industry with little internal resistance, can generate sustained economic and perhaps military advantages for many years. Another uncomfortable reality is that the contest between today’s newcomer and a group of democratic incumbents will unfold without an outside power to tip the scales in the way the United States rescued Europe twice in the twentieth century.</w:t>
      </w:r>
    </w:p>
    <w:p>
      <w:pPr>
        <w:pStyle w:val="DocH1"/>
      </w:pPr>
      <w:r>
        <w:rPr>
          <w:rFonts w:ascii="Times New Roman" w:hAnsi="Times New Roman" w:eastAsia="宋体"/>
          <w:b/>
          <w:sz w:val="24"/>
        </w:rPr>
        <w:t>Time is still on Beijing’s side</w:t>
      </w:r>
    </w:p>
    <w:p>
      <w:pPr>
        <w:pStyle w:val="DocBody"/>
      </w:pPr>
      <w:r>
        <w:rPr>
          <w:rFonts w:ascii="Times New Roman" w:hAnsi="Times New Roman" w:eastAsia="宋体"/>
          <w:sz w:val="24"/>
        </w:rPr>
        <w:t xml:space="preserve">It is possible for today’s democratic allies, who still dominate China in economic and financial terms, to stand their ground. But this will require a sustained, coordinated effort. None of China’s internal contradictions suggest an imminent reckoning for its Communist Party. The scale of its </w:t>
      </w:r>
      <w:hyperlink r:id="rId34">
        <w:r>
          <w:rPr>
            <w:rFonts w:ascii="Times New Roman" w:hAnsi="Times New Roman" w:eastAsia="宋体"/>
            <w:color w:val="0563C1"/>
            <w:sz w:val="24"/>
            <w:u w:val="single"/>
          </w:rPr>
          <w:t>demographic decline</w:t>
        </w:r>
      </w:hyperlink>
      <w:r>
        <w:rPr>
          <w:rFonts w:ascii="Times New Roman" w:hAnsi="Times New Roman" w:eastAsia="宋体"/>
          <w:sz w:val="24"/>
        </w:rPr>
        <w:t xml:space="preserve"> is real, but its pace is slow enough that Beijing will likely have many more years to exploit its current strengths before the labor force shrinks enough to meaningfully constrain output.</w:t>
      </w:r>
    </w:p>
    <w:p>
      <w:pPr>
        <w:pStyle w:val="DocBody"/>
      </w:pPr>
      <w:r>
        <w:rPr>
          <w:rFonts w:ascii="Times New Roman" w:hAnsi="Times New Roman" w:eastAsia="宋体"/>
          <w:sz w:val="24"/>
        </w:rPr>
        <w:t xml:space="preserve">Combined with continued gains in automation and </w:t>
      </w:r>
      <w:hyperlink r:id="rId35">
        <w:r>
          <w:rPr>
            <w:rFonts w:ascii="Times New Roman" w:hAnsi="Times New Roman" w:eastAsia="宋体"/>
            <w:color w:val="0563C1"/>
            <w:sz w:val="24"/>
            <w:u w:val="single"/>
          </w:rPr>
          <w:t>robotics</w:t>
        </w:r>
      </w:hyperlink>
      <w:r>
        <w:rPr>
          <w:rFonts w:ascii="Times New Roman" w:hAnsi="Times New Roman" w:eastAsia="宋体"/>
          <w:sz w:val="24"/>
        </w:rPr>
        <w:t>, China will likely remain a potent competitive force well beyond the point at which its internal strains become impossible to ignore. A counterstrategy that relies on China’s demographic decline or assumes its internal contradictions will resolve the competitive challenge on their own is not a strategy, but a wager on time.</w:t>
      </w:r>
    </w:p>
    <w:p>
      <w:pPr>
        <w:pStyle w:val="DocBody"/>
      </w:pPr>
      <w:r>
        <w:rPr>
          <w:rFonts w:ascii="Times New Roman" w:hAnsi="Times New Roman" w:eastAsia="宋体"/>
          <w:sz w:val="24"/>
        </w:rPr>
        <w:t xml:space="preserve">As for the United States and Europe, which are also </w:t>
      </w:r>
      <w:hyperlink r:id="rId36">
        <w:r>
          <w:rPr>
            <w:rFonts w:ascii="Times New Roman" w:hAnsi="Times New Roman" w:eastAsia="宋体"/>
            <w:color w:val="0563C1"/>
            <w:sz w:val="24"/>
            <w:u w:val="single"/>
          </w:rPr>
          <w:t>aging</w:t>
        </w:r>
      </w:hyperlink>
      <w:r>
        <w:rPr>
          <w:rFonts w:ascii="Times New Roman" w:hAnsi="Times New Roman" w:eastAsia="宋体"/>
          <w:sz w:val="24"/>
        </w:rPr>
        <w:t>, their higher living standards relative to those in China continue to imply higher labor costs, and social welfare commitments are larger as well. Both will constrain the speed and scale of their industrial response. Moreover, just as economic hardship bred protectionist backlash in the past, today’s rising inequality and fear of economic decline narrow the political space available for the sustained, patient industrial and technological response the moment requires.</w:t>
      </w:r>
    </w:p>
    <w:p>
      <w:pPr>
        <w:pStyle w:val="DocH1"/>
      </w:pPr>
      <w:r>
        <w:rPr>
          <w:rFonts w:ascii="Times New Roman" w:hAnsi="Times New Roman" w:eastAsia="宋体"/>
          <w:b/>
          <w:sz w:val="24"/>
        </w:rPr>
        <w:t>Designing a durable counterstrategy</w:t>
      </w:r>
    </w:p>
    <w:p>
      <w:pPr>
        <w:pStyle w:val="DocBody"/>
      </w:pPr>
      <w:r>
        <w:rPr>
          <w:rFonts w:ascii="Times New Roman" w:hAnsi="Times New Roman" w:eastAsia="宋体"/>
          <w:sz w:val="24"/>
        </w:rPr>
        <w:t>Hard as it may be, the task ahead for the United States and its democratic allies is to design a counterstrategy that is durable enough to outlast a prolonged contest and calibrated enough to avoid tipping it into military confrontation. In the meantime, Western economies need to rebuild the industrial and technological depth that will allow them to negotiate from a position of strength rather than anxiety.</w:t>
      </w:r>
    </w:p>
    <w:p>
      <w:pPr>
        <w:pStyle w:val="DocBody"/>
      </w:pPr>
      <w:r>
        <w:rPr>
          <w:rFonts w:ascii="Times New Roman" w:hAnsi="Times New Roman" w:eastAsia="宋体"/>
          <w:sz w:val="24"/>
        </w:rPr>
        <w:t>The first element is mitigating the China Shock 2.0 directly. Keeping subsidized Chinese products out of specific domestic markets, at least until Western industries rebuild competitive capacity, is a defensible response. But trade defenses have diminishing returns, and tariff walls buy time without automatically restoring competitiveness. They should therefore be treated as a bridge to a more durable strategy, not a substitute for one.</w:t>
      </w:r>
    </w:p>
    <w:p>
      <w:pPr>
        <w:pStyle w:val="DocBody"/>
      </w:pPr>
      <w:r>
        <w:rPr>
          <w:rFonts w:ascii="Times New Roman" w:hAnsi="Times New Roman" w:eastAsia="宋体"/>
          <w:sz w:val="24"/>
        </w:rPr>
        <w:t xml:space="preserve">The second is playing to areas of durable Western advantage that are currently underused. In </w:t>
      </w:r>
      <w:hyperlink r:id="rId37">
        <w:r>
          <w:rPr>
            <w:rFonts w:ascii="Times New Roman" w:hAnsi="Times New Roman" w:eastAsia="宋体"/>
            <w:color w:val="0563C1"/>
            <w:sz w:val="24"/>
            <w:u w:val="single"/>
          </w:rPr>
          <w:t>finance</w:t>
        </w:r>
      </w:hyperlink>
      <w:r>
        <w:rPr>
          <w:rFonts w:ascii="Times New Roman" w:hAnsi="Times New Roman" w:eastAsia="宋体"/>
          <w:sz w:val="24"/>
        </w:rPr>
        <w:t xml:space="preserve">, the West’s advantage lies in trusted, open, and liquid markets that have underpinned the centrality of the dollar for eight decades. The priority should be to modernize how money and securities move through those systems so they remain fast, secure, and reliable. In technology, the United States and its allies maintain important advantages at critical points in the supply chains for frontier artificial intelligence, </w:t>
      </w:r>
      <w:hyperlink r:id="rId38">
        <w:r>
          <w:rPr>
            <w:rFonts w:ascii="Times New Roman" w:hAnsi="Times New Roman" w:eastAsia="宋体"/>
            <w:color w:val="0563C1"/>
            <w:sz w:val="24"/>
            <w:u w:val="single"/>
          </w:rPr>
          <w:t>advanced semiconductors</w:t>
        </w:r>
      </w:hyperlink>
      <w:r>
        <w:rPr>
          <w:rFonts w:ascii="Times New Roman" w:hAnsi="Times New Roman" w:eastAsia="宋体"/>
          <w:sz w:val="24"/>
        </w:rPr>
        <w:t>, and high-end machine tools. Export controls can help preserve or even expand that lead, but temporary barriers should not be mistaken for a durable solution.</w:t>
      </w:r>
    </w:p>
    <w:p>
      <w:pPr>
        <w:pStyle w:val="DocBody"/>
      </w:pPr>
      <w:r>
        <w:rPr>
          <w:rFonts w:ascii="Times New Roman" w:hAnsi="Times New Roman" w:eastAsia="宋体"/>
          <w:sz w:val="24"/>
        </w:rPr>
        <w:t xml:space="preserve">The third is accelerating the contest for the Global South, where the signs of a shift are already visible but need to move faster. Beijing’s Belt and Road Initiative </w:t>
      </w:r>
      <w:hyperlink r:id="rId39">
        <w:r>
          <w:rPr>
            <w:rFonts w:ascii="Times New Roman" w:hAnsi="Times New Roman" w:eastAsia="宋体"/>
            <w:color w:val="0563C1"/>
            <w:sz w:val="24"/>
            <w:u w:val="single"/>
          </w:rPr>
          <w:t>missteps</w:t>
        </w:r>
      </w:hyperlink>
      <w:r>
        <w:rPr>
          <w:rFonts w:ascii="Times New Roman" w:hAnsi="Times New Roman" w:eastAsia="宋体"/>
          <w:sz w:val="24"/>
        </w:rPr>
        <w:t xml:space="preserve">, mounting debt distress, and its shift from capital provider to </w:t>
      </w:r>
      <w:hyperlink r:id="rId40">
        <w:r>
          <w:rPr>
            <w:rFonts w:ascii="Times New Roman" w:hAnsi="Times New Roman" w:eastAsia="宋体"/>
            <w:color w:val="0563C1"/>
            <w:sz w:val="24"/>
            <w:u w:val="single"/>
          </w:rPr>
          <w:t>debt collector</w:t>
        </w:r>
      </w:hyperlink>
      <w:r>
        <w:rPr>
          <w:rFonts w:ascii="Times New Roman" w:hAnsi="Times New Roman" w:eastAsia="宋体"/>
          <w:sz w:val="24"/>
        </w:rPr>
        <w:t xml:space="preserve"> have already cost China reputational capital. Yet Western governments have simultaneously cut </w:t>
      </w:r>
      <w:hyperlink r:id="rId41">
        <w:r>
          <w:rPr>
            <w:rFonts w:ascii="Times New Roman" w:hAnsi="Times New Roman" w:eastAsia="宋体"/>
            <w:color w:val="0563C1"/>
            <w:sz w:val="24"/>
            <w:u w:val="single"/>
          </w:rPr>
          <w:t>official development assistance</w:t>
        </w:r>
      </w:hyperlink>
      <w:r>
        <w:rPr>
          <w:rFonts w:ascii="Times New Roman" w:hAnsi="Times New Roman" w:eastAsia="宋体"/>
          <w:sz w:val="24"/>
        </w:rPr>
        <w:t xml:space="preserve"> at precisely the moment this opening has appeared. Moreover, financing by multilateral development banks has not been sufficient on its own. Many developing-country governments have asked for market access and technology transfer rather than concessional loans. Africa should be prioritized both for its position among </w:t>
      </w:r>
      <w:hyperlink r:id="rId42">
        <w:r>
          <w:rPr>
            <w:rFonts w:ascii="Times New Roman" w:hAnsi="Times New Roman" w:eastAsia="宋体"/>
            <w:color w:val="0563C1"/>
            <w:sz w:val="24"/>
            <w:u w:val="single"/>
          </w:rPr>
          <w:t>the fastest-growing consumer markets</w:t>
        </w:r>
      </w:hyperlink>
      <w:r>
        <w:rPr>
          <w:rFonts w:ascii="Times New Roman" w:hAnsi="Times New Roman" w:eastAsia="宋体"/>
          <w:sz w:val="24"/>
        </w:rPr>
        <w:t xml:space="preserve"> of the coming decades and as the region where the West has the clearest opportunity to offer a more credible alternative.</w:t>
      </w:r>
    </w:p>
    <w:p>
      <w:pPr>
        <w:pStyle w:val="DocBody"/>
      </w:pPr>
      <w:r>
        <w:rPr>
          <w:rFonts w:ascii="Times New Roman" w:hAnsi="Times New Roman" w:eastAsia="宋体"/>
          <w:sz w:val="24"/>
        </w:rPr>
        <w:t xml:space="preserve">The fourth and most urgent is closing </w:t>
      </w:r>
      <w:hyperlink r:id="rId43">
        <w:r>
          <w:rPr>
            <w:rFonts w:ascii="Times New Roman" w:hAnsi="Times New Roman" w:eastAsia="宋体"/>
            <w:color w:val="0563C1"/>
            <w:sz w:val="24"/>
            <w:u w:val="single"/>
          </w:rPr>
          <w:t>the trust gap</w:t>
        </w:r>
      </w:hyperlink>
      <w:r>
        <w:rPr>
          <w:rFonts w:ascii="Times New Roman" w:hAnsi="Times New Roman" w:eastAsia="宋体"/>
          <w:sz w:val="24"/>
        </w:rPr>
        <w:t xml:space="preserve"> between the United States and its allies, since none of the above is achievable without functioning coordination among democracies themselves. The current US administration’s approach to allies has weakened trust even as its tactics have produced useful shifts in behavior, most visibly faster European defense spending. NATO and other treaty partners around the world remain an important force multiplier for the US, whereas China’s own relationships with US allies remain </w:t>
      </w:r>
      <w:hyperlink r:id="rId44">
        <w:r>
          <w:rPr>
            <w:rFonts w:ascii="Times New Roman" w:hAnsi="Times New Roman" w:eastAsia="宋体"/>
            <w:color w:val="0563C1"/>
            <w:sz w:val="24"/>
            <w:u w:val="single"/>
          </w:rPr>
          <w:t>narrow</w:t>
        </w:r>
      </w:hyperlink>
      <w:r>
        <w:rPr>
          <w:rFonts w:ascii="Times New Roman" w:hAnsi="Times New Roman" w:eastAsia="宋体"/>
          <w:sz w:val="24"/>
        </w:rPr>
        <w:t>, limited largely to economic ties already under strain and lacking the deeper cultural, institutional, and historical connections that characterize the transatlantic partnership.</w:t>
      </w:r>
    </w:p>
    <w:p>
      <w:pPr>
        <w:pStyle w:val="DocH1"/>
      </w:pPr>
      <w:r>
        <w:rPr>
          <w:rFonts w:ascii="Times New Roman" w:hAnsi="Times New Roman" w:eastAsia="宋体"/>
          <w:b/>
          <w:sz w:val="24"/>
        </w:rPr>
        <w:t>A settlement built from strength</w:t>
      </w:r>
    </w:p>
    <w:p>
      <w:pPr>
        <w:pStyle w:val="DocBody"/>
      </w:pPr>
      <w:r>
        <w:rPr>
          <w:rFonts w:ascii="Times New Roman" w:hAnsi="Times New Roman" w:eastAsia="宋体"/>
          <w:sz w:val="24"/>
        </w:rPr>
        <w:t xml:space="preserve">To sum up, the strategic task ahead is not to relitigate whether China’s currency is undervalued or whether its subsidies violate trade norms. It is to leverage the durable strengths democracies still hold—in education, fundamental research, </w:t>
      </w:r>
      <w:hyperlink r:id="rId45">
        <w:r>
          <w:rPr>
            <w:rFonts w:ascii="Times New Roman" w:hAnsi="Times New Roman" w:eastAsia="宋体"/>
            <w:color w:val="0563C1"/>
            <w:sz w:val="24"/>
            <w:u w:val="single"/>
          </w:rPr>
          <w:t>financial and entrepreneurial capacity</w:t>
        </w:r>
      </w:hyperlink>
      <w:r>
        <w:rPr>
          <w:rFonts w:ascii="Times New Roman" w:hAnsi="Times New Roman" w:eastAsia="宋体"/>
          <w:sz w:val="24"/>
        </w:rPr>
        <w:t>, and the institutional flexibility that a more open, if messier, political system still provides.</w:t>
      </w:r>
    </w:p>
    <w:p>
      <w:pPr>
        <w:pStyle w:val="DocBody"/>
      </w:pPr>
      <w:r>
        <w:rPr>
          <w:rFonts w:ascii="Times New Roman" w:hAnsi="Times New Roman" w:eastAsia="宋体"/>
          <w:sz w:val="24"/>
        </w:rPr>
        <w:t xml:space="preserve">China’s rise to dominance is not preordained. Its diplomacy has often proven </w:t>
      </w:r>
      <w:hyperlink r:id="rId46">
        <w:r>
          <w:rPr>
            <w:rFonts w:ascii="Times New Roman" w:hAnsi="Times New Roman" w:eastAsia="宋体"/>
            <w:color w:val="0563C1"/>
            <w:sz w:val="24"/>
            <w:u w:val="single"/>
          </w:rPr>
          <w:t>self-limiting</w:t>
        </w:r>
      </w:hyperlink>
      <w:r>
        <w:rPr>
          <w:rFonts w:ascii="Times New Roman" w:hAnsi="Times New Roman" w:eastAsia="宋体"/>
          <w:sz w:val="24"/>
        </w:rPr>
        <w:t>. Its aversion to formal alliances constrains its ability to build the kind of trust-based coalitions that magnify hard power into durable influence. The low productivity of its domestic economy, its demographic trajectory, and its incomplete progress toward technological self-sufficiency all impose real ceilings on how far its current advantages can carry it. But neither should one assume that China will stall on its own anytime soon. Nor should confidence in the country’s structural constraints translate into complacency about the possibility that a leadership watching its window of advantage narrow might choose confrontation over managed decline.</w:t>
      </w:r>
    </w:p>
    <w:p>
      <w:pPr>
        <w:pStyle w:val="DocBody"/>
      </w:pPr>
      <w:r>
        <w:rPr>
          <w:rFonts w:ascii="Times New Roman" w:hAnsi="Times New Roman" w:eastAsia="宋体"/>
          <w:sz w:val="24"/>
        </w:rPr>
        <w:t xml:space="preserve">Useful as China’s current account surplus is for diagnosing specific distortions, it is not a variable that will ultimately determine the future of US-China relations. What will is whether the United States and its allies build a coherent and cooperative </w:t>
      </w:r>
      <w:hyperlink r:id="rId47">
        <w:r>
          <w:rPr>
            <w:rFonts w:ascii="Times New Roman" w:hAnsi="Times New Roman" w:eastAsia="宋体"/>
            <w:color w:val="0563C1"/>
            <w:sz w:val="24"/>
            <w:u w:val="single"/>
          </w:rPr>
          <w:t>counterstrategy</w:t>
        </w:r>
      </w:hyperlink>
      <w:r>
        <w:rPr>
          <w:rFonts w:ascii="Times New Roman" w:hAnsi="Times New Roman" w:eastAsia="宋体"/>
          <w:sz w:val="24"/>
        </w:rPr>
        <w:t xml:space="preserve"> to shape the terms of peaceful competition while they are still in a position to do so.</w:t>
      </w:r>
    </w:p>
    <w:p>
      <w:pPr>
        <w:pStyle w:val="DocBody"/>
      </w:pPr>
      <w:r>
        <w:rPr>
          <w:rFonts w:ascii="Times New Roman" w:hAnsi="Times New Roman" w:eastAsia="宋体"/>
          <w:sz w:val="24"/>
        </w:rPr>
        <w:t>Original text Rate this translation Your feedback will be used to help improve Google Translate</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B003-018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tlanticcouncil.org/dispatches/why-chinas-export-maximizing-strategy-is-working-for-now/" TargetMode="External"/><Relationship Id="rId12" Type="http://schemas.openxmlformats.org/officeDocument/2006/relationships/hyperlink" Target="https://www.facebook.com/sharer/sharer.php?u=https%3A%2F%2Fwww.atlanticcouncil.org%2Fdispatches%2Fwhy-chinas-export-maximizing-strategy-is-working-for-now%2F" TargetMode="External"/><Relationship Id="rId13" Type="http://schemas.openxmlformats.org/officeDocument/2006/relationships/hyperlink" Target="https://twitter.com/intent/tweet?url=https%3A%2F%2Fwww.atlanticcouncil.org%2Fdispatches%2Fwhy-chinas-export-maximizing-strategy-is-working-for-now%2F&amp;text=Why+China%E2%80%99s+export-maximizing+strategy+is+working%E2%80%94for+now" TargetMode="External"/><Relationship Id="rId14" Type="http://schemas.openxmlformats.org/officeDocument/2006/relationships/hyperlink" Target="https://www.linkedin.com/sharing/share-offsite/?url=https://www.atlanticcouncil.org/dispatches/why-chinas-export-maximizing-strategy-is-working-for-now/&amp;text=Why+China%E2%80%99s+export-maximizing+strategy+is+working%E2%80%94for+now%20%5Bhttps://www.atlanticcouncil.org/dispatches/why-chinas-export-maximizing-strategy-is-working-for-now/%5D" TargetMode="External"/><Relationship Id="rId15" Type="http://schemas.openxmlformats.org/officeDocument/2006/relationships/image" Target="media/image1.jpg"/><Relationship Id="rId16" Type="http://schemas.openxmlformats.org/officeDocument/2006/relationships/hyperlink" Target="https://www.nytimes.com/2026/01/13/business/china-trade-surplus-exports.html" TargetMode="External"/><Relationship Id="rId17" Type="http://schemas.openxmlformats.org/officeDocument/2006/relationships/hyperlink" Target="https://www.ft.com/content/a5e9dfe7-6b4d-476d-93a0-193a753b885a" TargetMode="External"/><Relationship Id="rId18" Type="http://schemas.openxmlformats.org/officeDocument/2006/relationships/hyperlink" Target="https://www.foreignaffairs.com/china/real-problem-global-trade" TargetMode="External"/><Relationship Id="rId19" Type="http://schemas.openxmlformats.org/officeDocument/2006/relationships/hyperlink" Target="https://www.swp-berlin.org/publikation/chinas-claim-to-a-new-world-order" TargetMode="External"/><Relationship Id="rId20" Type="http://schemas.openxmlformats.org/officeDocument/2006/relationships/hyperlink" Target="https://rhg.com/research/was-made-in-china-2025-successful/" TargetMode="External"/><Relationship Id="rId21" Type="http://schemas.openxmlformats.org/officeDocument/2006/relationships/hyperlink" Target="https://www.eurasiagroup.net/live-post/risk-7-chinas-deflation-trap" TargetMode="External"/><Relationship Id="rId22" Type="http://schemas.openxmlformats.org/officeDocument/2006/relationships/hyperlink" Target="https://www.cer.eu/publications/archive/policy-brief/2026/china-shock-20-cost-germanys-complacency" TargetMode="External"/><Relationship Id="rId23" Type="http://schemas.openxmlformats.org/officeDocument/2006/relationships/hyperlink" Target="https://www.ft.com/content/9ea52aca-8d8d-485f-85c8-45d59601512e" TargetMode="External"/><Relationship Id="rId24" Type="http://schemas.openxmlformats.org/officeDocument/2006/relationships/hyperlink" Target="https://www.iea.org/reports/global-critical-minerals-outlook-2026/executive-summary" TargetMode="External"/><Relationship Id="rId25" Type="http://schemas.openxmlformats.org/officeDocument/2006/relationships/hyperlink" Target="https://www.ft.com/content/2b2fab66-16ea-48a7-a4cd-93022d8a13d2" TargetMode="External"/><Relationship Id="rId26" Type="http://schemas.openxmlformats.org/officeDocument/2006/relationships/hyperlink" Target="https://www.foreignaffairs.com/china/chinas-moment-weakness" TargetMode="External"/><Relationship Id="rId27" Type="http://schemas.openxmlformats.org/officeDocument/2006/relationships/hyperlink" Target="https://www.rand.org/pubs/research_briefs/RBA3372-1.html" TargetMode="External"/><Relationship Id="rId28" Type="http://schemas.openxmlformats.org/officeDocument/2006/relationships/hyperlink" Target="https://fortune.com/2026/02/01/china-economy-export-led-growth-trade-surplus-real-estate-crash-consumers-deflation/" TargetMode="External"/><Relationship Id="rId29" Type="http://schemas.openxmlformats.org/officeDocument/2006/relationships/hyperlink" Target="https://www.theatlantic.com/international/2026/04/donald-trump-xi-jinping-china-authoritarianism/686631/" TargetMode="External"/><Relationship Id="rId30" Type="http://schemas.openxmlformats.org/officeDocument/2006/relationships/hyperlink" Target="https://jamestown.org/a-five-year-plan-for-managed-confrontation/" TargetMode="External"/><Relationship Id="rId31" Type="http://schemas.openxmlformats.org/officeDocument/2006/relationships/hyperlink" Target="https://www.foreignaffairs.com/articles/china/2021-10-01/end-chinas-rise" TargetMode="External"/><Relationship Id="rId32" Type="http://schemas.openxmlformats.org/officeDocument/2006/relationships/hyperlink" Target="https://academic.oup.com/gh/article/43/2/161/8174931" TargetMode="External"/><Relationship Id="rId33" Type="http://schemas.openxmlformats.org/officeDocument/2006/relationships/hyperlink" Target="https://www.researchgate.net/publication/375628869_Wars_without_Gun_Smoke_Global_Supply_Chains_Power_Transitions_and_Economic_Statecraft" TargetMode="External"/><Relationship Id="rId34" Type="http://schemas.openxmlformats.org/officeDocument/2006/relationships/hyperlink" Target="https://www.brookings.edu/articles/chinas-shrinking-population-and-constraints-on-its-future-power/" TargetMode="External"/><Relationship Id="rId35" Type="http://schemas.openxmlformats.org/officeDocument/2006/relationships/hyperlink" Target="https://chinapower.csis.org/china-industrial-robots/" TargetMode="External"/><Relationship Id="rId36" Type="http://schemas.openxmlformats.org/officeDocument/2006/relationships/hyperlink" Target="https://www.weforum.org/stories/health-and-healthcare-systems/these-animations-show-the-western-world-is-rapidly-ageing/" TargetMode="External"/><Relationship Id="rId37" Type="http://schemas.openxmlformats.org/officeDocument/2006/relationships/hyperlink" Target="https://www.foreignaffairs.com/united-states/america-still-has-upper-hand-over-china" TargetMode="External"/><Relationship Id="rId38" Type="http://schemas.openxmlformats.org/officeDocument/2006/relationships/hyperlink" Target="https://merics.org/de/kommentar/if-europe-wants-use-its-trade-leverage-china-now-time" TargetMode="External"/><Relationship Id="rId39" Type="http://schemas.openxmlformats.org/officeDocument/2006/relationships/hyperlink" Target="https://thediplomat.com/2025/09/the-complex-politics-of-chinas-belt-and-road-initiative/" TargetMode="External"/><Relationship Id="rId40" Type="http://schemas.openxmlformats.org/officeDocument/2006/relationships/hyperlink" Target="https://interactives.lowyinstitute.org/features/peak-repayment-china-global-lending/" TargetMode="External"/><Relationship Id="rId41" Type="http://schemas.openxmlformats.org/officeDocument/2006/relationships/hyperlink" Target="https://www.bu.edu/gdp/files/2026/02/GCI-WP-045-Net-Transfers-EN-FIN.pdf" TargetMode="External"/><Relationship Id="rId42" Type="http://schemas.openxmlformats.org/officeDocument/2006/relationships/hyperlink" Target="https://www.brookings.edu/articles/africas-consumer-market-potential/" TargetMode="External"/><Relationship Id="rId43" Type="http://schemas.openxmlformats.org/officeDocument/2006/relationships/hyperlink" Target="https://www.dw.com/en/only-1-in-10-europeans-see-us-as-an-ally-study/a-77489708" TargetMode="External"/><Relationship Id="rId44" Type="http://schemas.openxmlformats.org/officeDocument/2006/relationships/hyperlink" Target="https://www.foreignaffairs.com/china/why-china-first-will-fail-patricia-kim" TargetMode="External"/><Relationship Id="rId45" Type="http://schemas.openxmlformats.org/officeDocument/2006/relationships/hyperlink" Target="https://www.ft.com/content/5817f869-7b5d-4260-87b3-1500750172e0" TargetMode="External"/><Relationship Id="rId46" Type="http://schemas.openxmlformats.org/officeDocument/2006/relationships/hyperlink" Target="https://www.foreignaffairs.com/united-states/china-squandering-golden-opportunity-david-shambaugh" TargetMode="External"/><Relationship Id="rId47" Type="http://schemas.openxmlformats.org/officeDocument/2006/relationships/hyperlink" Target="https://www.foreignaffairs.com/united-states/how-alliances-survive-campbell-dosh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China’s export-maximizing strategy is working—for now</dc:title>
  <dc:subject/>
  <dc:creator>briefing-article-kb</dc:creator>
  <cp:keywords/>
  <dc:description>https://www.atlanticcouncil.org/dispatches/why-chinas-export-maximizing-strategy-is-working-for-now/</dc:description>
  <cp:lastModifiedBy/>
  <cp:revision>1</cp:revision>
  <dcterms:created xsi:type="dcterms:W3CDTF">2013-12-23T23:15:00Z</dcterms:created>
  <dcterms:modified xsi:type="dcterms:W3CDTF">2013-12-23T23:15:00Z</dcterms:modified>
  <cp:category/>
</cp:coreProperties>
</file>