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B005-004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CEPR（CEPR - Discussion Papers）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2026-08-29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DP21888 When the Middle Class Undermines Progress: The Political Economy of AI Regulation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https://cepr.org/publications/dp21888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B005（2026-08-30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B005-004-Cepr - discussion papers -dp21888-when-the-middle-class-undermines-progres-202608.md</w:t>
            </w:r>
          </w:p>
        </w:tc>
      </w:tr>
    </w:tbl>
    <w:p/>
    <w:p>
      <w:pPr>
        <w:pStyle w:val="DocTitle"/>
      </w:pPr>
      <w:r>
        <w:t>DP21888 When the Middle Class Undermines Progress: The Political Economy of AI Regulation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Search the site Search English Français Deutsch Italiano 中文 More The classic literature argues that a large middle class is a prerequisite for economic development. Is this true when AI progress threatens to disrupt the labor market? On the one hand, uncertainty about the consequences can impede the passage of AI-friendly regulation: voters fear the prospect of losing when the uncertainty is resolved. On the other, granular information about reform consequences may reduce political support as well. In our model, a larger middle class hampers reform, compensatory redistribution is most politically effective when its welfare justification is weakest, and AI regulatory sandboxes encounter resistance because new information undermines reform coalitions.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Translation created by Artificial Intelligence (LLM)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1600" cy="29990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db809b73b3d6f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1600" cy="299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Conference </w:t>
      </w: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The Political Economy Programme Meeting</w:t>
        </w:r>
      </w:hyperlink>
    </w:p>
    <w:p>
      <w:pPr>
        <w:pStyle w:val="DocH1"/>
      </w:pP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CEPR Political Economy Symposium 2027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19 Mar 2027 - 20 Mar 2027 in Venice, Italy</w:t>
      </w:r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Political Economy</w:t>
        </w:r>
      </w:hyperlink>
    </w:p>
    <w:p>
      <w:pPr>
        <w:pStyle w:val="DocBody"/>
      </w:pP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Closes 14 Sep 2026 at 08:00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5200" cy="3001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35bb09834cce9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5200" cy="300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图2  Paris Symposium 2024 image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Conference </w:t>
      </w: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CEPR Paris Symposium</w:t>
        </w:r>
      </w:hyperlink>
    </w:p>
    <w:p>
      <w:pPr>
        <w:pStyle w:val="DocH1"/>
      </w:pPr>
      <w:hyperlink r:id="rId19">
        <w:r>
          <w:rPr>
            <w:rFonts w:ascii="Times New Roman" w:hAnsi="Times New Roman" w:eastAsia="宋体"/>
            <w:color w:val="0563C1"/>
            <w:sz w:val="24"/>
            <w:u w:val="single"/>
          </w:rPr>
          <w:t>CEPR Paris Symposium 2026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3 Dec 2026 - 8 Dec 2026 in Paris, France</w:t>
      </w:r>
    </w:p>
    <w:p>
      <w:pPr>
        <w:pStyle w:val="DocBody"/>
        <w:ind w:left="765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Ageing and Longevity</w:t>
        </w:r>
      </w:hyperlink>
    </w:p>
    <w:p>
      <w:pPr>
        <w:pStyle w:val="DocBody"/>
        <w:ind w:left="765"/>
      </w:pP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</w:p>
    <w:p>
      <w:pPr>
        <w:pStyle w:val="DocBody"/>
        <w:ind w:left="765"/>
      </w:pP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Competition Policy</w:t>
        </w:r>
      </w:hyperlink>
    </w:p>
    <w:p>
      <w:pPr>
        <w:pStyle w:val="DocBody"/>
        <w:ind w:left="765"/>
      </w:pP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European Economic Policy</w:t>
        </w:r>
      </w:hyperlink>
    </w:p>
    <w:p>
      <w:pPr>
        <w:pStyle w:val="DocBody"/>
        <w:ind w:left="765"/>
      </w:pPr>
      <w:hyperlink r:id="rId24">
        <w:r>
          <w:rPr>
            <w:rFonts w:ascii="Times New Roman" w:hAnsi="Times New Roman" w:eastAsia="宋体"/>
            <w:color w:val="0563C1"/>
            <w:sz w:val="24"/>
            <w:u w:val="single"/>
          </w:rPr>
          <w:t>European Financial Architecture</w:t>
        </w:r>
      </w:hyperlink>
    </w:p>
    <w:p>
      <w:pPr>
        <w:pStyle w:val="DocBody"/>
        <w:ind w:left="765"/>
      </w:pP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Fintech and Digital Currencies</w:t>
        </w:r>
      </w:hyperlink>
    </w:p>
    <w:p>
      <w:pPr>
        <w:pStyle w:val="DocBody"/>
        <w:ind w:left="765"/>
      </w:pPr>
      <w:hyperlink r:id="rId26">
        <w:r>
          <w:rPr>
            <w:rFonts w:ascii="Times New Roman" w:hAnsi="Times New Roman" w:eastAsia="宋体"/>
            <w:color w:val="0563C1"/>
            <w:sz w:val="24"/>
            <w:u w:val="single"/>
          </w:rPr>
          <w:t>Geoeconomics and Security</w:t>
        </w:r>
      </w:hyperlink>
    </w:p>
    <w:p>
      <w:pPr>
        <w:pStyle w:val="DocBody"/>
        <w:ind w:left="765"/>
      </w:pP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Growth, Innovation and Social Model in Europe</w:t>
        </w:r>
      </w:hyperlink>
    </w:p>
    <w:p>
      <w:pPr>
        <w:pStyle w:val="DocBody"/>
        <w:ind w:left="765"/>
      </w:pP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Household Finance</w:t>
        </w:r>
      </w:hyperlink>
    </w:p>
    <w:p>
      <w:pPr>
        <w:pStyle w:val="DocBody"/>
        <w:ind w:left="765"/>
      </w:pP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Media Plurality</w:t>
        </w:r>
      </w:hyperlink>
    </w:p>
    <w:p>
      <w:pPr>
        <w:pStyle w:val="DocBody"/>
        <w:ind w:left="765"/>
      </w:pPr>
      <w:hyperlink r:id="rId30">
        <w:r>
          <w:rPr>
            <w:rFonts w:ascii="Times New Roman" w:hAnsi="Times New Roman" w:eastAsia="宋体"/>
            <w:color w:val="0563C1"/>
            <w:sz w:val="24"/>
            <w:u w:val="single"/>
          </w:rPr>
          <w:t>Political Economy of Migration</w:t>
        </w:r>
      </w:hyperlink>
    </w:p>
    <w:p>
      <w:pPr>
        <w:pStyle w:val="DocBody"/>
        <w:ind w:left="765"/>
      </w:pPr>
      <w:hyperlink r:id="rId31">
        <w:r>
          <w:rPr>
            <w:rFonts w:ascii="Times New Roman" w:hAnsi="Times New Roman" w:eastAsia="宋体"/>
            <w:color w:val="0563C1"/>
            <w:sz w:val="24"/>
            <w:u w:val="single"/>
          </w:rPr>
          <w:t>Preventing Conflict: Policies for Peace</w:t>
        </w:r>
      </w:hyperlink>
    </w:p>
    <w:p>
      <w:pPr>
        <w:pStyle w:val="DocBody"/>
        <w:ind w:left="765"/>
      </w:pPr>
      <w:hyperlink r:id="rId32">
        <w:r>
          <w:rPr>
            <w:rFonts w:ascii="Times New Roman" w:hAnsi="Times New Roman" w:eastAsia="宋体"/>
            <w:color w:val="0563C1"/>
            <w:sz w:val="24"/>
            <w:u w:val="single"/>
          </w:rPr>
          <w:t>Asset Pricing</w:t>
        </w:r>
      </w:hyperlink>
    </w:p>
    <w:p>
      <w:pPr>
        <w:pStyle w:val="DocBody"/>
        <w:ind w:left="765"/>
      </w:pPr>
      <w:hyperlink r:id="rId33">
        <w:r>
          <w:rPr>
            <w:rFonts w:ascii="Times New Roman" w:hAnsi="Times New Roman" w:eastAsia="宋体"/>
            <w:color w:val="0563C1"/>
            <w:sz w:val="24"/>
            <w:u w:val="single"/>
          </w:rPr>
          <w:t>Banking and Corporate Finance</w:t>
        </w:r>
      </w:hyperlink>
    </w:p>
    <w:p>
      <w:pPr>
        <w:pStyle w:val="DocBody"/>
        <w:ind w:left="765"/>
      </w:pPr>
      <w:hyperlink r:id="rId34">
        <w:r>
          <w:rPr>
            <w:rFonts w:ascii="Times New Roman" w:hAnsi="Times New Roman" w:eastAsia="宋体"/>
            <w:color w:val="0563C1"/>
            <w:sz w:val="24"/>
            <w:u w:val="single"/>
          </w:rPr>
          <w:t>Climate Change and the Environment</w:t>
        </w:r>
      </w:hyperlink>
    </w:p>
    <w:p>
      <w:pPr>
        <w:pStyle w:val="DocBody"/>
        <w:ind w:left="765"/>
      </w:pPr>
      <w:hyperlink r:id="rId35">
        <w:r>
          <w:rPr>
            <w:rFonts w:ascii="Times New Roman" w:hAnsi="Times New Roman" w:eastAsia="宋体"/>
            <w:color w:val="0563C1"/>
            <w:sz w:val="24"/>
            <w:u w:val="single"/>
          </w:rPr>
          <w:t>Development Economics</w:t>
        </w:r>
      </w:hyperlink>
    </w:p>
    <w:p>
      <w:pPr>
        <w:pStyle w:val="DocBody"/>
        <w:ind w:left="765"/>
      </w:pPr>
      <w:hyperlink r:id="rId36">
        <w:r>
          <w:rPr>
            <w:rFonts w:ascii="Times New Roman" w:hAnsi="Times New Roman" w:eastAsia="宋体"/>
            <w:color w:val="0563C1"/>
            <w:sz w:val="24"/>
            <w:u w:val="single"/>
          </w:rPr>
          <w:t>Economic History</w:t>
        </w:r>
      </w:hyperlink>
    </w:p>
    <w:p>
      <w:pPr>
        <w:pStyle w:val="DocBody"/>
        <w:ind w:left="765"/>
      </w:pPr>
      <w:hyperlink r:id="rId37">
        <w:r>
          <w:rPr>
            <w:rFonts w:ascii="Times New Roman" w:hAnsi="Times New Roman" w:eastAsia="宋体"/>
            <w:color w:val="0563C1"/>
            <w:sz w:val="24"/>
            <w:u w:val="single"/>
          </w:rPr>
          <w:t>Industrial Organization</w:t>
        </w:r>
      </w:hyperlink>
    </w:p>
    <w:p>
      <w:pPr>
        <w:pStyle w:val="DocBody"/>
        <w:ind w:left="765"/>
      </w:pPr>
      <w:hyperlink r:id="rId38">
        <w:r>
          <w:rPr>
            <w:rFonts w:ascii="Times New Roman" w:hAnsi="Times New Roman" w:eastAsia="宋体"/>
            <w:color w:val="0563C1"/>
            <w:sz w:val="24"/>
            <w:u w:val="single"/>
          </w:rPr>
          <w:t>International Macroeconomics and Finance</w:t>
        </w:r>
      </w:hyperlink>
    </w:p>
    <w:p>
      <w:pPr>
        <w:pStyle w:val="DocBody"/>
        <w:ind w:left="765"/>
      </w:pPr>
      <w:hyperlink r:id="rId39">
        <w:r>
          <w:rPr>
            <w:rFonts w:ascii="Times New Roman" w:hAnsi="Times New Roman" w:eastAsia="宋体"/>
            <w:color w:val="0563C1"/>
            <w:sz w:val="24"/>
            <w:u w:val="single"/>
          </w:rPr>
          <w:t>International Trade and Regional Economics</w:t>
        </w:r>
      </w:hyperlink>
    </w:p>
    <w:p>
      <w:pPr>
        <w:pStyle w:val="DocBody"/>
        <w:ind w:left="765"/>
      </w:pPr>
      <w:hyperlink r:id="rId40">
        <w:r>
          <w:rPr>
            <w:rFonts w:ascii="Times New Roman" w:hAnsi="Times New Roman" w:eastAsia="宋体"/>
            <w:color w:val="0563C1"/>
            <w:sz w:val="24"/>
            <w:u w:val="single"/>
          </w:rPr>
          <w:t>Labour Economics</w:t>
        </w:r>
      </w:hyperlink>
    </w:p>
    <w:p>
      <w:pPr>
        <w:pStyle w:val="DocBody"/>
        <w:ind w:left="765"/>
      </w:pPr>
      <w:hyperlink r:id="rId41">
        <w:r>
          <w:rPr>
            <w:rFonts w:ascii="Times New Roman" w:hAnsi="Times New Roman" w:eastAsia="宋体"/>
            <w:color w:val="0563C1"/>
            <w:sz w:val="24"/>
            <w:u w:val="single"/>
          </w:rPr>
          <w:t>Macroeconomics and Growth</w:t>
        </w:r>
      </w:hyperlink>
    </w:p>
    <w:p>
      <w:pPr>
        <w:pStyle w:val="DocBody"/>
        <w:ind w:left="765"/>
      </w:pPr>
      <w:hyperlink r:id="rId42">
        <w:r>
          <w:rPr>
            <w:rFonts w:ascii="Times New Roman" w:hAnsi="Times New Roman" w:eastAsia="宋体"/>
            <w:color w:val="0563C1"/>
            <w:sz w:val="24"/>
            <w:u w:val="single"/>
          </w:rPr>
          <w:t>Monetary Economics and Fluctuations</w:t>
        </w:r>
      </w:hyperlink>
    </w:p>
    <w:p>
      <w:pPr>
        <w:pStyle w:val="DocBody"/>
        <w:ind w:left="765"/>
      </w:pPr>
      <w:hyperlink r:id="rId43">
        <w:r>
          <w:rPr>
            <w:rFonts w:ascii="Times New Roman" w:hAnsi="Times New Roman" w:eastAsia="宋体"/>
            <w:color w:val="0563C1"/>
            <w:sz w:val="24"/>
            <w:u w:val="single"/>
          </w:rPr>
          <w:t>Organizational Economics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Political Economy</w:t>
        </w:r>
      </w:hyperlink>
    </w:p>
    <w:p>
      <w:pPr>
        <w:pStyle w:val="DocBody"/>
        <w:ind w:left="765"/>
      </w:pPr>
      <w:hyperlink r:id="rId44">
        <w:r>
          <w:rPr>
            <w:rFonts w:ascii="Times New Roman" w:hAnsi="Times New Roman" w:eastAsia="宋体"/>
            <w:color w:val="0563C1"/>
            <w:sz w:val="24"/>
            <w:u w:val="single"/>
          </w:rPr>
          <w:t>Public Economics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35200" cy="3001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7a92c3ad8d88ee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35200" cy="3001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图3  Ghazala Azmat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Conference</w:t>
      </w:r>
    </w:p>
    <w:p>
      <w:pPr>
        <w:pStyle w:val="DocH1"/>
      </w:pPr>
      <w:hyperlink r:id="rId46">
        <w:r>
          <w:rPr>
            <w:rFonts w:ascii="Times New Roman" w:hAnsi="Times New Roman" w:eastAsia="宋体"/>
            <w:color w:val="0563C1"/>
            <w:sz w:val="24"/>
            <w:u w:val="single"/>
          </w:rPr>
          <w:t>Ghazala Azmat Award 2026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3 Dec 2026 - 8 Dec 2026 in Paris, France</w:t>
      </w:r>
    </w:p>
    <w:p>
      <w:pPr>
        <w:pStyle w:val="DocBody"/>
        <w:ind w:left="765"/>
      </w:pPr>
      <w:hyperlink r:id="rId47">
        <w:r>
          <w:rPr>
            <w:rFonts w:ascii="Times New Roman" w:hAnsi="Times New Roman" w:eastAsia="宋体"/>
            <w:color w:val="0563C1"/>
            <w:sz w:val="24"/>
            <w:u w:val="single"/>
          </w:rPr>
          <w:t>Inequality and the Role of Firms</w:t>
        </w:r>
      </w:hyperlink>
    </w:p>
    <w:p>
      <w:pPr>
        <w:pStyle w:val="DocBody"/>
        <w:ind w:left="765"/>
      </w:pPr>
      <w:hyperlink r:id="rId48">
        <w:r>
          <w:rPr>
            <w:rFonts w:ascii="Times New Roman" w:hAnsi="Times New Roman" w:eastAsia="宋体"/>
            <w:color w:val="0563C1"/>
            <w:sz w:val="24"/>
            <w:u w:val="single"/>
          </w:rPr>
          <w:t>Organizational Economics</w:t>
        </w:r>
      </w:hyperlink>
    </w:p>
    <w:p>
      <w:pPr>
        <w:pStyle w:val="DocBody"/>
        <w:ind w:left="765"/>
      </w:pPr>
      <w:hyperlink r:id="rId49">
        <w:r>
          <w:rPr>
            <w:rFonts w:ascii="Times New Roman" w:hAnsi="Times New Roman" w:eastAsia="宋体"/>
            <w:color w:val="0563C1"/>
            <w:sz w:val="24"/>
            <w:u w:val="single"/>
          </w:rPr>
          <w:t>Labour Economics</w:t>
        </w:r>
      </w:hyperlink>
    </w:p>
    <w:p>
      <w:pPr>
        <w:pStyle w:val="DocBody"/>
        <w:ind w:left="765"/>
      </w:pPr>
      <w:hyperlink r:id="rId50">
        <w:r>
          <w:rPr>
            <w:rFonts w:ascii="Times New Roman" w:hAnsi="Times New Roman" w:eastAsia="宋体"/>
            <w:color w:val="0563C1"/>
            <w:sz w:val="24"/>
            <w:u w:val="single"/>
          </w:rPr>
          <w:t>Public Economics</w:t>
        </w:r>
      </w:hyperlink>
    </w:p>
    <w:p>
      <w:pPr>
        <w:pStyle w:val="DocBody"/>
        <w:ind w:left="765"/>
      </w:pPr>
      <w:hyperlink r:id="rId51">
        <w:r>
          <w:rPr>
            <w:rFonts w:ascii="Times New Roman" w:hAnsi="Times New Roman" w:eastAsia="宋体"/>
            <w:color w:val="0563C1"/>
            <w:sz w:val="24"/>
            <w:u w:val="single"/>
          </w:rPr>
          <w:t>Political Economy</w:t>
        </w:r>
      </w:hyperlink>
    </w:p>
    <w:p>
      <w:pPr>
        <w:pStyle w:val="DocBody"/>
      </w:pPr>
      <w:hyperlink r:id="rId52">
        <w:r>
          <w:rPr>
            <w:rFonts w:ascii="Times New Roman" w:hAnsi="Times New Roman" w:eastAsia="宋体"/>
            <w:color w:val="0563C1"/>
            <w:sz w:val="24"/>
            <w:u w:val="single"/>
          </w:rPr>
          <w:t>Closes 31 Aug 2026 at 00:00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Español Ελληνικά 日本語 Português Türkçe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B005-004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epr.org/publications/dp21888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cepr.org/events/event-series/political-economy-programme-meeting" TargetMode="External"/><Relationship Id="rId14" Type="http://schemas.openxmlformats.org/officeDocument/2006/relationships/hyperlink" Target="https://cepr.org/events/event-series/political-economy-programme-meeting/cepr-political-economy-symposium-2027" TargetMode="External"/><Relationship Id="rId15" Type="http://schemas.openxmlformats.org/officeDocument/2006/relationships/hyperlink" Target="https://cepr.org/research/programme-areas/political-economy" TargetMode="External"/><Relationship Id="rId16" Type="http://schemas.openxmlformats.org/officeDocument/2006/relationships/hyperlink" Target="https://cepr.org/events/event-series/political-economy-programme-meeting/cepr-political-economy-symposium-2027#cfp" TargetMode="External"/><Relationship Id="rId17" Type="http://schemas.openxmlformats.org/officeDocument/2006/relationships/image" Target="media/image2.jpg"/><Relationship Id="rId18" Type="http://schemas.openxmlformats.org/officeDocument/2006/relationships/hyperlink" Target="https://cepr.org/events/event-series/cepr-paris-symposium" TargetMode="External"/><Relationship Id="rId19" Type="http://schemas.openxmlformats.org/officeDocument/2006/relationships/hyperlink" Target="https://cepr.org/events/event-series/cepr-paris-symposium/cepr-paris-symposium-2026" TargetMode="External"/><Relationship Id="rId20" Type="http://schemas.openxmlformats.org/officeDocument/2006/relationships/hyperlink" Target="https://cepr.org/research/research-policy-networks/ageing-and-longevity" TargetMode="External"/><Relationship Id="rId21" Type="http://schemas.openxmlformats.org/officeDocument/2006/relationships/hyperlink" Target="https://cepr.org/research/research-policy-networks/artificial-intelligence" TargetMode="External"/><Relationship Id="rId22" Type="http://schemas.openxmlformats.org/officeDocument/2006/relationships/hyperlink" Target="https://cepr.org/research/research-policy-networks/competition-policy" TargetMode="External"/><Relationship Id="rId23" Type="http://schemas.openxmlformats.org/officeDocument/2006/relationships/hyperlink" Target="https://cepr.org/research/research-policy-networks/european-economic-policy" TargetMode="External"/><Relationship Id="rId24" Type="http://schemas.openxmlformats.org/officeDocument/2006/relationships/hyperlink" Target="https://cepr.org/research/research-policy-networks/european-financial-architecture" TargetMode="External"/><Relationship Id="rId25" Type="http://schemas.openxmlformats.org/officeDocument/2006/relationships/hyperlink" Target="https://cepr.org/research/research-policy-networks/fintech-and-digital-currencies" TargetMode="External"/><Relationship Id="rId26" Type="http://schemas.openxmlformats.org/officeDocument/2006/relationships/hyperlink" Target="https://cepr.org/research/research-policy-networks/geoeconomics-and-security" TargetMode="External"/><Relationship Id="rId27" Type="http://schemas.openxmlformats.org/officeDocument/2006/relationships/hyperlink" Target="https://cepr.org/research/research-policy-networks/growth-innovation-and-social-model-europe" TargetMode="External"/><Relationship Id="rId28" Type="http://schemas.openxmlformats.org/officeDocument/2006/relationships/hyperlink" Target="https://cepr.org/research/research-policy-networks/household-finance" TargetMode="External"/><Relationship Id="rId29" Type="http://schemas.openxmlformats.org/officeDocument/2006/relationships/hyperlink" Target="https://cepr.org/research/research-policy-networks/media-plurality" TargetMode="External"/><Relationship Id="rId30" Type="http://schemas.openxmlformats.org/officeDocument/2006/relationships/hyperlink" Target="https://cepr.org/research/research-policy-networks/political-economy-migration" TargetMode="External"/><Relationship Id="rId31" Type="http://schemas.openxmlformats.org/officeDocument/2006/relationships/hyperlink" Target="https://cepr.org/research/research-policy-networks/preventing-conflict-policies-peace" TargetMode="External"/><Relationship Id="rId32" Type="http://schemas.openxmlformats.org/officeDocument/2006/relationships/hyperlink" Target="https://cepr.org/research/programme-areas/asset-pricing" TargetMode="External"/><Relationship Id="rId33" Type="http://schemas.openxmlformats.org/officeDocument/2006/relationships/hyperlink" Target="https://cepr.org/research/programme-areas/banking-and-corporate-finance" TargetMode="External"/><Relationship Id="rId34" Type="http://schemas.openxmlformats.org/officeDocument/2006/relationships/hyperlink" Target="https://cepr.org/research/programme-areas/climate-change-and-environment" TargetMode="External"/><Relationship Id="rId35" Type="http://schemas.openxmlformats.org/officeDocument/2006/relationships/hyperlink" Target="https://cepr.org/research/programme-areas/development-economics" TargetMode="External"/><Relationship Id="rId36" Type="http://schemas.openxmlformats.org/officeDocument/2006/relationships/hyperlink" Target="https://cepr.org/research/programme-areas/economic-history" TargetMode="External"/><Relationship Id="rId37" Type="http://schemas.openxmlformats.org/officeDocument/2006/relationships/hyperlink" Target="https://cepr.org/research/programme-areas/industrial-organization" TargetMode="External"/><Relationship Id="rId38" Type="http://schemas.openxmlformats.org/officeDocument/2006/relationships/hyperlink" Target="https://cepr.org/research/programme-areas/international-macroeconomics-and-finance" TargetMode="External"/><Relationship Id="rId39" Type="http://schemas.openxmlformats.org/officeDocument/2006/relationships/hyperlink" Target="https://cepr.org/research/programme-areas/international-trade-and-regional-economics" TargetMode="External"/><Relationship Id="rId40" Type="http://schemas.openxmlformats.org/officeDocument/2006/relationships/hyperlink" Target="https://cepr.org/research/programme-areas/labour-economics" TargetMode="External"/><Relationship Id="rId41" Type="http://schemas.openxmlformats.org/officeDocument/2006/relationships/hyperlink" Target="https://cepr.org/research/programme-areas/macroeconomics-and-growth" TargetMode="External"/><Relationship Id="rId42" Type="http://schemas.openxmlformats.org/officeDocument/2006/relationships/hyperlink" Target="https://cepr.org/research/programme-areas/monetary-economics-and-fluctuations" TargetMode="External"/><Relationship Id="rId43" Type="http://schemas.openxmlformats.org/officeDocument/2006/relationships/hyperlink" Target="https://cepr.org/research/programme-areas/organizational-economics" TargetMode="External"/><Relationship Id="rId44" Type="http://schemas.openxmlformats.org/officeDocument/2006/relationships/hyperlink" Target="https://cepr.org/research/programme-areas/public-economics" TargetMode="External"/><Relationship Id="rId45" Type="http://schemas.openxmlformats.org/officeDocument/2006/relationships/image" Target="media/image3.jpg"/><Relationship Id="rId46" Type="http://schemas.openxmlformats.org/officeDocument/2006/relationships/hyperlink" Target="https://cepr.org/index%2ephp/events/ghazala-azmat-award-2026" TargetMode="External"/><Relationship Id="rId47" Type="http://schemas.openxmlformats.org/officeDocument/2006/relationships/hyperlink" Target="https://cepr.org/index%2ephp/research/research-policy-networks/inequality-and-role-firms" TargetMode="External"/><Relationship Id="rId48" Type="http://schemas.openxmlformats.org/officeDocument/2006/relationships/hyperlink" Target="https://cepr.org/index%2ephp/research/programme-areas/organizational-economics" TargetMode="External"/><Relationship Id="rId49" Type="http://schemas.openxmlformats.org/officeDocument/2006/relationships/hyperlink" Target="https://cepr.org/index%2ephp/research/programme-areas/labour-economics" TargetMode="External"/><Relationship Id="rId50" Type="http://schemas.openxmlformats.org/officeDocument/2006/relationships/hyperlink" Target="https://cepr.org/index%2ephp/research/programme-areas/public-economics" TargetMode="External"/><Relationship Id="rId51" Type="http://schemas.openxmlformats.org/officeDocument/2006/relationships/hyperlink" Target="https://cepr.org/index%2ephp/research/programme-areas/political-economy" TargetMode="External"/><Relationship Id="rId52" Type="http://schemas.openxmlformats.org/officeDocument/2006/relationships/hyperlink" Target="https://cepr.org/index%2ephp/events/ghazala-azmat-award-2026#cf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DP21888 When the Middle Class Undermines Progress: The Political Economy of AI Regulation</dc:title>
  <dc:subject/>
  <dc:creator>briefing-article-kb</dc:creator>
  <cp:keywords/>
  <dc:description>https://cepr.org/publications/dp21888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