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B005-008</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QuantumFlagship（EU Quantum Flagship）</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Quantum Flagship Launches €120M Pilot Lines for Quantum Sensors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https://qt.eu/news/quantum-flagship-launches-e120m-pilot-lines-for-quantum-sensors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B005（2026-08-30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B005-008-Eu quantum flagship -quantum-flagship-launches-120m-pilot-lines-for-q-202608.md</w:t>
            </w:r>
          </w:p>
        </w:tc>
      </w:tr>
    </w:tbl>
    <w:p/>
    <w:p>
      <w:pPr>
        <w:pStyle w:val="DocTitle"/>
      </w:pPr>
      <w:r>
        <w:t>Quantum Flagship Launches €120M Pilot Lines for Quantum Sensors</w:t>
      </w:r>
    </w:p>
    <w:p>
      <w:pPr>
        <w:pStyle w:val="DocBody"/>
      </w:pPr>
      <w:r>
        <w:rPr>
          <w:rFonts w:ascii="Times New Roman" w:hAnsi="Times New Roman" w:eastAsia="宋体"/>
          <w:i/>
          <w:sz w:val="24"/>
        </w:rPr>
        <w:t>Wed, 08/26/2026 - 09:00</w:t>
      </w:r>
    </w:p>
    <w:p>
      <w:pPr>
        <w:pStyle w:val="DocBody"/>
      </w:pPr>
      <w:r>
        <w:rPr>
          <w:rFonts w:ascii="Times New Roman" w:hAnsi="Times New Roman" w:eastAsia="宋体"/>
          <w:sz w:val="24"/>
        </w:rPr>
        <w:t>In a landmark move for Europe's quantum technology ecosystem, the Quantum Flagship has announced the launch of €120 million in pilot lines dedicated to quantum sensors, marking a decisive step from laboratory research toward industrial-scale manufacturing.</w:t>
      </w:r>
    </w:p>
    <w:p>
      <w:pPr>
        <w:pStyle w:val="DocBody"/>
      </w:pPr>
      <w:r>
        <w:rPr>
          <w:rFonts w:ascii="Times New Roman" w:hAnsi="Times New Roman" w:eastAsia="宋体"/>
          <w:sz w:val="24"/>
        </w:rPr>
        <w:t>The pilot lines, funded under Horizon Europe, will provide companies and research organisations across Europe with access to state-of-the-art fabrication and testing infrastructure for quantum sensing devices. The initiative aims to bridge the so-called "valley of death" between academic prototypes and commercial products, a challenge that has long limited the translation of quantum research into market-ready applications.</w:t>
      </w:r>
    </w:p>
    <w:p>
      <w:pPr>
        <w:pStyle w:val="DocBody"/>
      </w:pPr>
      <w:r>
        <w:rPr>
          <w:rFonts w:ascii="Times New Roman" w:hAnsi="Times New Roman" w:eastAsia="宋体"/>
          <w:sz w:val="24"/>
        </w:rPr>
        <w:t>Quantum sensors exploit quantum mechanical effects to achieve measurement precision far beyond classical devices, with applications spanning navigation, medical imaging, geophysical exploration, and industrial quality control. The new pilot lines will focus on scaling up production of photonic and atomic sensor components, standardising packaging and testing protocols, and demonstrating device performance in real-world settings.</w:t>
      </w:r>
    </w:p>
    <w:p>
      <w:pPr>
        <w:pStyle w:val="DocBody"/>
      </w:pPr>
      <w:r>
        <w:rPr>
          <w:rFonts w:ascii="Times New Roman" w:hAnsi="Times New Roman" w:eastAsia="宋体"/>
          <w:sz w:val="24"/>
        </w:rPr>
        <w:t>The programme is expected to involve multiple consortiums drawn from across the European Union, combining leading research institutes, quantum technology SMEs, and established industrial players. Calls for proposals will be published in the coming months, with the first projects anticipated to begin next year.</w:t>
      </w:r>
    </w:p>
    <w:p>
      <w:pPr>
        <w:pStyle w:val="DocBody"/>
      </w:pPr>
      <w:r>
        <w:rPr>
          <w:rFonts w:ascii="Times New Roman" w:hAnsi="Times New Roman" w:eastAsia="宋体"/>
          <w:sz w:val="24"/>
        </w:rPr>
        <w:t>Officials highlighted that the investment reinforces Europe's position in the global quantum race, complementing existing Flagship initiatives in quantum computing and quantum communications. By supporting the industrialisation of quantum sensing, the pilot lines are expected to strengthen European supply chains, create high-skilled jobs, and accelerate the adoption of quantum technologies in strategic sectors including healthcare, aerospace, and critical infrastructure.</w:t>
      </w:r>
    </w:p>
    <w:p>
      <w:pPr>
        <w:pStyle w:val="DocBody"/>
      </w:pPr>
      <w:r>
        <w:rPr>
          <w:rFonts w:ascii="Times New Roman" w:hAnsi="Times New Roman" w:eastAsia="宋体"/>
          <w:sz w:val="24"/>
        </w:rPr>
        <w:t>Further details on the pilot lines, including eligibility criteria and funding conditions, will be made available on the Quantum Flagship website.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B005-008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qt.eu/news/quantum-flagship-launches-e120m-pilot-lines-for-quantum-sens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Flagship Launches €120M Pilot Lines for Quantum Sensors</dc:title>
  <dc:subject/>
  <dc:creator>briefing-article-kb</dc:creator>
  <cp:keywords/>
  <dc:description>https://qt.eu/news/quantum-flagship-launches-e120m-pilot-lines-for-quantum-sensors</dc:description>
  <cp:lastModifiedBy/>
  <cp:revision>1</cp:revision>
  <dcterms:created xsi:type="dcterms:W3CDTF">2013-12-23T23:15:00Z</dcterms:created>
  <dcterms:modified xsi:type="dcterms:W3CDTF">2013-12-23T23:15:00Z</dcterms:modified>
  <cp:category/>
</cp:coreProperties>
</file>