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B006-011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Lawfare（Lawfare - Cybersecurity &amp;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2026-08-26</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Federal Trade Commission After Trump v. Slaughter</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https://www.lawfaremedia.org/article/the-federal-trade-commission-after-trump-v.-slaughter</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B006-011-Lawfare - cybersecurity &amp; tech -the-federal-trade-commission-after-trump-v-slaug-202608.md</w:t>
            </w:r>
          </w:p>
        </w:tc>
      </w:tr>
    </w:tbl>
    <w:p/>
    <w:p>
      <w:pPr>
        <w:pStyle w:val="DocTitle"/>
      </w:pPr>
      <w:r>
        <w:t>The Federal Trade Commission After Trump v. Slaughter</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https://www.supremecourt.gov/opinions/25pdf/25-332_qn12.pdf</w:t>
      </w:r>
    </w:p>
    <w:p>
      <w:pPr>
        <w:pStyle w:val="DocBody"/>
        <w:ind w:left="510"/>
      </w:pPr>
      <w:r>
        <w:rPr>
          <w:rFonts w:ascii="Times New Roman" w:hAnsi="Times New Roman" w:eastAsia="宋体"/>
          <w:sz w:val="24"/>
        </w:rPr>
        <w:t>抓取自介绍页: https://www.lawfaremedia.org/article/the-federal-trade-commission-after-trump-v.-slaughter</w:t>
      </w:r>
    </w:p>
    <w:p>
      <w:pPr>
        <w:pStyle w:val="DocBody"/>
      </w:pPr>
      <w:r>
        <w:rPr>
          <w:rFonts w:ascii="Times New Roman" w:hAnsi="Times New Roman" w:eastAsia="宋体"/>
          <w:sz w:val="24"/>
        </w:rPr>
        <w:t>(Slip Opinion)</w:t>
      </w:r>
    </w:p>
    <w:p>
      <w:pPr>
        <w:pStyle w:val="DocBody"/>
      </w:pPr>
      <w:r>
        <w:rPr>
          <w:rFonts w:ascii="Times New Roman" w:hAnsi="Times New Roman" w:eastAsia="宋体"/>
          <w:sz w:val="24"/>
        </w:rPr>
        <w:t>OCTOBER TERM, 2025 Syllabus NOTE: Where it is feasible, a syllabus (headnote) will be released, as is being done in connection with this case, at the time the opinion is issued.</w:t>
      </w:r>
    </w:p>
    <w:p>
      <w:pPr>
        <w:pStyle w:val="DocBody"/>
      </w:pPr>
      <w:r>
        <w:rPr>
          <w:rFonts w:ascii="Times New Roman" w:hAnsi="Times New Roman" w:eastAsia="宋体"/>
          <w:sz w:val="24"/>
        </w:rPr>
        <w:t>The syllabus constitutes no part of the opinion of the Court but has been prepared by the Reporter of Decisions for the convenience of the reader.</w:t>
      </w:r>
    </w:p>
    <w:p>
      <w:pPr>
        <w:pStyle w:val="DocBody"/>
      </w:pPr>
      <w:r>
        <w:rPr>
          <w:rFonts w:ascii="Times New Roman" w:hAnsi="Times New Roman" w:eastAsia="宋体"/>
          <w:sz w:val="24"/>
        </w:rPr>
        <w:t>See United States v. Detroit Timber &amp; Lumber Co., 200 U. S. 321, 337.</w:t>
      </w:r>
    </w:p>
    <w:p>
      <w:pPr>
        <w:pStyle w:val="DocBody"/>
      </w:pPr>
      <w:r>
        <w:rPr>
          <w:rFonts w:ascii="Times New Roman" w:hAnsi="Times New Roman" w:eastAsia="宋体"/>
          <w:sz w:val="24"/>
        </w:rPr>
        <w:t>SUPREME COURT OF THE UNITED STATES Syllabus TRUMP, PRESIDENT OF THE UNITED STATES, ET AL.</w:t>
      </w:r>
    </w:p>
    <w:p>
      <w:pPr>
        <w:pStyle w:val="DocBody"/>
      </w:pPr>
      <w:r>
        <w:rPr>
          <w:rFonts w:ascii="Times New Roman" w:hAnsi="Times New Roman" w:eastAsia="宋体"/>
          <w:sz w:val="24"/>
        </w:rPr>
        <w:t>v. SLAUGHTER CERTIORARI BEFORE JUDGMENT TO THE UNITED STATES COURT OF APPEALS FOR THE DISTRICT OF COLUMBIA CIRCUIT No. 25–332. Argued December 8, 2025—Decided June 29, 2026 The Federal Trade Commission (FTC) is a regulatory agency that has accumulated vast rulemaking, enforcement, and adjudicatory powers.</w:t>
      </w:r>
    </w:p>
    <w:p>
      <w:pPr>
        <w:pStyle w:val="DocBody"/>
      </w:pPr>
      <w:r>
        <w:rPr>
          <w:rFonts w:ascii="Times New Roman" w:hAnsi="Times New Roman" w:eastAsia="宋体"/>
          <w:sz w:val="24"/>
        </w:rPr>
        <w:t>The FTC’s powers belong not to the President or his appointees alone, but instead to five Commissioners, each of whom serves for seven years and may be removed by the President only “for inefficiency, neglect of duty, or malfeasance in office.”  15 U. S. C. §41.</w:t>
      </w:r>
    </w:p>
    <w:p>
      <w:pPr>
        <w:pStyle w:val="DocBody"/>
      </w:pPr>
      <w:r>
        <w:rPr>
          <w:rFonts w:ascii="Times New Roman" w:hAnsi="Times New Roman" w:eastAsia="宋体"/>
          <w:sz w:val="24"/>
        </w:rPr>
        <w:t>Soon after President Trump began his second term in January 2025, he fired the FTC’s two Democratic appointees, Rebecca Slaughter and Al­ varo Bedoya. He did not identify a cause under the statute.  He instead told them their “continued service on the FTC [was] inconsistent with [his] Administration's priorities” and that they were removed “pursu­ ant to [his] authority under Article II of the Constitution.”  App. 28.</w:t>
      </w:r>
    </w:p>
    <w:p>
      <w:pPr>
        <w:pStyle w:val="DocBody"/>
      </w:pPr>
      <w:r>
        <w:rPr>
          <w:rFonts w:ascii="Times New Roman" w:hAnsi="Times New Roman" w:eastAsia="宋体"/>
          <w:sz w:val="24"/>
        </w:rPr>
        <w:t>Slaughter filed suit against the President and other executive officials, seeking relief to restore her to office.  She argued that her removal was ultra vires, violated the Administrative Procedure Act, and violated the Constitution.  The District Court granted Slaughter’s motion for summary judgment.  It acknowledged that Myers v. United States, 272 U. S. 52, generally permits the President to remove executive officers at will, but explained that Humphrey’s Executor v. United States, 295 U. S. 602, carved out an exception for the FTC.  The court declared the President’s “purported removal” ultra vires and issued a permanent injunction barring interference “with Ms. Slaughter’s right to perform her lawful duties.”  App. 90–91. A divided Court of Appeals denied the Government’s motion for a stay pending appeal, and this Court stayed the District Court’s order and granted certiorari before judgment.</w:t>
      </w:r>
    </w:p>
    <w:p>
      <w:pPr>
        <w:pStyle w:val="DocBody"/>
      </w:pPr>
      <w:r>
        <w:rPr>
          <w:rFonts w:ascii="Times New Roman" w:hAnsi="Times New Roman" w:eastAsia="宋体"/>
          <w:sz w:val="24"/>
        </w:rPr>
        <w:t>Held: The FTC’s for-cause removal provision is contrary to the</w:t>
      </w:r>
    </w:p>
    <w:p>
      <w:pPr>
        <w:pStyle w:val="DocBody"/>
      </w:pPr>
      <w:r>
        <w:rPr>
          <w:rFonts w:ascii="Times New Roman" w:hAnsi="Times New Roman" w:eastAsia="宋体"/>
          <w:sz w:val="24"/>
        </w:rPr>
        <w:t>TRUMP v. SLAUGHTER Syllabus separation of powers enshrined in the Constitution.  Pp. 2–36.</w:t>
      </w:r>
    </w:p>
    <w:p>
      <w:pPr>
        <w:pStyle w:val="DocBody"/>
      </w:pPr>
      <w:r>
        <w:rPr>
          <w:rFonts w:ascii="Times New Roman" w:hAnsi="Times New Roman" w:eastAsia="宋体"/>
          <w:sz w:val="24"/>
        </w:rPr>
        <w:t>(a) The Constitution vests “[t]he executive Power” in a “President of the United States of America” and instructs that he “take Care that the Laws be faithfully executed.”  Art. II, §§1, 3.  To vest the executive power in one person was to establish a hierarchy—a “Chief Magis­ trate” with whom the buck stops, and below him various “assistants or deputies” who “derive their offices from his appointment” and remain “subject to his superintendence.”  The Federalist No. 72, p. 436 (A.</w:t>
      </w:r>
    </w:p>
    <w:p>
      <w:pPr>
        <w:pStyle w:val="DocBody"/>
      </w:pPr>
      <w:r>
        <w:rPr>
          <w:rFonts w:ascii="Times New Roman" w:hAnsi="Times New Roman" w:eastAsia="宋体"/>
          <w:sz w:val="24"/>
        </w:rPr>
        <w:t>Hamilton).  To remain accountable to the President, those officers must be removable by the President.  Pp. 4–13.</w:t>
      </w:r>
    </w:p>
    <w:p>
      <w:pPr>
        <w:pStyle w:val="DocBody"/>
      </w:pPr>
      <w:r>
        <w:rPr>
          <w:rFonts w:ascii="Times New Roman" w:hAnsi="Times New Roman" w:eastAsia="宋体"/>
          <w:sz w:val="24"/>
        </w:rPr>
        <w:t>(1) The idea that one President would be in charge was by no means a foregone conclusion in 1787.  The flurry of state constitutions that followed the Declaration of Independence “made of the guberna­ torial magistrate a new kind of creature, a very pale reflection indeed of his regal ancestor.”  G. Wood, The Creation of the American Repub­ lic, 1776–1787, p. 136.  Almost every State had but a nominal Gover­ nor, who could act only with his council’s consent.  These early chief executives were “little more than chairmen of their executive boards.”</w:t>
      </w:r>
    </w:p>
    <w:p>
      <w:pPr>
        <w:pStyle w:val="DocBody"/>
      </w:pPr>
      <w:r>
        <w:rPr>
          <w:rFonts w:ascii="Times New Roman" w:hAnsi="Times New Roman" w:eastAsia="宋体"/>
          <w:sz w:val="24"/>
        </w:rPr>
        <w:t>Id., at 138.</w:t>
      </w:r>
    </w:p>
    <w:p>
      <w:pPr>
        <w:pStyle w:val="DocBody"/>
      </w:pPr>
      <w:r>
        <w:rPr>
          <w:rFonts w:ascii="Times New Roman" w:hAnsi="Times New Roman" w:eastAsia="宋体"/>
          <w:sz w:val="24"/>
        </w:rPr>
        <w:t>The Framers chose to depart from this model, for they had seen its flaws up close.  For “fear” of “monarchical . . . power,” William Living­ ston lamented, the States “improvidently” had devised executives “too weak &amp; inefficatious to operate with proper energy &amp; vigour.”  5 Papers of William Livingston 56–57 (C. Prince, M. Lustig, &amp; D. Vorhees eds.).</w:t>
      </w:r>
    </w:p>
    <w:p>
      <w:pPr>
        <w:pStyle w:val="DocBody"/>
      </w:pPr>
      <w:r>
        <w:rPr>
          <w:rFonts w:ascii="Times New Roman" w:hAnsi="Times New Roman" w:eastAsia="宋体"/>
          <w:sz w:val="24"/>
        </w:rPr>
        <w:t>Thus when delegates at the Constitutional Convention objected to “unity in the Executive magistracy” as “the foetus of monarchy,” 1 Rec­ ords of the Federal Convention of 1787, p. 66 (M. Farrand ed.) (E. Ran­ dolph), others replied that the concern was quite backward.  “[I]nstead of being the fetus of Monarchy,” they explained, “[u]nity in the Execu­ tive” was “the best safeguard against” it—for only a “single Person”</w:t>
      </w:r>
    </w:p>
    <w:p>
      <w:pPr>
        <w:pStyle w:val="DocBody"/>
      </w:pPr>
      <w:r>
        <w:rPr>
          <w:rFonts w:ascii="Times New Roman" w:hAnsi="Times New Roman" w:eastAsia="宋体"/>
          <w:sz w:val="24"/>
        </w:rPr>
        <w:t>could produce the “vigor and activity” necessary to preserve the Con­ stitution’s separation of powers. Id., at 66, 109 (J. Wilson).</w:t>
      </w:r>
    </w:p>
    <w:p>
      <w:pPr>
        <w:pStyle w:val="DocBody"/>
      </w:pPr>
      <w:r>
        <w:rPr>
          <w:rFonts w:ascii="Times New Roman" w:hAnsi="Times New Roman" w:eastAsia="宋体"/>
          <w:sz w:val="24"/>
        </w:rPr>
        <w:t>In opting for one President, however, the Framers did not opt for the President to work alone. They knew that Congress would “institut[e] the great Departments” and allow the President to “appoint[] officers therein, to assist [him] in discharging the duties of his trust.”  30 Writ­ ings of George Washington 334 (J. Fitzpatrick ed.).  These officers were to serve as envoys of the President, not his equals.  They “ought to be considered as the assistants or deputies of the Chief Magistrate,” Ham­ ilton explained, “and on this account, they ought to derive their offices from his appointment, at least from his nomination, and ought to be subject to his superintendence.”  The Federalist No. 72, at 436.</w:t>
      </w:r>
    </w:p>
    <w:p>
      <w:pPr>
        <w:pStyle w:val="DocBody"/>
      </w:pPr>
      <w:r>
        <w:rPr>
          <w:rFonts w:ascii="Times New Roman" w:hAnsi="Times New Roman" w:eastAsia="宋体"/>
          <w:sz w:val="24"/>
        </w:rPr>
        <w:t>Because these officers were subject to the President’s superintend­ ence, they had to be removable by him at will.  The power to remove at</w:t>
      </w:r>
    </w:p>
    <w:p>
      <w:pPr>
        <w:pStyle w:val="DocBody"/>
      </w:pPr>
      <w:r>
        <w:rPr>
          <w:rFonts w:ascii="Times New Roman" w:hAnsi="Times New Roman" w:eastAsia="宋体"/>
          <w:sz w:val="24"/>
        </w:rPr>
        <w:t>Cite as: 609 U. S. ___ (2026)</w:t>
      </w:r>
    </w:p>
    <w:p>
      <w:pPr>
        <w:pStyle w:val="DocBody"/>
      </w:pPr>
      <w:r>
        <w:rPr>
          <w:rFonts w:ascii="Times New Roman" w:hAnsi="Times New Roman" w:eastAsia="宋体"/>
          <w:sz w:val="24"/>
        </w:rPr>
        <w:t>Syllabus will was a necessary corollary of the Constitution’s design.  The “unity”</w:t>
      </w:r>
    </w:p>
    <w:p>
      <w:pPr>
        <w:pStyle w:val="DocBody"/>
      </w:pPr>
      <w:r>
        <w:rPr>
          <w:rFonts w:ascii="Times New Roman" w:hAnsi="Times New Roman" w:eastAsia="宋体"/>
          <w:sz w:val="24"/>
        </w:rPr>
        <w:t>of the Executive Branch would be “destroyed” if it were vested “osten­ sibly in one man, subject in whole or in part to the control and co-op­ eration of others, in the capacity of counselors to him.” Id., No. 70, at 424 (A. Hamilton).  Text and structure thus both taught that the Pres­ ident had to be able to remove those who fail to live up to their duties, lest he fail to live up to his.</w:t>
      </w:r>
    </w:p>
    <w:p>
      <w:pPr>
        <w:pStyle w:val="DocBody"/>
      </w:pPr>
      <w:r>
        <w:rPr>
          <w:rFonts w:ascii="Times New Roman" w:hAnsi="Times New Roman" w:eastAsia="宋体"/>
          <w:sz w:val="24"/>
        </w:rPr>
        <w:t>(2) This aspect of the President’s role was confirmed in the Consti­ tution’s first year and the years that followed, resulting in a “regular course of practice” that “liquidate[d] &amp; settle[d]” the President’s power of removal.  8 Writings of James Madison 450 (G. Hunt ed.).</w:t>
      </w:r>
    </w:p>
    <w:p>
      <w:pPr>
        <w:pStyle w:val="DocBody"/>
      </w:pPr>
      <w:r>
        <w:rPr>
          <w:rFonts w:ascii="Times New Roman" w:hAnsi="Times New Roman" w:eastAsia="宋体"/>
          <w:sz w:val="24"/>
        </w:rPr>
        <w:t>When the First Congress met in 1789, one of its first tasks was to establish the first executive departments—and with them the first de­ partment heads.  Under the Constitution, those officers had to be ap­ pointed by the President, with the “Advice and Consent” of the Senate.</w:t>
      </w:r>
    </w:p>
    <w:p>
      <w:pPr>
        <w:pStyle w:val="DocBody"/>
      </w:pPr>
      <w:r>
        <w:rPr>
          <w:rFonts w:ascii="Times New Roman" w:hAnsi="Times New Roman" w:eastAsia="宋体"/>
          <w:sz w:val="24"/>
        </w:rPr>
        <w:t>Art. II, §2, cl. 2. The question before Congress was how those officers were to be removed.  Madison contended that removal was part of “the Executive power” vested in the President, which “the Legislature has no right to diminish or modify.”  1 Annals of Cong. 463.  It is only with that power, he explained, that “the chain of dependence [can] be pre­ served”—“the lowest officers, the middle grade, and the highest” made to “depend, as they ought, on the President, and the President on the community.”  Id., at 499.</w:t>
      </w:r>
    </w:p>
    <w:p>
      <w:pPr>
        <w:pStyle w:val="DocBody"/>
      </w:pPr>
      <w:r>
        <w:rPr>
          <w:rFonts w:ascii="Times New Roman" w:hAnsi="Times New Roman" w:eastAsia="宋体"/>
          <w:sz w:val="24"/>
        </w:rPr>
        <w:t>Madison emerged victorious, and Congress’s confirmation of the President’s power gained fame as “the Decision of 1789.”  Chief Justice Marshall described the decision as “a full expression of the sense of the legislature,” 5 J. Marshall, The Life of George Washington 199–200, and early Presidents of all persuasions agreed.  Pp. 9–13.</w:t>
      </w:r>
    </w:p>
    <w:p>
      <w:pPr>
        <w:pStyle w:val="DocBody"/>
      </w:pPr>
      <w:r>
        <w:rPr>
          <w:rFonts w:ascii="Times New Roman" w:hAnsi="Times New Roman" w:eastAsia="宋体"/>
          <w:sz w:val="24"/>
        </w:rPr>
        <w:t>(b) What text, history, and structure settle, the Court’s precedent confirms—the President may remove his subordinates at will.  Pp. 13– 25.</w:t>
      </w:r>
    </w:p>
    <w:p>
      <w:pPr>
        <w:pStyle w:val="DocBody"/>
      </w:pPr>
      <w:r>
        <w:rPr>
          <w:rFonts w:ascii="Times New Roman" w:hAnsi="Times New Roman" w:eastAsia="宋体"/>
          <w:sz w:val="24"/>
        </w:rPr>
        <w:t>(1) As early as 1839, the Court reaffirmed what the First Congress had held. It was “very early adopted, as the practical construction of the Constitution,” the Court noted, that the power “to remove, where the tenure of the office was not fixed by the Constitution,” was “vested in the President alone.” Ex parte Hennen, 13 Pet. 230, 259.  See also Parsons v. United States, 167 U. S. 324, 330 (“[T]he decision of Con­ gress in 1789, and the universal practice of the Government under it, ha[s] settled the question beyond any power of alteration”).</w:t>
      </w:r>
    </w:p>
    <w:p>
      <w:pPr>
        <w:pStyle w:val="DocBody"/>
      </w:pPr>
      <w:r>
        <w:rPr>
          <w:rFonts w:ascii="Times New Roman" w:hAnsi="Times New Roman" w:eastAsia="宋体"/>
          <w:sz w:val="24"/>
        </w:rPr>
        <w:t>The Court's landmark decision in Myers v. United States, 272 U. S.</w:t>
      </w:r>
    </w:p>
    <w:p>
      <w:pPr>
        <w:pStyle w:val="DocBody"/>
      </w:pPr>
      <w:r>
        <w:rPr>
          <w:rFonts w:ascii="Times New Roman" w:hAnsi="Times New Roman" w:eastAsia="宋体"/>
          <w:sz w:val="24"/>
        </w:rPr>
        <w:t>52, confirmed the President’s power to fire his subordinates at will.</w:t>
      </w:r>
    </w:p>
    <w:p>
      <w:pPr>
        <w:pStyle w:val="DocBody"/>
      </w:pPr>
      <w:r>
        <w:rPr>
          <w:rFonts w:ascii="Times New Roman" w:hAnsi="Times New Roman" w:eastAsia="宋体"/>
          <w:sz w:val="24"/>
        </w:rPr>
        <w:t>The case arose when President Wilson fired Frank Myers—the post­ master in Portland, Oregon—without consulting the Senate, notwith­ standing an 1876 statute that required the President to receive the</w:t>
      </w:r>
    </w:p>
    <w:p>
      <w:pPr>
        <w:pStyle w:val="DocBody"/>
      </w:pPr>
      <w:r>
        <w:rPr>
          <w:rFonts w:ascii="Times New Roman" w:hAnsi="Times New Roman" w:eastAsia="宋体"/>
          <w:sz w:val="24"/>
        </w:rPr>
        <w:t>TRUMP v. SLAUGHTER Syllabus “advice and consent of the Senate” not only to appoint postmasters but also to remove them.  §6, 19 Stat. 80.  Writing for the Court, Chief Justice Taft noted that in the wake of the political differences following the Civil War between President Johnson—a Jacksonian Democrat— and congressional Republicans, Congress had sought to “curtail the then acknowledged powers of the President” with the Tenure of Office Act. Myers, 272 U. S., at 165–166.  Under that law, the President was required to receive the Senate’s consent before firing most officers. See ibid.  “[T]he injury and invalidity” of the Act was “immediately recog­ nized by the Executive and objected to”—and not just by President Johnson, but by General Grant who succeeded him.  Id., at 167.  What these events revealed, Chief Justice Taft wrote, was a consistent Pres­ idential rejection of “the validity of such legislation” as incompatible with “the legislative action of 1789.”  Id., at 172–173.</w:t>
      </w:r>
    </w:p>
    <w:p>
      <w:pPr>
        <w:pStyle w:val="DocBody"/>
      </w:pPr>
      <w:r>
        <w:rPr>
          <w:rFonts w:ascii="Times New Roman" w:hAnsi="Times New Roman" w:eastAsia="宋体"/>
          <w:sz w:val="24"/>
        </w:rPr>
        <w:t>The law concerning postmasters thus raised the question whether “to set aside” the First Congress’s “construction, thus buttressed, and adopt an adverse view” contrary to the Constitution’s text, history, and structure. Id., at 175. The Court refused to do so, and instead hewed to the “constitutional construction . . . reached by the First Congress . . . and acquiesced in by the whole Government for three-quarters of a century.”  Id., at 176. Pp. 13–16.</w:t>
      </w:r>
    </w:p>
    <w:p>
      <w:pPr>
        <w:pStyle w:val="DocBody"/>
      </w:pPr>
      <w:r>
        <w:rPr>
          <w:rFonts w:ascii="Times New Roman" w:hAnsi="Times New Roman" w:eastAsia="宋体"/>
          <w:sz w:val="24"/>
        </w:rPr>
        <w:t>(2) Nine years after Myers, the Court decided Humphrey’s Execu­ tor v. United States. Pp. 16–25.</w:t>
      </w:r>
    </w:p>
    <w:p>
      <w:pPr>
        <w:pStyle w:val="DocBody"/>
      </w:pPr>
      <w:r>
        <w:rPr>
          <w:rFonts w:ascii="Times New Roman" w:hAnsi="Times New Roman" w:eastAsia="宋体"/>
          <w:sz w:val="24"/>
        </w:rPr>
        <w:t>(i) Humphrey’s arose when President Roosevelt fired an FTC Commissioner without specifying a cause for his removal, contrary to a statute permitting removal only for “inefficiency, neglect of duty, or malfeasance in office.”  §1, 38 Stat. 718.  The Court ruled against Pres­ ident Roosevelt, distinguishing Myers by explaining that some presi­ dentially appointed officials may perform “executive function[s]” but exercise “no part of the executive power,” 295 U. S., at 628, and holding that the FTC’s duties were “neither political nor executive, but pre­ dominantly quasi-judicial and quasi-legislative,” id., at 624. Because these quasi functions did not require the use of “executive power,” the Court reasoned, Humphrey needed to answer only to Congress and the courts.  Id., at 628. Pp. 16–18.</w:t>
      </w:r>
    </w:p>
    <w:p>
      <w:pPr>
        <w:pStyle w:val="DocBody"/>
      </w:pPr>
      <w:r>
        <w:rPr>
          <w:rFonts w:ascii="Times New Roman" w:hAnsi="Times New Roman" w:eastAsia="宋体"/>
          <w:sz w:val="24"/>
        </w:rPr>
        <w:t>(ii) Humphrey’s framework has not withstood the test of time.</w:t>
      </w:r>
    </w:p>
    <w:p>
      <w:pPr>
        <w:pStyle w:val="DocBody"/>
      </w:pPr>
      <w:r>
        <w:rPr>
          <w:rFonts w:ascii="Times New Roman" w:hAnsi="Times New Roman" w:eastAsia="宋体"/>
          <w:sz w:val="24"/>
        </w:rPr>
        <w:t>From the start, Humphrey’s was tethered to a highly circumscribed view of the FTC’s role. Humphrey’s by its terms applied only to agen­ cies that occupy “no place in the executive department,” are “independ­ ent of executive authority,” and exercise “no part of the executive power.” Id., at 625, 628.  Indeed, the Court took pains to emphasize that “the character of the office”—executive or nonexecutive—would determine the result of future cases. Id., at 631.</w:t>
      </w:r>
    </w:p>
    <w:p>
      <w:pPr>
        <w:pStyle w:val="DocBody"/>
      </w:pPr>
      <w:r>
        <w:rPr>
          <w:rFonts w:ascii="Times New Roman" w:hAnsi="Times New Roman" w:eastAsia="宋体"/>
          <w:sz w:val="24"/>
        </w:rPr>
        <w:t>In later cases, the Court concluded that more functions fell on the</w:t>
      </w:r>
    </w:p>
    <w:p>
      <w:pPr>
        <w:pStyle w:val="DocBody"/>
      </w:pPr>
      <w:r>
        <w:rPr>
          <w:rFonts w:ascii="Times New Roman" w:hAnsi="Times New Roman" w:eastAsia="宋体"/>
          <w:sz w:val="24"/>
        </w:rPr>
        <w:t>Cite as: 609 U. S. ___ (2026)</w:t>
      </w:r>
    </w:p>
    <w:p>
      <w:pPr>
        <w:pStyle w:val="DocBody"/>
      </w:pPr>
      <w:r>
        <w:rPr>
          <w:rFonts w:ascii="Times New Roman" w:hAnsi="Times New Roman" w:eastAsia="宋体"/>
          <w:sz w:val="24"/>
        </w:rPr>
        <w:t>Syllabus executive side of that line—and thus within the President’s exclusive control.  Soon enough, the Court recognized that Humphrey’s flunked even its own test.  “[I]t is hard to dispute that the powers of the FTC,”</w:t>
      </w:r>
    </w:p>
    <w:p>
      <w:pPr>
        <w:pStyle w:val="DocBody"/>
      </w:pPr>
      <w:r>
        <w:rPr>
          <w:rFonts w:ascii="Times New Roman" w:hAnsi="Times New Roman" w:eastAsia="宋体"/>
          <w:sz w:val="24"/>
        </w:rPr>
        <w:t>even “at the time of Humphrey’s Executor,” the Court explained in 1988, “would at the present time be considered ‘executive,’ at least to some degree.” Morrison v. Olson, 487 U. S. 654, 690, n. 28.</w:t>
      </w:r>
    </w:p>
    <w:p>
      <w:pPr>
        <w:pStyle w:val="DocBody"/>
      </w:pPr>
      <w:r>
        <w:rPr>
          <w:rFonts w:ascii="Times New Roman" w:hAnsi="Times New Roman" w:eastAsia="宋体"/>
          <w:sz w:val="24"/>
        </w:rPr>
        <w:t>In Free Enterprise Fund v. Public Company Accounting Oversight Board, 561 U. S. 477, and Seila Law LLC v. Consumer Financial Pro­ tection Bureau, 591 U. S. 197, the Court reiterated Myers’s rule that the President exercises “general administrative control of those exe­ cuting the laws” and must be able to “remov[e] those for whom he can not continue to be responsible.”  Free Enterprise Fund, 561 U. S., at 492–493 (quoting Myers, 272 U. S., at 117, 164); Seila Law, 591 U. S., at 214 (same).  And the Court refused to extend Humphrey’s to “new situation[s].” Seila Law, 591 U. S., at 220; see Free Enterprise Fund, 561 U. S., at 483.  At this point, all that is left of Humphrey’s is its observation that an agency that “exercises no part of the executive power” need not fall within the rule of Presidential removal.  295 U. S., at 628.  Pp. 18–21.</w:t>
      </w:r>
    </w:p>
    <w:p>
      <w:pPr>
        <w:pStyle w:val="DocBody"/>
      </w:pPr>
      <w:r>
        <w:rPr>
          <w:rFonts w:ascii="Times New Roman" w:hAnsi="Times New Roman" w:eastAsia="宋体"/>
          <w:sz w:val="24"/>
        </w:rPr>
        <w:t>(iii) If anything more is left of Humphrey’s, the Court overrules it. Humphrey’s has for decades been a result in search of a rationale, and every relevant factor to stare decisis—the “quality” of the deci­ sion’s reasoning, its “consistency” with the Court’s other cases, the “workability” of its rule, and reliance interests, Knick v. Township of Scott, 588 U. S. 180, 203—counsels in favor of letting Humphrey’s go.</w:t>
      </w:r>
    </w:p>
    <w:p>
      <w:pPr>
        <w:pStyle w:val="DocBody"/>
      </w:pPr>
      <w:r>
        <w:rPr>
          <w:rFonts w:ascii="Times New Roman" w:hAnsi="Times New Roman" w:eastAsia="宋体"/>
          <w:sz w:val="24"/>
        </w:rPr>
        <w:t>Slaughter relies on reliance. She argues that Congress has relied upon Humphrey’s to create agencies that are “insulated from presiden­ tial control.”  Brief for Respondent 15.  But that is precisely the prob­ lem. Despite what Humphrey’s may say, independent agencies are not “independent” in the sense that they are free of the President and thus responsive “only to the people of the United States.”  295 U. S., at 625.</w:t>
      </w:r>
    </w:p>
    <w:p>
      <w:pPr>
        <w:pStyle w:val="DocBody"/>
      </w:pPr>
      <w:r>
        <w:rPr>
          <w:rFonts w:ascii="Times New Roman" w:hAnsi="Times New Roman" w:eastAsia="宋体"/>
          <w:sz w:val="24"/>
        </w:rPr>
        <w:t>Placing the power to administer laws in officers who enjoy “freedom from Presidential oversight (and protection)” does not deliver us to a promised land of technocratic governance—it often results only in an “increased subservience to congressional direction.” FCC v. Fox Tele­ vision Stations, Inc., 556 U. S. 502, 523 (plurality opinion).  Pp. 21–25.</w:t>
      </w:r>
    </w:p>
    <w:p>
      <w:pPr>
        <w:pStyle w:val="DocBody"/>
      </w:pPr>
      <w:r>
        <w:rPr>
          <w:rFonts w:ascii="Times New Roman" w:hAnsi="Times New Roman" w:eastAsia="宋体"/>
          <w:sz w:val="24"/>
        </w:rPr>
        <w:t>(c) With these principles in mind, the FTC’s for-cause removal pro­ vision violates the separation of powers.  In its present form, the FTC enforces and administers some 80 statutes covering almost every facet of the Nation’s economy, and the tasks it undertakes are “the very es­ sence of ‘execution’ of the law.”  Bowsher v. Synar, 478 U. S. 714, 733.</w:t>
      </w:r>
    </w:p>
    <w:p>
      <w:pPr>
        <w:pStyle w:val="DocBody"/>
      </w:pPr>
      <w:r>
        <w:rPr>
          <w:rFonts w:ascii="Times New Roman" w:hAnsi="Times New Roman" w:eastAsia="宋体"/>
          <w:sz w:val="24"/>
        </w:rPr>
        <w:t>The FTC has the power to promulgate substantive rules carrying the force of law, investigate businesses and enforce statutes through in- house adjudications, and file civil suits on behalf of the United States</w:t>
      </w:r>
    </w:p>
    <w:p>
      <w:pPr>
        <w:pStyle w:val="DocBody"/>
      </w:pPr>
      <w:r>
        <w:rPr>
          <w:rFonts w:ascii="Times New Roman" w:hAnsi="Times New Roman" w:eastAsia="宋体"/>
          <w:sz w:val="24"/>
        </w:rPr>
        <w:t>TRUMP v. SLAUGHTER Syllabus in federal court.  The FTC unquestionably exercises executive power and must therefore be controlled by the Chief Executive.  Pp. 25–27.</w:t>
      </w:r>
    </w:p>
    <w:p>
      <w:pPr>
        <w:pStyle w:val="DocBody"/>
      </w:pPr>
      <w:r>
        <w:rPr>
          <w:rFonts w:ascii="Times New Roman" w:hAnsi="Times New Roman" w:eastAsia="宋体"/>
          <w:sz w:val="24"/>
        </w:rPr>
        <w:t>(d) Because the FTC’s activities fall well within the heartland of ex­ ecutive power, the Court has no occasion today to define the bounds of what such power entails.  Not all offices created by Congress neces­ sarily come with executive power, see, e.g., Buckley v. Valeo, 424 U. S.</w:t>
      </w:r>
    </w:p>
    <w:p>
      <w:pPr>
        <w:pStyle w:val="DocBody"/>
      </w:pPr>
      <w:r>
        <w:rPr>
          <w:rFonts w:ascii="Times New Roman" w:hAnsi="Times New Roman" w:eastAsia="宋体"/>
          <w:sz w:val="24"/>
        </w:rPr>
        <w:t>1, 137–138 (per curiam), and the Court has left open the possibility that some functions traditionally handled outside the Executive Branch may not be encompassed by Myers’s general rule. One example the Court has given of such an entity is the Federal Reserve, to the extent that it follows in the tradition of the First and Second Banks of the United States.  See Seila Law, 591 U. S., at 222, n. 8.  And as the Government recognizes, the permissibility of tenure protections for non-Article III courts is not presented or briefed in this case. The Court leaves those questions for another day. All the Court does today is recognize what has been clear for a century—that those who fall within the President’s “general administrative control” must be remov­ able by the President at will.  Myers, 272 U. S., at 135.  Pp. 27–28.</w:t>
      </w:r>
    </w:p>
    <w:p>
      <w:pPr>
        <w:pStyle w:val="DocBody"/>
      </w:pPr>
      <w:r>
        <w:rPr>
          <w:rFonts w:ascii="Times New Roman" w:hAnsi="Times New Roman" w:eastAsia="宋体"/>
          <w:sz w:val="24"/>
        </w:rPr>
        <w:t>(e) Slaughter’s counterarguments are rejected.  She relies on Humphrey’s and stare decisis, but she does not defend Humphrey’s on its own terms. She does not argue that the FTC today occupies “no place in the executive department” or exercises “no part of the execu­ tive power.”  295 U. S., at 628.  Her historical arguments regarding early multimember agencies fail because the members of these agen­ cies, too, were removable by the President at will.</w:t>
      </w:r>
    </w:p>
    <w:p>
      <w:pPr>
        <w:pStyle w:val="DocBody"/>
      </w:pPr>
      <w:r>
        <w:rPr>
          <w:rFonts w:ascii="Times New Roman" w:hAnsi="Times New Roman" w:eastAsia="宋体"/>
          <w:sz w:val="24"/>
        </w:rPr>
        <w:t>Slaughter ultimately proposes that the Court police Congress’s deci­ sions in this area only for “reasonableness.”  She argues that Congress may “reasonably” decide “that the President should be able to remove some duly appointed officers only for certain causes and through cer­ tain processes.”  Brief for Respondent 25 (internal quotation marks omitted). Slaughter’s supposed limiting principle is neither limiting nor much of a principle.  On her view, Congress could commandeer the Environmental Protection Agency, the Department of Commerce, the Department of Education, the Department of Health and Human Ser­ vices, most (if not all) of the Department of Justice, and a number of other agencies besides.  Indeed, if Slaughter were correct, then it is not clear why Congress would need to allow the President any say in fir­ ings at all.</w:t>
      </w:r>
    </w:p>
    <w:p>
      <w:pPr>
        <w:pStyle w:val="DocBody"/>
      </w:pPr>
      <w:r>
        <w:rPr>
          <w:rFonts w:ascii="Times New Roman" w:hAnsi="Times New Roman" w:eastAsia="宋体"/>
          <w:sz w:val="24"/>
        </w:rPr>
        <w:t>Slaughter’s view is incompatible with our constitutional design. Alt­ hough it is up to the Senate to decide whether to confirm those with whom the President would prefer to work, neither Congress nor the</w:t>
      </w:r>
    </w:p>
    <w:p>
      <w:pPr>
        <w:pStyle w:val="DocBody"/>
      </w:pPr>
      <w:r>
        <w:rPr>
          <w:rFonts w:ascii="Times New Roman" w:hAnsi="Times New Roman" w:eastAsia="宋体"/>
          <w:sz w:val="24"/>
        </w:rPr>
        <w:t>Cite as: 609 U. S. ___ (2026)</w:t>
      </w:r>
    </w:p>
    <w:p>
      <w:pPr>
        <w:pStyle w:val="DocBody"/>
      </w:pPr>
      <w:r>
        <w:rPr>
          <w:rFonts w:ascii="Times New Roman" w:hAnsi="Times New Roman" w:eastAsia="宋体"/>
          <w:sz w:val="24"/>
        </w:rPr>
        <w:t>Syllabus courts may saddle him with those with whom he cannot work. Subor­ dinates who exercise the President’s power are subject to removal by him. Then, and only then, can they remain accountable to the Presi­ dent, and the President to the people.  Pp. 28–36.</w:t>
      </w:r>
    </w:p>
    <w:p>
      <w:pPr>
        <w:pStyle w:val="DocBody"/>
      </w:pPr>
      <w:r>
        <w:rPr>
          <w:rFonts w:ascii="Times New Roman" w:hAnsi="Times New Roman" w:eastAsia="宋体"/>
          <w:sz w:val="24"/>
        </w:rPr>
        <w:t>Reversed and remanded.</w:t>
      </w:r>
    </w:p>
    <w:p>
      <w:pPr>
        <w:pStyle w:val="DocBody"/>
      </w:pPr>
      <w:r>
        <w:rPr>
          <w:rFonts w:ascii="Times New Roman" w:hAnsi="Times New Roman" w:eastAsia="宋体"/>
          <w:sz w:val="24"/>
        </w:rPr>
        <w:t>ROBERTS, C. J., delivered the opinion of the Court, in which ALITO, GORSUCH, KAVANAUGH, and BARRETT, JJ., joined, and in which THOMAS, J., joined as to all but Part III–B.  GORSUCH, J., filed a concurring opinion.</w:t>
      </w:r>
    </w:p>
    <w:p>
      <w:pPr>
        <w:pStyle w:val="DocBody"/>
      </w:pPr>
      <w:r>
        <w:rPr>
          <w:rFonts w:ascii="Times New Roman" w:hAnsi="Times New Roman" w:eastAsia="宋体"/>
          <w:sz w:val="24"/>
        </w:rPr>
        <w:t>SOTOMAYOR, J., filed a dissenting opinion, in which KAGAN and JACKSON, JJ., joined.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NOTICE: This opinion is subject to formal revision before publication in the United States Reports. Readers are requested to notify the Reporter of Decisions, Supreme Court of the United States, Washington, D. C. 20543, pio@supremecourt.gov, of any typographical or other formal errors.</w:t>
      </w:r>
    </w:p>
    <w:p>
      <w:pPr>
        <w:pStyle w:val="DocBody"/>
      </w:pPr>
      <w:r>
        <w:rPr>
          <w:rFonts w:ascii="Times New Roman" w:hAnsi="Times New Roman" w:eastAsia="宋体"/>
          <w:sz w:val="24"/>
        </w:rPr>
        <w:t>SUPREME COURT OF THE UNITED STATES No. 25–332 DONALD J. TRUMP, PRESIDENT OF THE UNITED STATES, ET AL., PETITIONERS v. REBECCA KELLY SLAUGHTER ON WRIT OF CERTIORARI BEFORE JUDGMENT TO THE UNITED STATES COURT OF APPEALS FOR THE DISTRICT OF COLUMBIA CIRCUIT [June 29, 2026] CHIEF JUSTICE ROBERTS delivered the opinion of the Court.</w:t>
      </w:r>
    </w:p>
    <w:p>
      <w:pPr>
        <w:pStyle w:val="DocBody"/>
      </w:pPr>
      <w:r>
        <w:rPr>
          <w:rFonts w:ascii="Times New Roman" w:hAnsi="Times New Roman" w:eastAsia="宋体"/>
          <w:sz w:val="24"/>
        </w:rPr>
        <w:t>Nearly 250 years ago, the Framers decided to vest “[t]he executive Power” in one person—“a President of the United States of America.” Art. II, §1, cl. 1.  The choice was not made lightly. Within living memory were the “long train of abuses and usurpations” of a King who reigned as “a Ty­ rant.” Declaration of Independence ¶¶2, 30.  Indeed, sev­ eral delegates to the Constitutional Convention pushed for a multimember council instead of “unity in the Executive magistracy,” which they feared would serve as “the foetus of monarchy.” 1 Records of the Federal Convention of 1787, p. 66 (M. Farrand ed. 1911) (Farrand’s Records) (E. Ran­ dolph). But unity won out.  Our Constitution’s drafters knew from experience that a “plurality in the executive”— the model in use by most States at the time—not only “di­ minishe[s]” the “activity, secrecy, and dispatch” necessary to ensure “good government” but “tends to conceal faults and destroy responsibility.”  The Federalist No. 70, pp. 423– 424, 427 (C. Rossiter ed. 1961) (A. Hamilton).  With just one</w:t>
      </w:r>
    </w:p>
    <w:p>
      <w:pPr>
        <w:pStyle w:val="DocBody"/>
      </w:pPr>
      <w:r>
        <w:rPr>
          <w:rFonts w:ascii="Times New Roman" w:hAnsi="Times New Roman" w:eastAsia="宋体"/>
          <w:sz w:val="24"/>
        </w:rPr>
        <w:t>TRUMP v. SLAUGHTER Opinion of the Court President in charge, they reasoned, there would be no doubt “on whom the blame or the punishment of a pernicious measure . . . ought really to fall.”  Id., at 428.</w:t>
      </w:r>
    </w:p>
    <w:p>
      <w:pPr>
        <w:pStyle w:val="DocBody"/>
      </w:pPr>
      <w:r>
        <w:rPr>
          <w:rFonts w:ascii="Times New Roman" w:hAnsi="Times New Roman" w:eastAsia="宋体"/>
          <w:sz w:val="24"/>
        </w:rPr>
        <w:t>One hundred years ago, this Court honored the Conven­ tion’s choice in the seminal case of Myers v. United States, 272 U. S. 52 (1926).  There, we held that the Constitution “grants to the President” the “general administrative con­ trol of those executing the laws, including the power of ap­ pointment and removal of executive officers.” Id., at 163–</w:t>
      </w:r>
    </w:p>
    <w:p>
      <w:pPr>
        <w:pStyle w:val="DocBody"/>
        <w:ind w:left="765"/>
      </w:pPr>
      <w:r>
        <w:rPr>
          <w:rFonts w:ascii="Times New Roman" w:hAnsi="Times New Roman" w:eastAsia="宋体"/>
          <w:sz w:val="24"/>
        </w:rPr>
        <w:t>Because no one could “execute the laws” “alone and unaided,” Chief Justice Taft explained for the Court, the President must be permitted to “select those who . . . act for him” and “remov[e] those for whom he can not continue to be responsible.”  Id., at 117. “[T]o hold otherwise would make it impossible for the President” to fulfill his constitu­ tional obligation “to take care that the laws be faithfully ex­ ecuted.” Id., at 164.</w:t>
      </w:r>
    </w:p>
    <w:p>
      <w:pPr>
        <w:pStyle w:val="DocBody"/>
      </w:pPr>
      <w:r>
        <w:rPr>
          <w:rFonts w:ascii="Times New Roman" w:hAnsi="Times New Roman" w:eastAsia="宋体"/>
          <w:sz w:val="24"/>
        </w:rPr>
        <w:t>Today we confront one of several regulatory agencies that deviate from this model of Presidential supervision—the Federal Trade Commission (FTC). Since its creation in 1914, the FTC has accumulated vast rulemaking, enforce­ ment, and adjudicatory powers under more than 80 stat­ utes. Not only does it promulgate rules that carry the force of law, but it also enforces those rules against private par­ ties, collecting civil penalties in the billions of dollars.  Its powers, however, do not belong to the President or his ap­ pointees alone; they instead belong to five Commissioners, each of whom serves for seven years and may be removed by the President only “for inefficiency, neglect of duty, or malfeasance in office.”  38 Stat. 718, 15 U. S. C. §41.</w:t>
      </w:r>
    </w:p>
    <w:p>
      <w:pPr>
        <w:pStyle w:val="DocBody"/>
      </w:pPr>
      <w:r>
        <w:rPr>
          <w:rFonts w:ascii="Times New Roman" w:hAnsi="Times New Roman" w:eastAsia="宋体"/>
          <w:sz w:val="24"/>
        </w:rPr>
        <w:t>We hold that such protection from removal is contrary to the separation of powers enshrined in the Constitution.</w:t>
      </w:r>
    </w:p>
    <w:p>
      <w:pPr>
        <w:pStyle w:val="DocBody"/>
      </w:pPr>
      <w:r>
        <w:rPr>
          <w:rFonts w:ascii="Times New Roman" w:hAnsi="Times New Roman" w:eastAsia="宋体"/>
          <w:sz w:val="24"/>
        </w:rPr>
        <w:t>I When President Trump began his second term in Janu­ ary 2025, the FTC was led by two Republicans and three</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Democrats. On his first day in office, he designated a new Chair, replacing President Biden’s pick.  See 15 U. S. C. §41 (permitting the President to choose a Chair “from the Com­ mission’s membership”).  As is customary, the former Chair, Lina Khan, resigned her seat a few weeks later, per­ mitting President Trump to appoint a replacement (contin­ gent, of course, on the Senate’s advice and consent).  In the meantime, however, the FTC would be split down the mid­ dle.</w:t>
      </w:r>
    </w:p>
    <w:p>
      <w:pPr>
        <w:pStyle w:val="DocBody"/>
      </w:pPr>
      <w:r>
        <w:rPr>
          <w:rFonts w:ascii="Times New Roman" w:hAnsi="Times New Roman" w:eastAsia="宋体"/>
          <w:sz w:val="24"/>
        </w:rPr>
        <w:t>That split came to an abrupt end in March, when Presi­ dent Trump fired the two remaining Democratic Commis­ sioners, Rebecca Slaughter and Alvaro Bedoya.  He did not assert that they were “inefficien[t],” “neglect[ed]” their “dut[ies],” or committed “malfeasance in office,” as the stat­ ute required. §41.  He instead told them that their “contin­ ued service on the FTC [was] inconsistent with [his] Admin­ istration’s priorities” and that they were removed from office “pursuant to [his] authority under Article II of the Constitution.” App. 28.</w:t>
      </w:r>
    </w:p>
    <w:p>
      <w:pPr>
        <w:pStyle w:val="DocBody"/>
      </w:pPr>
      <w:r>
        <w:rPr>
          <w:rFonts w:ascii="Times New Roman" w:hAnsi="Times New Roman" w:eastAsia="宋体"/>
          <w:sz w:val="24"/>
        </w:rPr>
        <w:t>Slaughter promptly filed suit against the President and other executive officials, seeking declaratory and injunctive relief to restore her to office.1  She alleged that her removal was ultra vires, violated the Administrative Procedure Act, and violated the Constitution.</w:t>
      </w:r>
    </w:p>
    <w:p>
      <w:pPr>
        <w:pStyle w:val="DocBody"/>
      </w:pPr>
      <w:r>
        <w:rPr>
          <w:rFonts w:ascii="Times New Roman" w:hAnsi="Times New Roman" w:eastAsia="宋体"/>
          <w:sz w:val="24"/>
        </w:rPr>
        <w:t>The District Court agreed, granting Slaughter’s motion for summary judgment. 791 F. Supp. 3d 1 (DC 2025).  It acknowledged that Myers generally permits the President to remove “executive officers” at will, as part of his “general administrative control of those executing the laws.”  791 F. Supp. 3d, at 11 (quoting Myers, 272 U. S., at 164).  But it considered itself bound by Humphrey’s Executor v. United —————— 1Slaughter was initially joined in her lawsuit by Bedoya, who similarly sought to be restored to office. After litigation commenced, however, Bedoya formally resigned from his position on the FTC, and the District Court dismissed his claims as moot.  Thus only Slaughter’s claims are at issue here.</w:t>
      </w:r>
    </w:p>
    <w:p>
      <w:pPr>
        <w:pStyle w:val="DocBody"/>
      </w:pPr>
      <w:r>
        <w:rPr>
          <w:rFonts w:ascii="Times New Roman" w:hAnsi="Times New Roman" w:eastAsia="宋体"/>
          <w:sz w:val="24"/>
        </w:rPr>
        <w:t>TRUMP v. SLAUGHTER Opinion of the Court States, 295 U. S. 602 (1935).  That case, the District Court explained, carved out an exception to Myers’s general rule for the FTC, which the Humphrey’s Court described as a multimember “expert” agency that exercised solely “quasi­ legislative” and “quasi-judicial” functions. 791 F. Supp. 3d, at 13, 17–18.  The court declared the President’s “purported removal” ultra vires and issued a permanent injunction barring interference “with Ms. Slaughter’s right to perform her lawful duties.” App. 90–91.</w:t>
      </w:r>
    </w:p>
    <w:p>
      <w:pPr>
        <w:pStyle w:val="DocBody"/>
      </w:pPr>
      <w:r>
        <w:rPr>
          <w:rFonts w:ascii="Times New Roman" w:hAnsi="Times New Roman" w:eastAsia="宋体"/>
          <w:sz w:val="24"/>
        </w:rPr>
        <w:t>A divided Court of Appeals denied the Government’s mo­ tion for a stay pending appeal.  2025 WL 2551247 (CADC, Sept. 2, 2025) (per curiam). The panel held that the Gov­ ernment has “no prospect of success on appeal,” as this very issue had been settled by Humphrey’s Executor. 2025 WL 2551247, *3.  Judge Rao dissented, explaining that Humph­ rey’s Executor does not license a “headless fourth branch” of independent agencies exercising “considerable executive power.” 2025 WL 2551247, *13 (quoting Trump v. Wilcox, 605 U. S. ___, ___ (2025) (slip op., at 1)).</w:t>
      </w:r>
    </w:p>
    <w:p>
      <w:pPr>
        <w:pStyle w:val="DocBody"/>
      </w:pPr>
      <w:r>
        <w:rPr>
          <w:rFonts w:ascii="Times New Roman" w:hAnsi="Times New Roman" w:eastAsia="宋体"/>
          <w:sz w:val="24"/>
        </w:rPr>
        <w:t>We stayed the District Court’s order and granted certio­ rari before judgment. 606 U. S. 1051 (2025).</w:t>
      </w:r>
    </w:p>
    <w:p>
      <w:pPr>
        <w:pStyle w:val="DocBody"/>
      </w:pPr>
      <w:r>
        <w:rPr>
          <w:rFonts w:ascii="Times New Roman" w:hAnsi="Times New Roman" w:eastAsia="宋体"/>
          <w:sz w:val="24"/>
        </w:rPr>
        <w:t>II A The Constitution vests “[t]he executive Power” in a “Pres­ ident of the United States of America” and instructs that he “take Care that the Laws be faithfully executed.” Art. II, §§1, 3.  To vest “the whole executive power” in just one per­ son was not to suggest that he could execute the laws alone and unaided. The Federalist No. 47, at 303 (J. Madison).</w:t>
      </w:r>
    </w:p>
    <w:p>
      <w:pPr>
        <w:pStyle w:val="DocBody"/>
      </w:pPr>
      <w:r>
        <w:rPr>
          <w:rFonts w:ascii="Times New Roman" w:hAnsi="Times New Roman" w:eastAsia="宋体"/>
          <w:sz w:val="24"/>
        </w:rPr>
        <w:t>But it was to establish a hierarchy—a “Chief Magistrate”</w:t>
      </w:r>
    </w:p>
    <w:p>
      <w:pPr>
        <w:pStyle w:val="DocBody"/>
      </w:pPr>
      <w:r>
        <w:rPr>
          <w:rFonts w:ascii="Times New Roman" w:hAnsi="Times New Roman" w:eastAsia="宋体"/>
          <w:sz w:val="24"/>
        </w:rPr>
        <w:t>with whom the buck stops, and below him various “assis­ tants or deputies” who “derive their offices from his ap­ pointment” and remain “subject to his superintendence.”</w:t>
      </w:r>
    </w:p>
    <w:p>
      <w:pPr>
        <w:pStyle w:val="DocBody"/>
      </w:pPr>
      <w:r>
        <w:rPr>
          <w:rFonts w:ascii="Times New Roman" w:hAnsi="Times New Roman" w:eastAsia="宋体"/>
          <w:sz w:val="24"/>
        </w:rPr>
        <w:t>Id., No. 72, at 436 (A. Hamilton).  To remain accountable to</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the President, those officers must be removable by the Pres­ ident.</w:t>
      </w:r>
    </w:p>
    <w:p>
      <w:pPr>
        <w:pStyle w:val="DocBody"/>
      </w:pPr>
      <w:r>
        <w:rPr>
          <w:rFonts w:ascii="Times New Roman" w:hAnsi="Times New Roman" w:eastAsia="宋体"/>
          <w:sz w:val="24"/>
        </w:rPr>
        <w:t>The idea that one President would be in charge was by no means a foregone conclusion in 1787.  Just ten years earlier, the colonists had “thrown off the Yoke” of King George III and his colonial governors, 5 Papers of John Adams 26 (R.</w:t>
      </w:r>
    </w:p>
    <w:p>
      <w:pPr>
        <w:pStyle w:val="DocBody"/>
      </w:pPr>
      <w:r>
        <w:rPr>
          <w:rFonts w:ascii="Times New Roman" w:hAnsi="Times New Roman" w:eastAsia="宋体"/>
          <w:sz w:val="24"/>
        </w:rPr>
        <w:t>Taylor ed. 1983) (S. Adams), who had laid a “[f]oundation sufficient on which to erect a Tyranny,” J. Adams, Diary and Autobiography of John Adams 260 (L. Butterfield ed.</w:t>
      </w:r>
    </w:p>
    <w:p>
      <w:pPr>
        <w:pStyle w:val="DocBody"/>
      </w:pPr>
      <w:r>
        <w:rPr>
          <w:rFonts w:ascii="Times New Roman" w:hAnsi="Times New Roman" w:eastAsia="宋体"/>
          <w:sz w:val="24"/>
        </w:rPr>
        <w:t>1961). Now citizens, they had no intention of reestablishing “the kingly office” by another name. 1 Papers of Thomas Jefferson 337 (J. Boyd ed. 1950).  Thus the flurry of state constitutions that followed the Declaration of Independence “made of the gubernatorial magistrate a new kind of crea­ ture, a very pale reflection indeed of his regal ancestor.”  G.</w:t>
      </w:r>
    </w:p>
    <w:p>
      <w:pPr>
        <w:pStyle w:val="DocBody"/>
      </w:pPr>
      <w:r>
        <w:rPr>
          <w:rFonts w:ascii="Times New Roman" w:hAnsi="Times New Roman" w:eastAsia="宋体"/>
          <w:sz w:val="24"/>
        </w:rPr>
        <w:t>Wood, The Creation of the American Republic, 1776–1787, p. 136 (1998) (Wood); see also J. Rakove, Original Meanings 250–252 (1996).  Almost every State had but a nominal Gov­ ernor, who could act only with his council’s consent.  These early chief executives were “little more than chairmen of their executive boards.” Wood 138.</w:t>
      </w:r>
    </w:p>
    <w:p>
      <w:pPr>
        <w:pStyle w:val="DocBody"/>
      </w:pPr>
      <w:r>
        <w:rPr>
          <w:rFonts w:ascii="Times New Roman" w:hAnsi="Times New Roman" w:eastAsia="宋体"/>
          <w:sz w:val="24"/>
        </w:rPr>
        <w:t>The Framers chose to depart from this model, for they had seen its flaws up close.  Common was the complaint that the States’ feeble and divided executives left no “effec­ tual check” for “the instability &amp; encroachments” of legisla­ tures. See 2 Farrand’s Records 35 (J. Madison).  For “fear”</w:t>
      </w:r>
    </w:p>
    <w:p>
      <w:pPr>
        <w:pStyle w:val="DocBody"/>
      </w:pPr>
      <w:r>
        <w:rPr>
          <w:rFonts w:ascii="Times New Roman" w:hAnsi="Times New Roman" w:eastAsia="宋体"/>
          <w:sz w:val="24"/>
        </w:rPr>
        <w:t>of “monarchical . . . power,” William Livingston lamented, the States “improvidently” devised executives “too weak &amp; inefficatious to operate with proper energy &amp; vigour.”  5 Pa­ pers of William Livingston 56–57 (C. Prince, M. Lustig, &amp; D. Vorhees eds. 1988).</w:t>
      </w:r>
    </w:p>
    <w:p>
      <w:pPr>
        <w:pStyle w:val="DocBody"/>
      </w:pPr>
      <w:r>
        <w:rPr>
          <w:rFonts w:ascii="Times New Roman" w:hAnsi="Times New Roman" w:eastAsia="宋体"/>
          <w:sz w:val="24"/>
        </w:rPr>
        <w:t>The Convention was determined not to make the same mistake.  See Wood 467.  So when delegates objected to “unity in the Executive magistracy” as “the foetus of</w:t>
      </w:r>
    </w:p>
    <w:p>
      <w:pPr>
        <w:pStyle w:val="DocBody"/>
      </w:pPr>
      <w:r>
        <w:rPr>
          <w:rFonts w:ascii="Times New Roman" w:hAnsi="Times New Roman" w:eastAsia="宋体"/>
          <w:sz w:val="24"/>
        </w:rPr>
        <w:t>TRUMP v. SLAUGHTER Opinion of the Court monarchy,” 1 Farrand’s Records 66 (E. Randolph), others could soundly reply that the concern was quite backward.</w:t>
      </w:r>
    </w:p>
    <w:p>
      <w:pPr>
        <w:pStyle w:val="DocBody"/>
      </w:pPr>
      <w:r>
        <w:rPr>
          <w:rFonts w:ascii="Times New Roman" w:hAnsi="Times New Roman" w:eastAsia="宋体"/>
          <w:sz w:val="24"/>
        </w:rPr>
        <w:t>“[I]nstead of being the fetus of Monarchy,” they explained, “[u]nity in the Executive” was “the best safeguard against”</w:t>
      </w:r>
    </w:p>
    <w:p>
      <w:pPr>
        <w:pStyle w:val="DocBody"/>
      </w:pPr>
      <w:r>
        <w:rPr>
          <w:rFonts w:ascii="Times New Roman" w:hAnsi="Times New Roman" w:eastAsia="宋体"/>
          <w:sz w:val="24"/>
        </w:rPr>
        <w:t>it—for only a “single Person” could produce the “vigor and activity” necessary to preserve the Constitution’s separa­ tion of powers, and only a “single Person” could make the office “responsibl[e]” to the people. Id., at 66, 109 (J. Wil­ son). “Give him an able Council and it will thwart him; a weak one and he will shelter himself under their sanction.”</w:t>
      </w:r>
    </w:p>
    <w:p>
      <w:pPr>
        <w:pStyle w:val="DocBody"/>
      </w:pPr>
      <w:r>
        <w:rPr>
          <w:rFonts w:ascii="Times New Roman" w:hAnsi="Times New Roman" w:eastAsia="宋体"/>
          <w:sz w:val="24"/>
        </w:rPr>
        <w:t>2 id., at 329 (C. Pinckney).  Any more than one person in charge, as James Wilson put it, “oftener serves to cover, than prevent malpractices.”  1 id., at 97.</w:t>
      </w:r>
    </w:p>
    <w:p>
      <w:pPr>
        <w:pStyle w:val="DocBody"/>
      </w:pPr>
      <w:r>
        <w:rPr>
          <w:rFonts w:ascii="Times New Roman" w:hAnsi="Times New Roman" w:eastAsia="宋体"/>
          <w:sz w:val="24"/>
        </w:rPr>
        <w:t>That the Constitution forged a new path was not hidden from those who ratified it. Hamilton frankly conceded that only two States thus far “have intrusted the executive au­ thority wholly to single men,” The Federalist No. 70, at 424, anticipating Roger Sherman’s critique of the Constitution that every other government has “a Council of advice, with­ out which the first magistrate could not act,” 1 Farrand’s Records 97. To Hamilton, however, that was the point.  Un­ like most States, the Federal Government would have “a vigorous executive” who could act with “secrecy . . . and dis­ patch”—and would not be able to “conceal [his] faults” be­ hind a council.  The Federalist No. 70, at 423–424, 427. “[A] plurality in the executive,” Hamilton argued, “tends to con­ ceal faults and destroy responsibility.”  Id., at 427. “It often becomes impossible, amidst mutual accusations, to deter­ mine on whom the blame or the punishment of a pernicious measure, or series of pernicious measures, ought really to fall.” Id., at 428. If the executive power were not placed in a “single hand,” then “the people” would be “deprive[d] . . .</w:t>
      </w:r>
    </w:p>
    <w:p>
      <w:pPr>
        <w:pStyle w:val="DocBody"/>
      </w:pPr>
      <w:r>
        <w:rPr>
          <w:rFonts w:ascii="Times New Roman" w:hAnsi="Times New Roman" w:eastAsia="宋体"/>
          <w:sz w:val="24"/>
        </w:rPr>
        <w:t>of the two greatest securities they can have for the faithful exercise of any delegated power”—“the restraints of public opinion” and the “opportunity of discovering with facility</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and clearness the misconduct of the persons they trust.”</w:t>
      </w:r>
    </w:p>
    <w:p>
      <w:pPr>
        <w:pStyle w:val="DocBody"/>
      </w:pPr>
      <w:r>
        <w:rPr>
          <w:rFonts w:ascii="Times New Roman" w:hAnsi="Times New Roman" w:eastAsia="宋体"/>
          <w:sz w:val="24"/>
        </w:rPr>
        <w:t>Id., at 424, 428–429.</w:t>
      </w:r>
    </w:p>
    <w:p>
      <w:pPr>
        <w:pStyle w:val="DocBody"/>
      </w:pPr>
      <w:r>
        <w:rPr>
          <w:rFonts w:ascii="Times New Roman" w:hAnsi="Times New Roman" w:eastAsia="宋体"/>
          <w:sz w:val="24"/>
        </w:rPr>
        <w:t>In opting for one President, however, the Framers did not opt for the President to work alone.  They knew (as our first President would write) that it would be “impossib[le]” for just “one man . . . to perform all the great business of the State.” 30 Writings of George Washington 334 (J. Fitzpat­ rick ed. 1939). So they anticipated that Congress would “in­ stitut[e] the great Departments” and allow the President to “appoint[] officers therein, to assist [him] in discharging the duties of his trust.” Ibid. As James Wilson explained at the Convention, “there can be no good Executive without a re­ sponsible appointment of officers to execute.” 2 Farrand’s Records 538–539.</w:t>
      </w:r>
    </w:p>
    <w:p>
      <w:pPr>
        <w:pStyle w:val="DocBody"/>
      </w:pPr>
      <w:r>
        <w:rPr>
          <w:rFonts w:ascii="Times New Roman" w:hAnsi="Times New Roman" w:eastAsia="宋体"/>
          <w:sz w:val="24"/>
        </w:rPr>
        <w:t>These officers were to serve as envoys of the President, not his equals. Their very purpose, after all, was to assist him “to discharge his arduous employment,” not theirs. 4 Debates on the Constitution 109 (J. Elliot 2d ed. 1891) (J.</w:t>
      </w:r>
    </w:p>
    <w:p>
      <w:pPr>
        <w:pStyle w:val="DocBody"/>
      </w:pPr>
      <w:r>
        <w:rPr>
          <w:rFonts w:ascii="Times New Roman" w:hAnsi="Times New Roman" w:eastAsia="宋体"/>
          <w:sz w:val="24"/>
        </w:rPr>
        <w:t>Iredell) (emphasis added). As such, the Government’s “min­ isters” were required to “exercise their functions in subor­ dination to the Executive,” whether their tasks were big or small.  2 Farrand’s Records 54 (G. Morris). Hamilton made the same point. “The persons . . . to whose immediate man­ agement” the President’s powers “are committed, ought to be considered as the assistants or deputies of the Chief Magistrate, and on this account, they ought to derive their offices from his appointment, at least from his nomination, and ought to be subject to his superintendence.”  The Fed­ eralist No. 72, at 436. In so structuring the Government, the Convention “rejected a committee-style Executive Branch in favor of a unitary and accountable President, standing under law, yet over” his department heads.  A.</w:t>
      </w:r>
    </w:p>
    <w:p>
      <w:pPr>
        <w:pStyle w:val="DocBody"/>
      </w:pPr>
      <w:r>
        <w:rPr>
          <w:rFonts w:ascii="Times New Roman" w:hAnsi="Times New Roman" w:eastAsia="宋体"/>
          <w:sz w:val="24"/>
        </w:rPr>
        <w:t>Amar, Some Opinions on the Opinion Clause, 82 Va. L. Rev.</w:t>
      </w:r>
    </w:p>
    <w:p>
      <w:pPr>
        <w:pStyle w:val="DocBody"/>
      </w:pPr>
      <w:r>
        <w:rPr>
          <w:rFonts w:ascii="Times New Roman" w:hAnsi="Times New Roman" w:eastAsia="宋体"/>
          <w:sz w:val="24"/>
        </w:rPr>
        <w:t>647 (1996). It helped in reaching that conclusion, of course, that everyone at the Convention knew who that President would be—the Convention’s presiding officer, George</w:t>
      </w:r>
    </w:p>
    <w:p>
      <w:pPr>
        <w:pStyle w:val="DocBody"/>
      </w:pPr>
      <w:r>
        <w:rPr>
          <w:rFonts w:ascii="Times New Roman" w:hAnsi="Times New Roman" w:eastAsia="宋体"/>
          <w:sz w:val="24"/>
        </w:rPr>
        <w:t>TRUMP v. SLAUGHTER Opinion of the Court Washington. See J. Flexner, George Washington and the New Nation: 1783–1793, pp. 133–134 (1970).2 Because these officers were subject to the President’s su­ perintendence, they had to be removable by him at will.  For one, that was just part of what it meant to wield “the exec­ utive power,” as it was understood at the time of ratifica­ tion. Jefferson wrote as early as 1780 that “[t]he power of appointing and removing executive officers [is] inherent in [the] Executive,” as “[h]e who appoints may remove.”  4 Pa­ pers of Thomas Jefferson 281 (1951).  And as to this power, the Constitution’s words were chosen carefully—it was the President who would “appoint” the principal “Officers of the United States,” with the Senate providing “Advice and Con­ sent.” Art. II, §2, cl. 2; cf. The Federalist No. 66, at 404 (A.</w:t>
      </w:r>
    </w:p>
    <w:p>
      <w:pPr>
        <w:pStyle w:val="DocBody"/>
      </w:pPr>
      <w:r>
        <w:rPr>
          <w:rFonts w:ascii="Times New Roman" w:hAnsi="Times New Roman" w:eastAsia="宋体"/>
          <w:sz w:val="24"/>
        </w:rPr>
        <w:t>Hamilton) (“[I]n all the governments with which we are ac­ quainted . . . those who hold offices during pleasure [are] dependent on the pleasure of those who appoint them”).  If the Framers intended to depart from this convention, one might have expected them to say so.</w:t>
      </w:r>
    </w:p>
    <w:p>
      <w:pPr>
        <w:pStyle w:val="DocBody"/>
      </w:pPr>
      <w:r>
        <w:rPr>
          <w:rFonts w:ascii="Times New Roman" w:hAnsi="Times New Roman" w:eastAsia="宋体"/>
          <w:sz w:val="24"/>
        </w:rPr>
        <w:t>For another, the power to remove at will was a necessary corollary of the Constitution’s design. The “unity” of the —————— 2Indeed, Washington himself was known to favor a capable, vigorous, and unified Executive Branch. See G. Phelps, George Washington and American Constitutionalism 56, 142–145 (1993).  Throughout the Revo­ lutionary War, he had complained about the “vital and inherent Princi­ ple of Delay . . . in transacting Business” through the Continental Con­ gress’s multimember executive committees, 3 Writings of George Washington 12 (W. Ford ed. 1889), which he felt led to “unpunishable Neglect of Duty,” id., at 34. Even in peacetime, he saw the Confederation Congress as “not only slow, debilitated, and liable to be thwarted by every breath, but . . . defective in that secrecy, which for the accomplish­ ment of many of the most important national purposes is indispensably necessary.”  29 id., at 153 (J. Fitzpatrick ed. 1939).  It is little wonder then, that the Convention created a powerful Presidency, one fit for Washington. As South Carolina delegate Pierce Butler put it, the Con­ vention’s members “cast their eyes towards General Washington as Pres­ ident; and shaped their Ideas of the Powers to be given to a President, by their opinions of his Virtue.”  3 Farrand’s Records 301–302.</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Executive Branch would be “destroyed,” Hamilton wrote, if it were vested “ostensibly in one man, subject in whole or in part to the control and co-operation of others, in the capac­ ity of counselors to him.”  Id., No. 70, at 424. But that is precisely what would occur if the President’s so-called as­ sistants could exercise his power against his wishes. Only if the President’s deputies were removable at will would they truly be “subordinate” to “the sole executive magis­ trate.” See id., No. 47, at 303 (J. Madison). And only then could the Constitution live up to James Iredell’s boast that “the President” would “be personally responsible for every­ thing.” Answers to Mr. Mason’s Objections to the New Con­ stitution (1788), in Pamphlets on the Constitution of the United States 348 (P. Ford ed. 1888); see also 1 Writings of James Monroe 331 (S. Hamilton ed. 1898) (“I would repose the whole trust of this department in one officer, so he alone should be responsible for all its transactions”). Text and structure thus both taught that the President had to be able to remove those who fail to live up to their duties, lest he fail to live up to his.</w:t>
      </w:r>
    </w:p>
    <w:p>
      <w:pPr>
        <w:pStyle w:val="DocBody"/>
      </w:pPr>
      <w:r>
        <w:rPr>
          <w:rFonts w:ascii="Times New Roman" w:hAnsi="Times New Roman" w:eastAsia="宋体"/>
          <w:sz w:val="24"/>
        </w:rPr>
        <w:t>This aspect of the President’s role was confirmed in the Constitution’s first year—and in the years that followed.</w:t>
      </w:r>
    </w:p>
    <w:p>
      <w:pPr>
        <w:pStyle w:val="DocBody"/>
      </w:pPr>
      <w:r>
        <w:rPr>
          <w:rFonts w:ascii="Times New Roman" w:hAnsi="Times New Roman" w:eastAsia="宋体"/>
          <w:sz w:val="24"/>
        </w:rPr>
        <w:t>The result was a “regular course of practice” that “liqui­ date[d] &amp; settle[d]” the President’s power of removal, 8 Writings of James Madison 450 (G. Hunt ed. 1908), a con­ struction followed by every branch of “the Genl. Govt, . . .</w:t>
      </w:r>
    </w:p>
    <w:p>
      <w:pPr>
        <w:pStyle w:val="DocBody"/>
      </w:pPr>
      <w:r>
        <w:rPr>
          <w:rFonts w:ascii="Times New Roman" w:hAnsi="Times New Roman" w:eastAsia="宋体"/>
          <w:sz w:val="24"/>
        </w:rPr>
        <w:t>thro all the vicissitudes of Party,” 9 id., at 333 (1910).  See also The Federalist No. 37, at 228–229 (J. Madison).</w:t>
      </w:r>
    </w:p>
    <w:p>
      <w:pPr>
        <w:pStyle w:val="DocBody"/>
      </w:pPr>
      <w:r>
        <w:rPr>
          <w:rFonts w:ascii="Times New Roman" w:hAnsi="Times New Roman" w:eastAsia="宋体"/>
          <w:sz w:val="24"/>
        </w:rPr>
        <w:t>That practice began in the First Congress.  When it first met in 1789, one of its first and most pressing tasks was to establish the first executive departments—and with them the first “Heads of Departments.” Art. II, §2, cl. 2.  In doing so, it debated how those officers should be removed.  Some felt that the Senate had to consent to all removals, as one</w:t>
      </w:r>
    </w:p>
    <w:p>
      <w:pPr>
        <w:pStyle w:val="DocBody"/>
      </w:pPr>
      <w:r>
        <w:rPr>
          <w:rFonts w:ascii="Times New Roman" w:hAnsi="Times New Roman" w:eastAsia="宋体"/>
          <w:sz w:val="24"/>
        </w:rPr>
        <w:t>TRUMP v. SLAUGHTER Opinion of the Court of the two entities that “appoint[ed]” the official in the first place. 1 Annals of Cong. 472–473 (Rep. Gerry).  Others ar­ gued that the Constitution was silent on the question, giv­ ing Congress the “right” to select whether an officer may be removed, and if so by whom—“the President, the President and Senate, or the Legislature, or any other person whom they might introduce into office, merely for that particular purpose.” Id., at 521 (Rep. Sedgwick). And a third group contended that removal was part of “the Executive power”</w:t>
      </w:r>
    </w:p>
    <w:p>
      <w:pPr>
        <w:pStyle w:val="DocBody"/>
      </w:pPr>
      <w:r>
        <w:rPr>
          <w:rFonts w:ascii="Times New Roman" w:hAnsi="Times New Roman" w:eastAsia="宋体"/>
          <w:sz w:val="24"/>
        </w:rPr>
        <w:t>vested in the President, which “the Legislature has no right to diminish or modify.”  Id., at 463 (Rep. Madison).</w:t>
      </w:r>
    </w:p>
    <w:p>
      <w:pPr>
        <w:pStyle w:val="DocBody"/>
      </w:pPr>
      <w:r>
        <w:rPr>
          <w:rFonts w:ascii="Times New Roman" w:hAnsi="Times New Roman" w:eastAsia="宋体"/>
          <w:sz w:val="24"/>
        </w:rPr>
        <w:t>By this point, the arguments made by the third group will sound familiar. Madison led the charge.  “I conceive that if any power whatsoever is in its nature Executive,” and thus vested in the President, “it is the power of appointing, over­ seeing, and controlling those who execute the laws.” Ibid.</w:t>
      </w:r>
    </w:p>
    <w:p>
      <w:pPr>
        <w:pStyle w:val="DocBody"/>
      </w:pPr>
      <w:r>
        <w:rPr>
          <w:rFonts w:ascii="Times New Roman" w:hAnsi="Times New Roman" w:eastAsia="宋体"/>
          <w:sz w:val="24"/>
        </w:rPr>
        <w:t>And if that is so, he explained, then the “power of removal from office” must follow.  Id., at 499.  For it is only with that power that “the chain of dependence [can] be preserved”— “the lowest officers, the middle grade, and the highest”</w:t>
      </w:r>
    </w:p>
    <w:p>
      <w:pPr>
        <w:pStyle w:val="DocBody"/>
      </w:pPr>
      <w:r>
        <w:rPr>
          <w:rFonts w:ascii="Times New Roman" w:hAnsi="Times New Roman" w:eastAsia="宋体"/>
          <w:sz w:val="24"/>
        </w:rPr>
        <w:t>made to “depend, as they ought, on the President, and the President on the community.”  Ibid.  Others agreed.  Some focused on text. “[T]he power of removal [is] an Executive power,” Representative George Clymer said, “and as such belong[s] to the President alone, by the express words of the Constitution.” Id., at 382.  Others focused on structure.</w:t>
      </w:r>
    </w:p>
    <w:p>
      <w:pPr>
        <w:pStyle w:val="DocBody"/>
      </w:pPr>
      <w:r>
        <w:rPr>
          <w:rFonts w:ascii="Times New Roman" w:hAnsi="Times New Roman" w:eastAsia="宋体"/>
          <w:sz w:val="24"/>
        </w:rPr>
        <w:t>“The Constitution places all Executive power in the hands of the President,” Representative Fisher Ames explained, “and could he personally execute all the laws, there would be no occasion for establishing auxiliaries.”  Id., at 474.</w:t>
      </w:r>
    </w:p>
    <w:p>
      <w:pPr>
        <w:pStyle w:val="DocBody"/>
      </w:pPr>
      <w:r>
        <w:rPr>
          <w:rFonts w:ascii="Times New Roman" w:hAnsi="Times New Roman" w:eastAsia="宋体"/>
          <w:sz w:val="24"/>
        </w:rPr>
        <w:t>“But in order that he may be responsible to his country,” he continued, “he must have a choice in selecting his assis­ tants, a control over them, with power to remove them when he finds the qualifications which induced their appointment cease to exist.” Ibid.</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The third group emerged victorious. They successfully convinced the House of Representatives to delete a clause in the draft bill that said that the Secretary of Foreign Af­ fairs was “to be removable by the President,” for such lan­ guage would “ha[ve] the appearance of conferring the power upon him” when in fact it was his all along. Id., at 505, 507 (Rep. Benson). What they favored instead—and what they got—was a new clause that assumed “the power of removal to be in the President,” so as to “establish a legislative con­ struction of the Constitution.” Id., at 578 (Rep. Benson).</w:t>
      </w:r>
    </w:p>
    <w:p>
      <w:pPr>
        <w:pStyle w:val="DocBody"/>
      </w:pPr>
      <w:r>
        <w:rPr>
          <w:rFonts w:ascii="Times New Roman" w:hAnsi="Times New Roman" w:eastAsia="宋体"/>
          <w:sz w:val="24"/>
        </w:rPr>
        <w:t>The bill as amended passed the House, and then the Sen­ ate, a feat that was repeated first with laws establishing the Department of War and then again with the Treasury.</w:t>
      </w:r>
    </w:p>
    <w:p>
      <w:pPr>
        <w:pStyle w:val="DocBody"/>
      </w:pPr>
      <w:r>
        <w:rPr>
          <w:rFonts w:ascii="Times New Roman" w:hAnsi="Times New Roman" w:eastAsia="宋体"/>
          <w:sz w:val="24"/>
        </w:rPr>
        <w:t>These statutes thus “implicitly endorsed the view that the President had a constitutional power to remove executive officers.” A. Bamzai &amp; S. Prakash, The Executive Power of Removal, 136 Harv. L. Rev. 1756, 1793 (2023) (Bamzai &amp; Prakash).</w:t>
      </w:r>
    </w:p>
    <w:p>
      <w:pPr>
        <w:pStyle w:val="DocBody"/>
      </w:pPr>
      <w:r>
        <w:rPr>
          <w:rFonts w:ascii="Times New Roman" w:hAnsi="Times New Roman" w:eastAsia="宋体"/>
          <w:sz w:val="24"/>
        </w:rPr>
        <w:t>Congress’s confirmation of the President’s power quickly took hold—and even gained fame as “the Decision of 1789.”</w:t>
      </w:r>
    </w:p>
    <w:p>
      <w:pPr>
        <w:pStyle w:val="DocBody"/>
      </w:pPr>
      <w:r>
        <w:rPr>
          <w:rFonts w:ascii="Times New Roman" w:hAnsi="Times New Roman" w:eastAsia="宋体"/>
          <w:sz w:val="24"/>
        </w:rPr>
        <w:t>“After very long debates,” Madison wrote to Jefferson, Con­ gress had endorsed the view that “the Executive function of removal” was “vested in the President,” a decision “most consonant to the text of the Constitution” and “to the requi­ site responsibility and harmony in the Executive Depart­ ment.” 16 Documentary History of the First Federal Con­ gress 893 (C. Bickford, K. Bowling, H. Veit, &amp; W.</w:t>
      </w:r>
    </w:p>
    <w:p>
      <w:pPr>
        <w:pStyle w:val="DocBody"/>
      </w:pPr>
      <w:r>
        <w:rPr>
          <w:rFonts w:ascii="Times New Roman" w:hAnsi="Times New Roman" w:eastAsia="宋体"/>
          <w:sz w:val="24"/>
        </w:rPr>
        <w:t>diGiacomantonio eds. 2004). Even those who opposed Con­ gress’s decision recognized that the decision had been made. Take Representative Richard Bland Lee, who had argued that the question of who may remove officers was up to “[t]he Legislature,” as it could “create and establish offices” as it saw fit.  1 Annals of Cong. 525.  After the bills had been enacted, Lee wrote that it “was determined in the affirmative” that the President “had, or ought to have, from a fair Construction of the constitution,” the power to remove</w:t>
      </w:r>
    </w:p>
    <w:p>
      <w:pPr>
        <w:pStyle w:val="DocBody"/>
      </w:pPr>
      <w:r>
        <w:rPr>
          <w:rFonts w:ascii="Times New Roman" w:hAnsi="Times New Roman" w:eastAsia="宋体"/>
          <w:sz w:val="24"/>
        </w:rPr>
        <w:t>TRUMP v. SLAUGHTER Opinion of the Court his own appointees. 16 Documentary History of the First Federal Congress, at 866–867. And even those far removed from the debates saw the issue as settled, including Chief Justice Marshall, see 5 J. Marshall, The Life of George Washington 199–200 (1807) (Marshall) (the decision was “a full expression of the sense of the legislature”), Chancellor Kent, see 1 J. Kent, Commentaries on American Law 289– 290 (1826) (the decision “firmly and definitively settled” the matter), and Justice Story, 3 J. Story, Commentaries on the Constitution of the United States §1537, p. 395 (1833)</w:t>
      </w:r>
    </w:p>
    <w:p>
      <w:pPr>
        <w:pStyle w:val="DocBody"/>
      </w:pPr>
      <w:r>
        <w:rPr>
          <w:rFonts w:ascii="Times New Roman" w:hAnsi="Times New Roman" w:eastAsia="宋体"/>
          <w:sz w:val="24"/>
        </w:rPr>
        <w:t>(Story) (expressing doubts about the decision from first principles, but noting that “[t]he public . . . acquiesced in this decision” and that it “has not been questioned on many other occasions”).</w:t>
      </w:r>
    </w:p>
    <w:p>
      <w:pPr>
        <w:pStyle w:val="DocBody"/>
      </w:pPr>
      <w:r>
        <w:rPr>
          <w:rFonts w:ascii="Times New Roman" w:hAnsi="Times New Roman" w:eastAsia="宋体"/>
          <w:sz w:val="24"/>
        </w:rPr>
        <w:t>Early Presidents of all persuasions, too, hewed to the De­ cision of 1789.  Washington saw it as his “indispensable duty” to remove officers who failed to live up to his expecta­ tions. 36 Writings of George Washington 216 (1941). His Cabinet agreed, taking the stance that the ability to “re­ move from office” was “an essential attribute of Executive Power.” 20 Papers of George Washington: Presidential Se­ ries 355, 357, n. 2 (D. Hoth &amp; W. Ferraro eds. 2019).  The first President Adams said the same.  See 20 Papers of John Adams 150–151 (S. Georgini et al. eds. 2020) (noting his support for “the President[’s] Power of Removal, according to the Constitution”). So did Jefferson. See 4 Papers of Thomas Jefferson, at 281 (the power to “remov[e] executive officers [is] inherent in [the] Executive”).  So did Madison.</w:t>
      </w:r>
    </w:p>
    <w:p>
      <w:pPr>
        <w:pStyle w:val="DocBody"/>
      </w:pPr>
      <w:r>
        <w:rPr>
          <w:rFonts w:ascii="Times New Roman" w:hAnsi="Times New Roman" w:eastAsia="宋体"/>
          <w:sz w:val="24"/>
        </w:rPr>
        <w:t>See 2 Papers of James Madison 192 (D. Mattern, J. Stagg, M. Johnson, &amp; A. Colony eds. 2013) (one of the “[c]onstitu­ tional attributes of the Executive” is to determine “[t]he tenure of the office” of subordinates).  So did Monroe, along with the second President Adams.  7 Memoirs of John Quincy Adams 424–425 (C. Adams ed. 1875) (citing Monroe for the view that “the tenure of all subordinate executive Offices” is “necessarily the pleasure of the chief by whom</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they were commissioned,” and agreeing with “the principle established by Mr Monroe”).</w:t>
      </w:r>
    </w:p>
    <w:p>
      <w:pPr>
        <w:pStyle w:val="DocBody"/>
      </w:pPr>
      <w:r>
        <w:rPr>
          <w:rFonts w:ascii="Times New Roman" w:hAnsi="Times New Roman" w:eastAsia="宋体"/>
          <w:sz w:val="24"/>
        </w:rPr>
        <w:t>And so did Jackson—much to Congress’s dismay.  Unlike his predecessors, who (except for Jefferson) utilized their removal power sparingly, Jackson fired hundreds “of subor­ dinates for personal and partisan reasons.”  L. White, The Jacksonians: A Study in Administrative History, 1829– 1861, p. 33 (1954) (White); see also id., at 307–308. But even Jackson’s most vehement critics acknowledged that he had the power to do as he pleased.  “I consider it . . . a set­ tled point,” Senator Daniel Webster said, “settled by con­ struction, settled by precedent, settled by the practice of the Government, and settled by statute.” 11 Cong. Deb. 461 (1835). When Webster tried to unsettle the Decision of 1789 through new legislation, the effort failed, only further ce­ menting the President’s power.  See White 41–44. As Web- ster—still in the Senate—put it 15 years later:</w:t>
      </w:r>
    </w:p>
    <w:p>
      <w:pPr>
        <w:pStyle w:val="DocBody"/>
      </w:pPr>
      <w:r>
        <w:rPr>
          <w:rFonts w:ascii="Times New Roman" w:hAnsi="Times New Roman" w:eastAsia="宋体"/>
          <w:sz w:val="24"/>
        </w:rPr>
        <w:t>“[S]ince the practice has become a settled practice, since every Administration has indulged in it, and since it must now be considered, as the legal construc­ tion of the Constitution, . . . it follows . . . that this power, thus legally vested in the President, must be ex­ ercised by him as independently of our control as any other power that is to be exercised by him under the Constitution.” Cong. Globe, 31st Cong., 1st Sess., 1126 (1850).</w:t>
      </w:r>
    </w:p>
    <w:p>
      <w:pPr>
        <w:pStyle w:val="DocBody"/>
      </w:pPr>
      <w:r>
        <w:rPr>
          <w:rFonts w:ascii="Times New Roman" w:hAnsi="Times New Roman" w:eastAsia="宋体"/>
          <w:sz w:val="24"/>
        </w:rPr>
        <w:t>B What text, history, and structure settle, our precedent confirms—the President may remove his subordinates at will.</w:t>
      </w:r>
    </w:p>
    <w:p>
      <w:pPr>
        <w:pStyle w:val="DocBody"/>
      </w:pPr>
      <w:r>
        <w:rPr>
          <w:rFonts w:ascii="Times New Roman" w:hAnsi="Times New Roman" w:eastAsia="宋体"/>
          <w:sz w:val="24"/>
        </w:rPr>
        <w:t>Twice in the 19th century, we reaffirmed what the First Congress had held. The text of the Constitution “is silent with respect to the power of removal from office,” we noted</w:t>
      </w:r>
    </w:p>
    <w:p>
      <w:pPr>
        <w:pStyle w:val="DocBody"/>
      </w:pPr>
      <w:r>
        <w:rPr>
          <w:rFonts w:ascii="Times New Roman" w:hAnsi="Times New Roman" w:eastAsia="宋体"/>
          <w:sz w:val="24"/>
        </w:rPr>
        <w:t>TRUMP v. SLAUGHTER Opinion of the Court in our first case on the subject. Ex parte Hennen, 13 Pet.</w:t>
      </w:r>
    </w:p>
    <w:p>
      <w:pPr>
        <w:pStyle w:val="DocBody"/>
      </w:pPr>
      <w:r>
        <w:rPr>
          <w:rFonts w:ascii="Times New Roman" w:hAnsi="Times New Roman" w:eastAsia="宋体"/>
          <w:sz w:val="24"/>
        </w:rPr>
        <w:t>230, 258 (1839). But “it was very early adopted, as the prac­ tical construction of the Constitution,” that the power “to remove, where the tenure of the office was not fixed by the Constitution,” was “vested in the President alone.”  Id., at</w:t>
      </w:r>
    </w:p>
    <w:p>
      <w:pPr>
        <w:pStyle w:val="DocBody"/>
        <w:ind w:left="765"/>
      </w:pPr>
      <w:r>
        <w:rPr>
          <w:rFonts w:ascii="Times New Roman" w:hAnsi="Times New Roman" w:eastAsia="宋体"/>
          <w:sz w:val="24"/>
        </w:rPr>
        <w:t>“And such would appear to have been the legislative construction of the Constitution” too, given “the organiza­ tion of the three great departments” “in the year 1789.”</w:t>
      </w:r>
    </w:p>
    <w:p>
      <w:pPr>
        <w:pStyle w:val="DocBody"/>
      </w:pPr>
      <w:r>
        <w:rPr>
          <w:rFonts w:ascii="Times New Roman" w:hAnsi="Times New Roman" w:eastAsia="宋体"/>
          <w:sz w:val="24"/>
        </w:rPr>
        <w:t>Ibid. Our second case was of a piece. “[T]he decision of Congress in 1789, and the universal practice of the Govern­ ment under it,” we explained, “ha[s] settled the question be­ yond any power of alteration.”  Parsons v. United States, 167 U. S. 324, 330 (1897).</w:t>
      </w:r>
    </w:p>
    <w:p>
      <w:pPr>
        <w:pStyle w:val="DocBody"/>
      </w:pPr>
      <w:r>
        <w:rPr>
          <w:rFonts w:ascii="Times New Roman" w:hAnsi="Times New Roman" w:eastAsia="宋体"/>
          <w:sz w:val="24"/>
        </w:rPr>
        <w:t>Our landmark decision, however, came 100 years ago in Myers v. United States, 272 U. S. 52.  That case arose from an unlikely source—a dispute over management of the post office in Portland, Oregon. See id., at 106.  Under an 1876 statute, the President had to receive the “advice and con­ sent of the Senate” not only to appoint postmasters but also to remove them. §6, 19 Stat. 80.  For reasons that are now lost to history, President Wilson fired Portland’s postmas­ ter, Frank Myers, and did so without the Senate’s consent.</w:t>
      </w:r>
    </w:p>
    <w:p>
      <w:pPr>
        <w:pStyle w:val="DocBody"/>
      </w:pPr>
      <w:r>
        <w:rPr>
          <w:rFonts w:ascii="Times New Roman" w:hAnsi="Times New Roman" w:eastAsia="宋体"/>
          <w:sz w:val="24"/>
        </w:rPr>
        <w:t>272 U. S., at 106–107.  Myers sued for backpay. See id., at 106.</w:t>
      </w:r>
    </w:p>
    <w:p>
      <w:pPr>
        <w:pStyle w:val="DocBody"/>
      </w:pPr>
      <w:r>
        <w:rPr>
          <w:rFonts w:ascii="Times New Roman" w:hAnsi="Times New Roman" w:eastAsia="宋体"/>
          <w:sz w:val="24"/>
        </w:rPr>
        <w:t>In a scholarly opinion, Chief Justice Taft rejected Myers’s suit and reaffirmed the President’s power to fire his subor­ dinates at will. That power arose, he wrote for the Court, from the Constitution’s text, history, and structure, just as the First Congress had held in 1789.  See id., at 136.  “The vesting of the executive power in the President was essen­ tially a grant of the power to execute the laws,” Chief Jus­ tice Taft explained.  Id., at 117. “As he is charged specifi­ cally to take care that [the laws] be faithfully executed, the reasonable implication,” he continued, “was that as part of his executive power” he must be able to “remov[e] those for whom he can not continue to be responsible.” Ibid. “Mr.</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Madison and his associates” made this same point, the Chief Justice noted, and they “dwelt at length upon the ne­ cessity there was for construing Article II to give the Presi­ dent the sole power of removal in his responsibility for the conduct of the executive branch.” Ibid.</w:t>
      </w:r>
    </w:p>
    <w:p>
      <w:pPr>
        <w:pStyle w:val="DocBody"/>
      </w:pPr>
      <w:r>
        <w:rPr>
          <w:rFonts w:ascii="Times New Roman" w:hAnsi="Times New Roman" w:eastAsia="宋体"/>
          <w:sz w:val="24"/>
        </w:rPr>
        <w:t>But Chief Justice Taft emphasized that it was not just the First Congress that had come to this conclusion.  The First Congress supplied “a precedent upon which many fu­ ture laws . . . would be based”—and if it had erred, the next Congresses would have “dissent[ed] and depart[ed]” from its view. Id., at 136. Quite the opposite occurred, the Chief Justice explained. The Decision of 1789 “was soon accepted as a final decision of the question by all branches of the Gov­ ernment.” Ibid.  For “74 years, there was no act of Con­ gress, no executive act, and no decision of this Court at var­ iance with the declaration of the First Congress.”  Id., at 163.</w:t>
      </w:r>
    </w:p>
    <w:p>
      <w:pPr>
        <w:pStyle w:val="DocBody"/>
      </w:pPr>
      <w:r>
        <w:rPr>
          <w:rFonts w:ascii="Times New Roman" w:hAnsi="Times New Roman" w:eastAsia="宋体"/>
          <w:sz w:val="24"/>
        </w:rPr>
        <w:t>In the wake of the Civil War, Chief Justice Taft noted, Congress sought to “reverse this constitutional construc­ tion”—but in the end only confirmed it. Id., at 164. “This reversal grew out of the serious political differences” be­ tween President Johnson—a Jacksonian Democrat—and congressional Republicans, who boasted “a two-thirds ma­ jority” in both Houses of Congress. Id., at 165. Over John­ son’s veto, Congress sought to “curtail the then acknowl­ edged powers of the President” with the Tenure of Office Act, which required him to receive the Senate’s consent be­ fore firing most officers. Id., at 165–166.</w:t>
      </w:r>
    </w:p>
    <w:p>
      <w:pPr>
        <w:pStyle w:val="DocBody"/>
      </w:pPr>
      <w:r>
        <w:rPr>
          <w:rFonts w:ascii="Times New Roman" w:hAnsi="Times New Roman" w:eastAsia="宋体"/>
          <w:sz w:val="24"/>
        </w:rPr>
        <w:t>“[T]he injury and invalidity” of the law was “immediately recognized by the Executive and objected to”—and not just by Johnson. Id., at 167.  “General Grant, succeeding Mr.</w:t>
      </w:r>
    </w:p>
    <w:p>
      <w:pPr>
        <w:pStyle w:val="DocBody"/>
      </w:pPr>
      <w:r>
        <w:rPr>
          <w:rFonts w:ascii="Times New Roman" w:hAnsi="Times New Roman" w:eastAsia="宋体"/>
          <w:sz w:val="24"/>
        </w:rPr>
        <w:t>Johnson in the Presidency”—and no fan of Johnson or his program—“earnestly recommended in his first message the total repeal” of the law. Id., at 167–168.  “What faith can an Executive put in officials forced upon him?” Grant asked.</w:t>
      </w:r>
    </w:p>
    <w:p>
      <w:pPr>
        <w:pStyle w:val="DocBody"/>
      </w:pPr>
      <w:r>
        <w:rPr>
          <w:rFonts w:ascii="Times New Roman" w:hAnsi="Times New Roman" w:eastAsia="宋体"/>
          <w:sz w:val="24"/>
        </w:rPr>
        <w:t>Id., at 168.  “How will such officials be likely to serve an</w:t>
      </w:r>
    </w:p>
    <w:p>
      <w:pPr>
        <w:pStyle w:val="DocBody"/>
      </w:pPr>
      <w:r>
        <w:rPr>
          <w:rFonts w:ascii="Times New Roman" w:hAnsi="Times New Roman" w:eastAsia="宋体"/>
          <w:sz w:val="24"/>
        </w:rPr>
        <w:t>TRUMP v. SLAUGHTER Opinion of the Court Administration which they know does not trust them?”</w:t>
      </w:r>
    </w:p>
    <w:p>
      <w:pPr>
        <w:pStyle w:val="DocBody"/>
      </w:pPr>
      <w:r>
        <w:rPr>
          <w:rFonts w:ascii="Times New Roman" w:hAnsi="Times New Roman" w:eastAsia="宋体"/>
          <w:sz w:val="24"/>
        </w:rPr>
        <w:t>Ibid.  Despite Grant’s efforts, “[t]he feeling growing out of the controversy with President Johnson retained the act on the statute book”—and led to one other such law, the one for postmasters at issue in that very case—“until 1887,”</w:t>
      </w:r>
    </w:p>
    <w:p>
      <w:pPr>
        <w:pStyle w:val="DocBody"/>
      </w:pPr>
      <w:r>
        <w:rPr>
          <w:rFonts w:ascii="Times New Roman" w:hAnsi="Times New Roman" w:eastAsia="宋体"/>
          <w:sz w:val="24"/>
        </w:rPr>
        <w:t>when the Tenure in Office Act was repealed.  Ibid.</w:t>
      </w:r>
    </w:p>
    <w:p>
      <w:pPr>
        <w:pStyle w:val="DocBody"/>
      </w:pPr>
      <w:r>
        <w:rPr>
          <w:rFonts w:ascii="Times New Roman" w:hAnsi="Times New Roman" w:eastAsia="宋体"/>
          <w:sz w:val="24"/>
        </w:rPr>
        <w:t>What these events revealed, Chief Justice Taft wrote, was not Presidential “acquiescence” but resistance, a con­ sistent rejection of “the validity of such legislation” as in­ compatible with “the legislative action of 1789.”  Id., at 172–</w:t>
      </w:r>
    </w:p>
    <w:p>
      <w:pPr>
        <w:pStyle w:val="DocBody"/>
        <w:ind w:left="765"/>
      </w:pPr>
      <w:r>
        <w:rPr>
          <w:rFonts w:ascii="Times New Roman" w:hAnsi="Times New Roman" w:eastAsia="宋体"/>
          <w:sz w:val="24"/>
        </w:rPr>
        <w:t>At issue in Myers, then, as the Chief Justice saw it, was whether “to set aside” the First Congress’s “construc­ tion, thus buttressed, and adopt an adverse view,” contrary to the Constitution’s text, history, and structure.  Id., at</w:t>
      </w:r>
    </w:p>
    <w:p>
      <w:pPr>
        <w:pStyle w:val="DocBody"/>
        <w:ind w:left="765"/>
      </w:pPr>
      <w:r>
        <w:rPr>
          <w:rFonts w:ascii="Times New Roman" w:hAnsi="Times New Roman" w:eastAsia="宋体"/>
          <w:sz w:val="24"/>
        </w:rPr>
        <w:t>The Court refused to do so.  It hewed instead to the “constitutional construction . . . reached by the First Con­ gress of the United States . . . and acquiesced in by the whole Government for three-quarters of a century.”  Id., at</w:t>
      </w:r>
    </w:p>
    <w:p>
      <w:pPr>
        <w:pStyle w:val="DocBody"/>
        <w:ind w:left="765"/>
      </w:pPr>
      <w:r>
        <w:rPr>
          <w:rFonts w:ascii="Times New Roman" w:hAnsi="Times New Roman" w:eastAsia="宋体"/>
          <w:sz w:val="24"/>
        </w:rPr>
        <w:t>Any law to the contrary, the Court concluded, was “in violation of the Constitution, and invalid.”  Ibid.</w:t>
      </w:r>
    </w:p>
    <w:p>
      <w:pPr>
        <w:pStyle w:val="DocBody"/>
      </w:pPr>
      <w:r>
        <w:rPr>
          <w:rFonts w:ascii="Times New Roman" w:hAnsi="Times New Roman" w:eastAsia="宋体"/>
          <w:sz w:val="24"/>
        </w:rPr>
        <w:t>While Myers was perhaps our best word on the subject, it was not our last.</w:t>
      </w:r>
    </w:p>
    <w:p>
      <w:pPr>
        <w:pStyle w:val="DocBody"/>
      </w:pPr>
      <w:r>
        <w:rPr>
          <w:rFonts w:ascii="Times New Roman" w:hAnsi="Times New Roman" w:eastAsia="宋体"/>
          <w:sz w:val="24"/>
        </w:rPr>
        <w:t>a Just nine years after Myers, we handed down Humphrey’s Executor, 295 U. S. 602.  The case arose out of President Roosevelt’s decision to fire one of President Hoover’s ap­ pointees to the Federal Trade Commission, William Humphrey, two years into Humphrey’s seven-year term.</w:t>
      </w:r>
    </w:p>
    <w:p>
      <w:pPr>
        <w:pStyle w:val="DocBody"/>
      </w:pPr>
      <w:r>
        <w:rPr>
          <w:rFonts w:ascii="Times New Roman" w:hAnsi="Times New Roman" w:eastAsia="宋体"/>
          <w:sz w:val="24"/>
        </w:rPr>
        <w:t>Humphrey lauded Hoover “as the foremost figure of the world,” a man who fought back against “the demagogue, the fanatic, the reformer, and the fool.” Washington, D. C., Evening Star, Mar. 11, 1932, p. D11, col. 8.  On the Com­ mission, Humphrey sought to do the same. He often spoke</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to the press, and described the FTC variously as “a publicity bureau” used “to spread Socialistic propaganda,” Boston Globe, Dec. 14, 1926, p. 5, cols. 3–4, a “bureaucracy gone insane,” N. Y. Times, Feb. 3, 1929, p. 19, col. 1, and “an in­ strument of oppression and disturbance and injury,” Or­ lando Evening Star, Jan. 7, 1931, p. 3, col. 3.  Roosevelt saw matters differently, and requested Humphrey’s resigna­ tion. Humphrey refused, so Roosevelt fired him in a one- line letter that did not specify a cause for his removal— seemingly contrary to a statute permitting removal of Com­ missioners only for “inefficiency, neglect of duty, or malfea­ sance in office.”  §1, 38 Stat. 718.  Humphrey died soon thereafter, and the executor of his estate sued for backpay.</w:t>
      </w:r>
    </w:p>
    <w:p>
      <w:pPr>
        <w:pStyle w:val="DocBody"/>
      </w:pPr>
      <w:r>
        <w:rPr>
          <w:rFonts w:ascii="Times New Roman" w:hAnsi="Times New Roman" w:eastAsia="宋体"/>
          <w:sz w:val="24"/>
        </w:rPr>
        <w:t>See 295 U. S., at 618–619.</w:t>
      </w:r>
    </w:p>
    <w:p>
      <w:pPr>
        <w:pStyle w:val="DocBody"/>
      </w:pPr>
      <w:r>
        <w:rPr>
          <w:rFonts w:ascii="Times New Roman" w:hAnsi="Times New Roman" w:eastAsia="宋体"/>
          <w:sz w:val="24"/>
        </w:rPr>
        <w:t>On a day that New Dealers would dub “Black Monday,”</w:t>
      </w:r>
    </w:p>
    <w:p>
      <w:pPr>
        <w:pStyle w:val="DocBody"/>
      </w:pPr>
      <w:r>
        <w:rPr>
          <w:rFonts w:ascii="Times New Roman" w:hAnsi="Times New Roman" w:eastAsia="宋体"/>
          <w:sz w:val="24"/>
        </w:rPr>
        <w:t>the Court ruled unanimously against the President—as it did in two other cases decided that same day, A. L. A.</w:t>
      </w:r>
    </w:p>
    <w:p>
      <w:pPr>
        <w:pStyle w:val="DocBody"/>
      </w:pPr>
      <w:r>
        <w:rPr>
          <w:rFonts w:ascii="Times New Roman" w:hAnsi="Times New Roman" w:eastAsia="宋体"/>
          <w:sz w:val="24"/>
        </w:rPr>
        <w:t>Schechter Poultry Corp. v. United States, 295 U. S. 495 (1935), and Louisville Joint Stock Land Bank v. Radford, 295 U. S. 555 (1935).  See A. Schlesinger, The Politics of Upheaval 279–290 (1960).  Schechter and Radford were quite a blow to the President, invalidating aspects of his signature legislation. Schechter found an unconstitutional delegation of legislative power in a statute that gave the President free rein to prescribe “standards of fair competi­ tion” business was obliged to follow. 295 U. S., at 534, 542.</w:t>
      </w:r>
    </w:p>
    <w:p>
      <w:pPr>
        <w:pStyle w:val="DocBody"/>
      </w:pPr>
      <w:r>
        <w:rPr>
          <w:rFonts w:ascii="Times New Roman" w:hAnsi="Times New Roman" w:eastAsia="宋体"/>
          <w:sz w:val="24"/>
        </w:rPr>
        <w:t>And Radford found a violation of the Takings Clause in a statute that allowed farmers who defaulted on their mort­ gages to retain possession of their property for years on end.</w:t>
      </w:r>
    </w:p>
    <w:p>
      <w:pPr>
        <w:pStyle w:val="DocBody"/>
      </w:pPr>
      <w:r>
        <w:rPr>
          <w:rFonts w:ascii="Times New Roman" w:hAnsi="Times New Roman" w:eastAsia="宋体"/>
          <w:sz w:val="24"/>
        </w:rPr>
        <w:t>295 U. S., at 575–576, 601–602.</w:t>
      </w:r>
    </w:p>
    <w:p>
      <w:pPr>
        <w:pStyle w:val="DocBody"/>
      </w:pPr>
      <w:r>
        <w:rPr>
          <w:rFonts w:ascii="Times New Roman" w:hAnsi="Times New Roman" w:eastAsia="宋体"/>
          <w:sz w:val="24"/>
        </w:rPr>
        <w:t>Having to contend with Myers, Humphrey’s said far less.</w:t>
      </w:r>
    </w:p>
    <w:p>
      <w:pPr>
        <w:pStyle w:val="DocBody"/>
      </w:pPr>
      <w:r>
        <w:rPr>
          <w:rFonts w:ascii="Times New Roman" w:hAnsi="Times New Roman" w:eastAsia="宋体"/>
          <w:sz w:val="24"/>
        </w:rPr>
        <w:t>Justice Sutherland, writing for the Court, started by reaf­ firming that the President possesses “the exclusive and il­ limitable power” to remove “all purely executive officers,”</w:t>
      </w:r>
    </w:p>
    <w:p>
      <w:pPr>
        <w:pStyle w:val="DocBody"/>
      </w:pPr>
      <w:r>
        <w:rPr>
          <w:rFonts w:ascii="Times New Roman" w:hAnsi="Times New Roman" w:eastAsia="宋体"/>
          <w:sz w:val="24"/>
        </w:rPr>
        <w:t>just as Myers held. 295 U. S., at 627–628.  He then pivoted.</w:t>
      </w:r>
    </w:p>
    <w:p>
      <w:pPr>
        <w:pStyle w:val="DocBody"/>
      </w:pPr>
      <w:r>
        <w:rPr>
          <w:rFonts w:ascii="Times New Roman" w:hAnsi="Times New Roman" w:eastAsia="宋体"/>
          <w:sz w:val="24"/>
        </w:rPr>
        <w:t>There are some presidentially appointed officials, he</w:t>
      </w:r>
    </w:p>
    <w:p>
      <w:pPr>
        <w:pStyle w:val="DocBody"/>
      </w:pPr>
      <w:r>
        <w:rPr>
          <w:rFonts w:ascii="Times New Roman" w:hAnsi="Times New Roman" w:eastAsia="宋体"/>
          <w:sz w:val="24"/>
        </w:rPr>
        <w:t>TRUMP v. SLAUGHTER Opinion of the Court explained, who may perform “executive function[s]” but ex­ ercise “no part of the executive power.” Id., at 628.  And for those officials, “the decision in the Myers case cannot be ac­ cepted as controlling.” Id., at 627.</w:t>
      </w:r>
    </w:p>
    <w:p>
      <w:pPr>
        <w:pStyle w:val="DocBody"/>
      </w:pPr>
      <w:r>
        <w:rPr>
          <w:rFonts w:ascii="Times New Roman" w:hAnsi="Times New Roman" w:eastAsia="宋体"/>
          <w:sz w:val="24"/>
        </w:rPr>
        <w:t>The Court held that William Humphrey was one such of­ ficial. That was because the FTC’s duties were very lim­ ited—they were “neither political nor executive, but pre­ dominantly quasi-judicial and quasi-legislative.”  Id., at</w:t>
      </w:r>
    </w:p>
    <w:p>
      <w:pPr>
        <w:pStyle w:val="DocBody"/>
        <w:ind w:left="765"/>
      </w:pPr>
      <w:r>
        <w:rPr>
          <w:rFonts w:ascii="Times New Roman" w:hAnsi="Times New Roman" w:eastAsia="宋体"/>
          <w:sz w:val="24"/>
        </w:rPr>
        <w:t>When courts requested the FTC’s help as a “master in chancery” to recommend appropriate remedies in antitrust litigation, for instance, it acted solely as a judicial aid.  Id., at 628. When Congress requested the FTC’s help to “mak[e] investigations and reports” on certain topics, it acted solely as a legislative aid.  Ibid. And when it brought (and adju­ dicated) charges against corporations it suspected of using “unfair methods of competition” in commerce, it acted “in part quasi-legislatively and in part quasi-judicially.” Ibid.</w:t>
      </w:r>
    </w:p>
    <w:p>
      <w:pPr>
        <w:pStyle w:val="DocBody"/>
      </w:pPr>
      <w:r>
        <w:rPr>
          <w:rFonts w:ascii="Times New Roman" w:hAnsi="Times New Roman" w:eastAsia="宋体"/>
          <w:sz w:val="24"/>
        </w:rPr>
        <w:t>Because these quasi functions did not require the use of “ex­ ecutive power,” Justice Sutherland reasoned, Humphrey needed to answer only to Congress and the courts. Ibid.</w:t>
      </w:r>
    </w:p>
    <w:p>
      <w:pPr>
        <w:pStyle w:val="DocBody"/>
      </w:pPr>
      <w:r>
        <w:rPr>
          <w:rFonts w:ascii="Times New Roman" w:hAnsi="Times New Roman" w:eastAsia="宋体"/>
          <w:sz w:val="24"/>
        </w:rPr>
        <w:t>Although the President may be the “master in his own house,” he warned, he may not “impos[e] his control in the house of another.”  Id., at 630.</w:t>
      </w:r>
    </w:p>
    <w:p>
      <w:pPr>
        <w:pStyle w:val="DocBody"/>
      </w:pPr>
      <w:r>
        <w:rPr>
          <w:rFonts w:ascii="Times New Roman" w:hAnsi="Times New Roman" w:eastAsia="宋体"/>
          <w:sz w:val="24"/>
        </w:rPr>
        <w:t>b From the start, Humphrey’s was tethered to a highly cir­ cumscribed and almost fictional view of the FTC’s role.</w:t>
      </w:r>
    </w:p>
    <w:p>
      <w:pPr>
        <w:pStyle w:val="DocBody"/>
      </w:pPr>
      <w:r>
        <w:rPr>
          <w:rFonts w:ascii="Times New Roman" w:hAnsi="Times New Roman" w:eastAsia="宋体"/>
          <w:sz w:val="24"/>
        </w:rPr>
        <w:t>Humphrey’s by its terms applied only to agencies that oc­ cupy “no place in the executive department,” are “independ­ ent of executive authority,” and exercise “no part of the ex­ ecutive power.” Id., at 625, 628.  Indeed, Justice Sutherland took pains to emphasize that “the character of the office”— executive or nonexecutive—would determine the result of future cases, and to reiterate that the Court’s decision was limited “to officers of the kind here under consideration.”</w:t>
      </w:r>
    </w:p>
    <w:p>
      <w:pPr>
        <w:pStyle w:val="DocBody"/>
      </w:pPr>
      <w:r>
        <w:rPr>
          <w:rFonts w:ascii="Times New Roman" w:hAnsi="Times New Roman" w:eastAsia="宋体"/>
          <w:sz w:val="24"/>
        </w:rPr>
        <w:t>Id., at 631–632.</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In later cases, although Humphrey’s announced dividing line remained intact, more and more functions, we con­ cluded, in fact fell on the executive side of that line—and thus within the President’s exclusive control.</w:t>
      </w:r>
    </w:p>
    <w:p>
      <w:pPr>
        <w:pStyle w:val="DocBody"/>
      </w:pPr>
      <w:r>
        <w:rPr>
          <w:rFonts w:ascii="Times New Roman" w:hAnsi="Times New Roman" w:eastAsia="宋体"/>
          <w:sz w:val="24"/>
        </w:rPr>
        <w:t>Where Humphrey’s suggested that the power to enforce the law against particular parties could be merely “quasi-judicial,”</w:t>
      </w:r>
    </w:p>
    <w:p>
      <w:pPr>
        <w:pStyle w:val="DocBody"/>
      </w:pPr>
      <w:r>
        <w:rPr>
          <w:rFonts w:ascii="Times New Roman" w:hAnsi="Times New Roman" w:eastAsia="宋体"/>
          <w:sz w:val="24"/>
        </w:rPr>
        <w:t>or “in aid” of federal courts, see id., at 628, we held the op­ posite. “A lawsuit is the ultimate remedy for a breach of the law,” we explained in 1976, “and it is to the President, and not to the Congress, that the Constitution entrusts the re­ sponsibility to ‘take Care that the Laws be faithfully exe­ cuted.’”  Buckley v. Valeo, 424 U. S. 1, 138 (per curiam)</w:t>
      </w:r>
    </w:p>
    <w:p>
      <w:pPr>
        <w:pStyle w:val="DocBody"/>
      </w:pPr>
      <w:r>
        <w:rPr>
          <w:rFonts w:ascii="Times New Roman" w:hAnsi="Times New Roman" w:eastAsia="宋体"/>
          <w:sz w:val="24"/>
        </w:rPr>
        <w:t>(quoting Art. II, §3). And where Humphrey’s suggested that the power to “fill[] in” “the details” of a “general standard”</w:t>
      </w:r>
    </w:p>
    <w:p>
      <w:pPr>
        <w:pStyle w:val="DocBody"/>
      </w:pPr>
      <w:r>
        <w:rPr>
          <w:rFonts w:ascii="Times New Roman" w:hAnsi="Times New Roman" w:eastAsia="宋体"/>
          <w:sz w:val="24"/>
        </w:rPr>
        <w:t>could be merely “quasi-legislative,” or “in aid” of Congress, 295 U. S., at 628, we again held the opposite.  Although “some administrative agency action . . . may resemble ‘law­ making,’” we explained in 1983, when an agency exercises “legislatively delegated authority” to regulate private con­ duct, it exercises “[e]xecutive” power.  INS v. Chadha, 462 U. S. 919, 953, n. 16; see also Bowsher v. Synar, 478 U. S.</w:t>
      </w:r>
    </w:p>
    <w:p>
      <w:pPr>
        <w:pStyle w:val="DocBody"/>
      </w:pPr>
      <w:r>
        <w:rPr>
          <w:rFonts w:ascii="Times New Roman" w:hAnsi="Times New Roman" w:eastAsia="宋体"/>
          <w:sz w:val="24"/>
        </w:rPr>
        <w:t>714, 733 (1986) (“Interpreting a law enacted by Congress to implement the legislative mandate is the very essence of ‘execution’ of the law.”).</w:t>
      </w:r>
    </w:p>
    <w:p>
      <w:pPr>
        <w:pStyle w:val="DocBody"/>
      </w:pPr>
      <w:r>
        <w:rPr>
          <w:rFonts w:ascii="Times New Roman" w:hAnsi="Times New Roman" w:eastAsia="宋体"/>
          <w:sz w:val="24"/>
        </w:rPr>
        <w:t>Soon enough, we recognized that Humphrey’s flunked even its own test. “[I]t is hard to dispute that the powers of the FTC,” even “at the time of Humphrey’s Executor,” we explained in 1988, “would at the present time be considered ‘executive,’ at least to some degree.”  Morrison v. Olson, 487 U. S. 654, 690, n. 28. Not one for understatement, Justice Scalia observed in dissent that the Court had “swept”</w:t>
      </w:r>
    </w:p>
    <w:p>
      <w:pPr>
        <w:pStyle w:val="DocBody"/>
      </w:pPr>
      <w:r>
        <w:rPr>
          <w:rFonts w:ascii="Times New Roman" w:hAnsi="Times New Roman" w:eastAsia="宋体"/>
          <w:sz w:val="24"/>
        </w:rPr>
        <w:t>Humphrey’s “into the dustbin of repudiated constitutional principles.” 487 U. S., at 725.  The Court put the matter more delicately, but no less definitively.  “We undoubtedly did rely on the terms ‘quasi-legislative’ and ‘quasi-judicial’”</w:t>
      </w:r>
    </w:p>
    <w:p>
      <w:pPr>
        <w:pStyle w:val="DocBody"/>
      </w:pPr>
      <w:r>
        <w:rPr>
          <w:rFonts w:ascii="Times New Roman" w:hAnsi="Times New Roman" w:eastAsia="宋体"/>
          <w:sz w:val="24"/>
        </w:rPr>
        <w:t>in Humphrey’s, the Court noted, “but our present</w:t>
      </w:r>
    </w:p>
    <w:p>
      <w:pPr>
        <w:pStyle w:val="DocBody"/>
      </w:pPr>
      <w:r>
        <w:rPr>
          <w:rFonts w:ascii="Times New Roman" w:hAnsi="Times New Roman" w:eastAsia="宋体"/>
          <w:sz w:val="24"/>
        </w:rPr>
        <w:t>TRUMP v. SLAUGHTER Opinion of the Court considered view is that” the constitutional question “cannot be made to turn on” such “rigid categories,” at least for in­ ferior officers.</w:t>
      </w:r>
    </w:p>
    <w:p>
      <w:pPr>
        <w:pStyle w:val="DocBody"/>
      </w:pPr>
      <w:r>
        <w:rPr>
          <w:rFonts w:ascii="Times New Roman" w:hAnsi="Times New Roman" w:eastAsia="宋体"/>
          <w:sz w:val="24"/>
        </w:rPr>
        <w:t>487 U. S., at 689.</w:t>
      </w:r>
    </w:p>
    <w:p>
      <w:pPr>
        <w:pStyle w:val="DocBody"/>
      </w:pPr>
      <w:r>
        <w:rPr>
          <w:rFonts w:ascii="Times New Roman" w:hAnsi="Times New Roman" w:eastAsia="宋体"/>
          <w:sz w:val="24"/>
        </w:rPr>
        <w:t>Contra, post, at 7 (SOTOMAYOR, J., dissenting) (asserting that Morrison v. Ol­ son in fact “applied and expanded Humphrey’s”).</w:t>
      </w:r>
    </w:p>
    <w:p>
      <w:pPr>
        <w:pStyle w:val="DocBody"/>
      </w:pPr>
      <w:r>
        <w:rPr>
          <w:rFonts w:ascii="Times New Roman" w:hAnsi="Times New Roman" w:eastAsia="宋体"/>
          <w:sz w:val="24"/>
        </w:rPr>
        <w:t>Fast forward another few decades, and Humphrey’s premises had been further undermined.  In two cases, Free Enterprise Fund v. Public Company Accounting Oversight Board, 561 U. S. 477 (2010), and Seila Law LLC v. Con­ sumer Financial Protection Bureau, 591 U. S. 197 (2020), we again considered the permissibility of restrictions on the President’s power of removal. In both cases, we reiterated Myers’s rule that the President exercises “general adminis­ trative control of those executing the laws” and thus must be able to “remov[e] those for whom he can not continue to be responsible.”  Free Enterprise Fund, 561 U. S., at 492– 493 (quoting Myers, 272 U. S., at 117, 164); Seila Law, 591 U. S., at 214 (same). In both cases, we emphasized that Humphrey’s had to be read “on its own terms,” and thus ap­ plies only to agencies that perform “‘specified duties as a legislative or as a judicial aid.’”  Seila Law, 591 U. S., at 215, 219, n. 4 (quoting Humphrey’s Executor, 295 U. S., at 628); see Free Enterprise Fund, 561 U. S., at 493.  And in both cases, we refused to extend Humphrey’s to a “new sit­ uation”—in Free Enterprise Fund, two layers of for-cause removal within an agency, 561 U. S., at 483, and in Seila Law, for-cause removal protection for the sole head of an agency, 591 U. S., at 220.  As we put it in Seila Law, Humphrey’s is not a “freestanding invitation for Congress”</w:t>
      </w:r>
    </w:p>
    <w:p>
      <w:pPr>
        <w:pStyle w:val="DocBody"/>
      </w:pPr>
      <w:r>
        <w:rPr>
          <w:rFonts w:ascii="Times New Roman" w:hAnsi="Times New Roman" w:eastAsia="宋体"/>
          <w:sz w:val="24"/>
        </w:rPr>
        <w:t>to limit the President’s constitutional power.  591 U. S., at 228.</w:t>
      </w:r>
    </w:p>
    <w:p>
      <w:pPr>
        <w:pStyle w:val="DocBody"/>
      </w:pPr>
      <w:r>
        <w:rPr>
          <w:rFonts w:ascii="Times New Roman" w:hAnsi="Times New Roman" w:eastAsia="宋体"/>
          <w:sz w:val="24"/>
        </w:rPr>
        <w:t>Humphrey’s framework, in short, has not withstood the test of time. While Humphrey’s was surely right to focus on “the character of the office” at issue, 295 U. S., at 631, and surely right to say that “purely executive” powers must be controlled by the President, id., at 632, we long ago</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abandoned the notion that there are some powers that are only partly executive. Forty years have now passed, in fact, since we recognized that the FTC exercises executive power—and did so even in 1935, when Humphrey’s was de­ cided. See Morrison, 487 U. S., at 690, n. 28; id., at 724– 725 (Scalia, J., dissenting); see also Seila Law, 591 U. S., at 216, n. 2. And more than 200 years have passed since we recognized that the Constitution “vests the whole executive power in the President” alone. Osborn v. Bank of United States, 9 Wheat. 738, 819 (1824) (Marshall, C. J., for the Court).</w:t>
      </w:r>
    </w:p>
    <w:p>
      <w:pPr>
        <w:pStyle w:val="DocBody"/>
      </w:pPr>
      <w:r>
        <w:rPr>
          <w:rFonts w:ascii="Times New Roman" w:hAnsi="Times New Roman" w:eastAsia="宋体"/>
          <w:sz w:val="24"/>
        </w:rPr>
        <w:t>At this point, all that is left of Humphrey’s is its observa­ tion that an agency that “exercises no part of the executive power” need not fall within the rule of Presidential removal.</w:t>
      </w:r>
    </w:p>
    <w:p>
      <w:pPr>
        <w:pStyle w:val="DocBody"/>
      </w:pPr>
      <w:r>
        <w:rPr>
          <w:rFonts w:ascii="Times New Roman" w:hAnsi="Times New Roman" w:eastAsia="宋体"/>
          <w:sz w:val="24"/>
        </w:rPr>
        <w:t>295 U. S., at 628; see Mistretta v. United States, 488 U. S.</w:t>
      </w:r>
    </w:p>
    <w:p>
      <w:pPr>
        <w:pStyle w:val="DocBody"/>
      </w:pPr>
      <w:r>
        <w:rPr>
          <w:rFonts w:ascii="Times New Roman" w:hAnsi="Times New Roman" w:eastAsia="宋体"/>
          <w:sz w:val="24"/>
        </w:rPr>
        <w:t>361, 423–425, and n. 3 (1989) (Scalia, J., dissenting) (ex­ plaining that Humphrey’s stands only for the proposition that there would be “no strict constitutional impediment to a ‘branchless’ agency” that exercises “no governmental power”). If Congress wishes to establish independent agen­ cies to assist it with its functions, it may do so. Cf. Buckley, 424 U. S., at 137–138.  But it may not foist those agencies upon the President, and thus deprive him of “the executive power vested [in him] by the Constitution”—something Humphrey’s itself never purported to permit.  Humphrey’s Executor, 295 U. S., at 628.</w:t>
      </w:r>
    </w:p>
    <w:p>
      <w:pPr>
        <w:pStyle w:val="DocBody"/>
      </w:pPr>
      <w:r>
        <w:rPr>
          <w:rFonts w:ascii="Times New Roman" w:hAnsi="Times New Roman" w:eastAsia="宋体"/>
          <w:sz w:val="24"/>
        </w:rPr>
        <w:t>c If anything more is left of Humphrey’s, we overrule it.</w:t>
      </w:r>
    </w:p>
    <w:p>
      <w:pPr>
        <w:pStyle w:val="DocBody"/>
      </w:pPr>
      <w:r>
        <w:rPr>
          <w:rFonts w:ascii="Times New Roman" w:hAnsi="Times New Roman" w:eastAsia="宋体"/>
          <w:sz w:val="24"/>
        </w:rPr>
        <w:t>Humphrey’s has for decades been a result in search of a ra­ tionale. As we have often said, stare decisis is not an “inex­ orable command,” Payne v. Tennessee, 501 U. S. 808, 828 (1991), and is at its weakest in constitutional cases, where only we may readily fix our own mistakes, Agostini v. Fel­ ton, 521 U. S. 203, 235 (1997).  Our precedents about prec­ edent teach that a number of factors are relevant.  Here,</w:t>
      </w:r>
    </w:p>
    <w:p>
      <w:pPr>
        <w:pStyle w:val="DocBody"/>
      </w:pPr>
      <w:r>
        <w:rPr>
          <w:rFonts w:ascii="Times New Roman" w:hAnsi="Times New Roman" w:eastAsia="宋体"/>
          <w:sz w:val="24"/>
        </w:rPr>
        <w:t>TRUMP v. SLAUGHTER Opinion of the Court every factor—the “quality” of the decision’s reasoning, its “consistency” with our other cases, the “workability” of its rule, and the interests of those who have “reli[ed]” on it, Knick v. Township of Scott, 588 U. S. 180, 203 (2019)— counsels in favor of letting Humphrey’s go.</w:t>
      </w:r>
    </w:p>
    <w:p>
      <w:pPr>
        <w:pStyle w:val="DocBody"/>
      </w:pPr>
      <w:r>
        <w:rPr>
          <w:rFonts w:ascii="Times New Roman" w:hAnsi="Times New Roman" w:eastAsia="宋体"/>
          <w:sz w:val="24"/>
        </w:rPr>
        <w:t>Humphrey’s has been difficult to make sense of from the start. “[O]nly by blind feats of definition” could the Court transform powers that are quintessentially executive—in­ vestigative and prosecutorial alike—into nonexecutive “quasi-legislative” and “quasi-judicial” functions.</w:t>
      </w:r>
    </w:p>
    <w:p>
      <w:pPr>
        <w:pStyle w:val="DocBody"/>
      </w:pPr>
      <w:r>
        <w:rPr>
          <w:rFonts w:ascii="Times New Roman" w:hAnsi="Times New Roman" w:eastAsia="宋体"/>
          <w:sz w:val="24"/>
        </w:rPr>
        <w:t>P.</w:t>
      </w:r>
    </w:p>
    <w:p>
      <w:pPr>
        <w:pStyle w:val="DocBody"/>
      </w:pPr>
      <w:r>
        <w:rPr>
          <w:rFonts w:ascii="Times New Roman" w:hAnsi="Times New Roman" w:eastAsia="宋体"/>
          <w:sz w:val="24"/>
        </w:rPr>
        <w:t>Strauss, The Places of Agencies in Government, 84 Colum.</w:t>
      </w:r>
    </w:p>
    <w:p>
      <w:pPr>
        <w:pStyle w:val="DocBody"/>
      </w:pPr>
      <w:r>
        <w:rPr>
          <w:rFonts w:ascii="Times New Roman" w:hAnsi="Times New Roman" w:eastAsia="宋体"/>
          <w:sz w:val="24"/>
        </w:rPr>
        <w:t>L. Rev. 573, 625 (1984). As Justice Jackson memorably put it, Humphrey’s “retreat to the qualifying ‘quasi’ is implicit with confession that all recognized classifications have bro­ ken down, and ‘quasi’ is a smooth cover which we draw over our confusion as we might use a counterpane to conceal a disordered bed.” FTC v. Ruberoid Co., 343 U. S. 470, 487– 488 (1952) (dissenting opinion). When an agency “executes”</w:t>
      </w:r>
    </w:p>
    <w:p>
      <w:pPr>
        <w:pStyle w:val="DocBody"/>
      </w:pPr>
      <w:r>
        <w:rPr>
          <w:rFonts w:ascii="Times New Roman" w:hAnsi="Times New Roman" w:eastAsia="宋体"/>
          <w:sz w:val="24"/>
        </w:rPr>
        <w:t>a congressional mandate against private parties, it exer­ cises executive power—no ifs, ands, or quasis about it.</w:t>
      </w:r>
    </w:p>
    <w:p>
      <w:pPr>
        <w:pStyle w:val="DocBody"/>
      </w:pPr>
      <w:r>
        <w:rPr>
          <w:rFonts w:ascii="Times New Roman" w:hAnsi="Times New Roman" w:eastAsia="宋体"/>
          <w:sz w:val="24"/>
        </w:rPr>
        <w:t>For that reason, Humphrey’s is now far out of step with our cases, which have all but limited it to its facts.  See su­ pra, at 18–20.  We long ago retreated from Humphrey’s. We applied it only once, in 1958, to a solely adjudicatory body that dealt with a limited category of claims for compensa­ tion from those imprisoned or interned in the Second World War. Wiener v. United States, 357 U. S. 349, 355–356.  And even then, our constitutional analysis spanned only one brisk paragraph, as the case focused on the question whether the statute limited the President’s power at all.</w:t>
      </w:r>
    </w:p>
    <w:p>
      <w:pPr>
        <w:pStyle w:val="DocBody"/>
      </w:pPr>
      <w:r>
        <w:rPr>
          <w:rFonts w:ascii="Times New Roman" w:hAnsi="Times New Roman" w:eastAsia="宋体"/>
          <w:sz w:val="24"/>
        </w:rPr>
        <w:t>See id., at 356.  Since then, we have undermined Humph­ rey’s premises at every turn.  To persist in Humphrey’s would require us to depart from almost every case on the subject we have decided since.</w:t>
      </w:r>
    </w:p>
    <w:p>
      <w:pPr>
        <w:pStyle w:val="DocBody"/>
      </w:pPr>
      <w:r>
        <w:rPr>
          <w:rFonts w:ascii="Times New Roman" w:hAnsi="Times New Roman" w:eastAsia="宋体"/>
          <w:sz w:val="24"/>
        </w:rPr>
        <w:t>Little surprise, then, that no one knows how to apply Humphrey’s in practice.  Does it protect all multimember</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agencies? See Wilcox v. Trump, 775 F. Supp. 3d 215, 234 (DC 2025). Or only those that are balanced along partisan lines? See Space Exploration Technologies Corp. v. NLRB, 151 F. 4th 761, 777–778 (CA5 2025).  Those that wield some executive power, but not a lot? See Consumers’ Research v.</w:t>
      </w:r>
    </w:p>
    <w:p>
      <w:pPr>
        <w:pStyle w:val="DocBody"/>
      </w:pPr>
      <w:r>
        <w:rPr>
          <w:rFonts w:ascii="Times New Roman" w:hAnsi="Times New Roman" w:eastAsia="宋体"/>
          <w:sz w:val="24"/>
        </w:rPr>
        <w:t>Consumer Prod. Safety Comm’n, 98 F. 4th 646, 652 (CA5 2024) (Oldham, J., dissenting from denial of rehearing en banc). Or only those that do not wield the President’s “con­ clusive and preclusive” powers? See Brief for Respondent 25–28. Or perhaps it is only those that are “materially in­ distinguishable from the 1935 FTC”? See Harris v. Bessent, 2025 WL 980278, *15 (CADC 2025) (Walker, J., concur­ ring).</w:t>
      </w:r>
    </w:p>
    <w:p>
      <w:pPr>
        <w:pStyle w:val="DocBody"/>
      </w:pPr>
      <w:r>
        <w:rPr>
          <w:rFonts w:ascii="Times New Roman" w:hAnsi="Times New Roman" w:eastAsia="宋体"/>
          <w:sz w:val="24"/>
        </w:rPr>
        <w:t>With its indeterminacy and unpredictability, Humphrey’s “has undermined the very ‘rule of law’ values that stare decisis exists to secure.” Loper Bright Enterprises v. Raimondo, 603 U. S. 369, 411 (2024) (quoting Michigan v. Bay Mills Indian Community, 572 U. S. 782, 798 (2014));</w:t>
      </w:r>
    </w:p>
    <w:p>
      <w:pPr>
        <w:pStyle w:val="DocBody"/>
      </w:pPr>
      <w:r>
        <w:rPr>
          <w:rFonts w:ascii="Times New Roman" w:hAnsi="Times New Roman" w:eastAsia="宋体"/>
          <w:sz w:val="24"/>
        </w:rPr>
        <w:t>see also In re Aiken County, 645 F. 3d 428, 442–446, and nn. 3–4 (CADC 2011) (Kavanaugh, J., concurring).</w:t>
      </w:r>
    </w:p>
    <w:p>
      <w:pPr>
        <w:pStyle w:val="DocBody"/>
      </w:pPr>
      <w:r>
        <w:rPr>
          <w:rFonts w:ascii="Times New Roman" w:hAnsi="Times New Roman" w:eastAsia="宋体"/>
          <w:sz w:val="24"/>
        </w:rPr>
        <w:t>All that is left is reliance, upon which Slaughter (and the dissent) rely. Slaughter argues that Congress has relied upon Humphrey’s to create agencies that are “insulated from presidential control.” Brief for Respondent 15; see also post, at 34–40 (SOTOMAYOR, J., dissenting).  That is pre­ cisely the problem. Despite what Humphrey’s may say, in­ dependent agencies are not “independent” in the sense that they are free of the President and thus responsive “only to the people of the United States.”  295 U. S., at 625.  Inde­ pendent agencies are insulated “from the President,” “not from politics.” FCC v. Fox Television Stations, Inc., 556 U. S. 502, 523 (2009) (plurality opinion).  “As a practical matter, successful insulation of administration from the President—even if accomplished in the name of ‘independ­ ence’—will tend to enhance Congress’s own authority over the insulated activities.” E. Kagan, Presidential Admin­ istration, 114 Harv. L. Rev. 2245, 2271, n. 93 (2001).</w:t>
      </w:r>
    </w:p>
    <w:p>
      <w:pPr>
        <w:pStyle w:val="DocBody"/>
      </w:pPr>
      <w:r>
        <w:rPr>
          <w:rFonts w:ascii="Times New Roman" w:hAnsi="Times New Roman" w:eastAsia="宋体"/>
          <w:sz w:val="24"/>
        </w:rPr>
        <w:t>TRUMP v. SLAUGHTER Opinion of the Court Placing the power to administer laws in officers who enjoy “freedom from Presidential oversight (and protection),” in other words, does not deliver us to a promised land of tech­ nocratic governance—it often results only in an “increased subservience to congressional direction.”  Fox Television, 556 U. S., at 523 (plurality opinion).  Congress may well have relied on Humphrey’s in taking more power for itself, but that is hardly one of the “legitimate” reliance interests that our precedents contemplate. South Dakota v. Wayfair, Inc., 585 U. S. 162, 186 (2018) (internal quotation marks omitted); cf. NLRB v. Noel Canning, 573 U. S. 513, 571–572 (2014) (Scalia, J., concurring in judgment).  No branch may rely on adverse possession to claim power that the Consti­ tution vests elsewhere.3 The dissent contends that we ignore the reliance inter­ ests of “[o]rdinary Americans and regulated firms alike.”</w:t>
      </w:r>
    </w:p>
    <w:p>
      <w:pPr>
        <w:pStyle w:val="DocBody"/>
      </w:pPr>
      <w:r>
        <w:rPr>
          <w:rFonts w:ascii="Times New Roman" w:hAnsi="Times New Roman" w:eastAsia="宋体"/>
          <w:sz w:val="24"/>
        </w:rPr>
        <w:t>—————— 3The dissent nevertheless insists that “[i]ndependence was centrally important to Congress in creating these agencies” and indeed that “[a]t no point was it proposed that a commission ought to be set up unless it be independent.” Post, at 36 (internal quotation marks omitted).  To the extent that consideration is relevant, it is relevant only in the context of severability. In our prior cases, “when confronting a constitutional flaw in a statute” like the one before us, we have sought to limit “the solution to the problem,” severing the invalid removal provision “while leaving the remainder intact.”  Free Enterprise Fund v. Public Company Account­ ing Oversight Bd., 561 U. S. 477, 508 (2010) (internal quotation marks omitted); see also Seila Law LLC v. Consumer Financial Protection Bu­ reau, 591 U. S. 197, 233–238 (2020) (opinion of ROBERTS, C. J., joined by ALITO and KAVANAUGH, JJ.) (deeming a removal provision severable); id., at 296–297 (KAGAN, J., joined by Ginsburg, Breyer, and SOTOMAYOR, JJ., concurring in judgment with respect to severability and dissenting in part) (same). If the dissent now disagrees with that approach, and be­ lieves that Congress generally “would have preferred no [agency] at all to [an agency] whose members are removable at will,” Free Enterprise Fund, 561 U. S., at 509, it is free to urge as much in a case in which the severability question is before us.  In any event, the solution to “an Ex­ ecutive Branch that Congress never dreamed of establishing,” post, at 38 (SOTOMAYOR, J., dissenting), is not a headless fourth branch that the Framers never dreamed of establishing.</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Post, at 39. Quite the contrary.  “In its valiant search for reliance interests,” it is “the dissent [that] somehow misses maybe the most important one: the reliance interests of the American people . . . in the preservation of our constitution­ ally promised liberties.” Ramos v. Louisiana, 590 U. S. 83, 110–111 (2020) (plurality opinion of GORSUCH, J., joined by, inter alios, SOTOMAYOR, J.).  “The diffusion of power carries with it a diffusion of accountability.”  Free Enterprise Fund, 561 U. S., at 497.  When power is exercised well, the people know whom to thank; when power is exercised poorly, they know whom to blame—and whom to fire.  That is the very premise of our system of government.  See The Federalist No. 70, at 424 (A. Hamilton) (“The ingredients which con­ stitute safety in the republican sense are a due dependence on the people, and a due responsibility.”).  We adhere to that system today not in spite of the reliance interests of all Americans but because of them.</w:t>
      </w:r>
    </w:p>
    <w:p>
      <w:pPr>
        <w:pStyle w:val="DocBody"/>
      </w:pPr>
      <w:r>
        <w:rPr>
          <w:rFonts w:ascii="Times New Roman" w:hAnsi="Times New Roman" w:eastAsia="宋体"/>
          <w:sz w:val="24"/>
        </w:rPr>
        <w:t>III A With these principles in mind, this is not a close case.</w:t>
      </w:r>
    </w:p>
    <w:p>
      <w:pPr>
        <w:pStyle w:val="DocBody"/>
      </w:pPr>
      <w:r>
        <w:rPr>
          <w:rFonts w:ascii="Times New Roman" w:hAnsi="Times New Roman" w:eastAsia="宋体"/>
          <w:sz w:val="24"/>
        </w:rPr>
        <w:t>The FTC’s for-cause removal provision violates the separa­ tion of powers. In its present form, the FTC enforces and administers some 80 statutes, which cover almost every facet of our Nation’s economy.  The tasks it undertakes are “the very essence of ‘execution’ of the law”—precisely the President’s constitutional role. Bowsher, 478 U. S., at 733.</w:t>
      </w:r>
    </w:p>
    <w:p>
      <w:pPr>
        <w:pStyle w:val="DocBody"/>
      </w:pPr>
      <w:r>
        <w:rPr>
          <w:rFonts w:ascii="Times New Roman" w:hAnsi="Times New Roman" w:eastAsia="宋体"/>
          <w:sz w:val="24"/>
        </w:rPr>
        <w:t>First, the FTC has the power to promulgate substantive rules that carry the force of law.  In the consumer-protec­ tion realm, for instance, the FTC is tasked with giving con­ tent to the startlingly abstract idea of “acts or practices which are unfair or deceptive.”  15 U. S. C. §57a(a)(1)(B).  In other areas, it must, for example, determine what “docu­ mentary material and information” one company must pro­ vide when it wishes to acquire another, §18a(d), decide when and how websites must seek “verifiable parental</w:t>
      </w:r>
    </w:p>
    <w:p>
      <w:pPr>
        <w:pStyle w:val="DocBody"/>
      </w:pPr>
      <w:r>
        <w:rPr>
          <w:rFonts w:ascii="Times New Roman" w:hAnsi="Times New Roman" w:eastAsia="宋体"/>
          <w:sz w:val="24"/>
        </w:rPr>
        <w:t>TRUMP v. SLAUGHTER Opinion of the Court consent” when their services collect children’s personal in­ formation, §6502(b), and “prescribe as necessary or appro­ priate in the public interest or for the protection of United States citizens” rules barring the use of any “manipulative”</w:t>
      </w:r>
    </w:p>
    <w:p>
      <w:pPr>
        <w:pStyle w:val="DocBody"/>
      </w:pPr>
      <w:r>
        <w:rPr>
          <w:rFonts w:ascii="Times New Roman" w:hAnsi="Times New Roman" w:eastAsia="宋体"/>
          <w:sz w:val="24"/>
        </w:rPr>
        <w:t>technique in the sale of gasoline, 42 U. S. C. §17301. The power to flesh out such statutory regimes—and to do so through discretionary actions, largely outside the remit of courts—is executive through and through.  Seila Law, 591 U. S., at 218–220.</w:t>
      </w:r>
    </w:p>
    <w:p>
      <w:pPr>
        <w:pStyle w:val="DocBody"/>
      </w:pPr>
      <w:r>
        <w:rPr>
          <w:rFonts w:ascii="Times New Roman" w:hAnsi="Times New Roman" w:eastAsia="宋体"/>
          <w:sz w:val="24"/>
        </w:rPr>
        <w:t>Second, the FTC not only investigates businesses to en­ sure they comply with its statutes and rules, 15 U. S. C.</w:t>
      </w:r>
    </w:p>
    <w:p>
      <w:pPr>
        <w:pStyle w:val="DocBody"/>
      </w:pPr>
      <w:r>
        <w:rPr>
          <w:rFonts w:ascii="Times New Roman" w:hAnsi="Times New Roman" w:eastAsia="宋体"/>
          <w:sz w:val="24"/>
        </w:rPr>
        <w:t>§§43, 46(a), 49, but enforces those statutes and rules through in-house adjudications.  Indeed, it may even place the onus on a private party to comply with its orders—on pain of monetary penalties—before the case reaches the courts. See §45(g)(2). This power, too, is executive. Seila Law, 591 U. S., at 219 (discussing the ability to “unilater­ ally issue final decisions” in “administrative adjudica­ tions”).</w:t>
      </w:r>
    </w:p>
    <w:p>
      <w:pPr>
        <w:pStyle w:val="DocBody"/>
      </w:pPr>
      <w:r>
        <w:rPr>
          <w:rFonts w:ascii="Times New Roman" w:hAnsi="Times New Roman" w:eastAsia="宋体"/>
          <w:sz w:val="24"/>
        </w:rPr>
        <w:t>And third, the FTC files civil suits on behalf of the United States in federal court.  It may select its remedies freely— from injunctions, §53(b), to civil penalties, §45(m), to any relief “necessary to redress injury to consumers,” including the “refund of money or return of property,” §57b(b).4  As we have said many times, the “discretionary power to seek ju­ dicial relief ” lies at the very core of executive authority.</w:t>
      </w:r>
    </w:p>
    <w:p>
      <w:pPr>
        <w:pStyle w:val="DocBody"/>
      </w:pPr>
      <w:r>
        <w:rPr>
          <w:rFonts w:ascii="Times New Roman" w:hAnsi="Times New Roman" w:eastAsia="宋体"/>
          <w:sz w:val="24"/>
        </w:rPr>
        <w:t>—————— 4This is no empty threat.  In just the last few years, the FTC has sought and secured civil penalties in the hundreds of millions and bil­ lions of dollars. See, e.g., FTC v. Amazon.com, Inc., No. 2:23–cv–00932 (WD Wash., Sept. 25, 2025), ECF Doc. 535, p. 8 (entering $2.5 billion judgment pursuant to the Restore Online Shoppers’ Confidence Act);</w:t>
      </w:r>
    </w:p>
    <w:p>
      <w:pPr>
        <w:pStyle w:val="DocBody"/>
      </w:pPr>
      <w:r>
        <w:rPr>
          <w:rFonts w:ascii="Times New Roman" w:hAnsi="Times New Roman" w:eastAsia="宋体"/>
          <w:sz w:val="24"/>
        </w:rPr>
        <w:t>United States v. Epic Games, Inc., No. 5:22–cv–00518 (EDNC, Feb. 7, 2023), ECF Doc. 15, p. 28 (entering $550 million judgment pursuant to the Children’s Online Privacy Protection Act of 1998); FTC v. Equifax, Inc., No. 1:19–cv–03297 (ND Ga., July 23, 2019), ECF Doc. 6, pp. 27–31 (entering $425 million judgment pursuant to a rule issued under the Gramm-Leach-Bliley Act).</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Buckley, 424 U. S., at 138; see also, e.g., United States v.</w:t>
      </w:r>
    </w:p>
    <w:p>
      <w:pPr>
        <w:pStyle w:val="DocBody"/>
      </w:pPr>
      <w:r>
        <w:rPr>
          <w:rFonts w:ascii="Times New Roman" w:hAnsi="Times New Roman" w:eastAsia="宋体"/>
          <w:sz w:val="24"/>
        </w:rPr>
        <w:t>Texas, 599 U. S. 670, 678–679 (2023) (it is up to the Execu­ tive to “decide how to prioritize and how aggressively to pursue legal actions against defendants who violate the law” (internal quotation marks omitted)). That “quintes­ sentially executive” power may not be cleaved off from the Executive Branch. Seila Law, 591 U. S., at 219.</w:t>
      </w:r>
    </w:p>
    <w:p>
      <w:pPr>
        <w:pStyle w:val="DocBody"/>
      </w:pPr>
      <w:r>
        <w:rPr>
          <w:rFonts w:ascii="Times New Roman" w:hAnsi="Times New Roman" w:eastAsia="宋体"/>
          <w:sz w:val="24"/>
        </w:rPr>
        <w:t>The FTC unquestionably exercises executive power, and must therefore be controlled by the Chief Executive, in whom such power is vested.  It follows, then, that Slaughter served as the President’s subordinate at the FTC—and that the President was entitled to cut her tenure short.</w:t>
      </w:r>
    </w:p>
    <w:p>
      <w:pPr>
        <w:pStyle w:val="DocBody"/>
      </w:pPr>
      <w:r>
        <w:rPr>
          <w:rFonts w:ascii="Times New Roman" w:hAnsi="Times New Roman" w:eastAsia="宋体"/>
          <w:sz w:val="24"/>
        </w:rPr>
        <w:t>B Because the FTC’s activities fall well within the heart­ land of executive power, we have no occasion today to define the bounds of what such power entails.  As our precedents recognize, not all offices created by Congress necessarily come with executive or even sovereign power attached.  See, e.g., Buckley, 424 U. S., at 137–138 (contrasting the “discre­ tionary power to seek judicial relief ” with powers “of an in­ vestigative and informative nature,” which may “be re­ garded as merely in aid of the legislative function of Congress”).  To suggest otherwise would come as a surprise to, among other congressionally chartered entities, the Boy Scouts of America, 112 Stat. 1325, the Society of American Florists and Ornamental Horticulturalists, ch. 876, 31 Stat.</w:t>
      </w:r>
    </w:p>
    <w:p>
      <w:pPr>
        <w:pStyle w:val="DocBody"/>
      </w:pPr>
      <w:r>
        <w:rPr>
          <w:rFonts w:ascii="Times New Roman" w:hAnsi="Times New Roman" w:eastAsia="宋体"/>
          <w:sz w:val="24"/>
        </w:rPr>
        <w:t>1453, and Georgetown University, ch. 70, 6 Stat. 152.</w:t>
      </w:r>
    </w:p>
    <w:p>
      <w:pPr>
        <w:pStyle w:val="DocBody"/>
      </w:pPr>
      <w:r>
        <w:rPr>
          <w:rFonts w:ascii="Times New Roman" w:hAnsi="Times New Roman" w:eastAsia="宋体"/>
          <w:sz w:val="24"/>
        </w:rPr>
        <w:t>Relatedly, we have left open the possibility that some functions traditionally handled outside the Executive Branch may not be encompassed by Myers’s general rule.</w:t>
      </w:r>
    </w:p>
    <w:p>
      <w:pPr>
        <w:pStyle w:val="DocBody"/>
      </w:pPr>
      <w:r>
        <w:rPr>
          <w:rFonts w:ascii="Times New Roman" w:hAnsi="Times New Roman" w:eastAsia="宋体"/>
          <w:sz w:val="24"/>
        </w:rPr>
        <w:t>Indeed, Myers itself placed “the greatest weight” on the early Congresses’ (and early Presidents’) “contemporaneous legislative exposition” of the Executive’s constitutional role.</w:t>
      </w:r>
    </w:p>
    <w:p>
      <w:pPr>
        <w:pStyle w:val="DocBody"/>
      </w:pPr>
      <w:r>
        <w:rPr>
          <w:rFonts w:ascii="Times New Roman" w:hAnsi="Times New Roman" w:eastAsia="宋体"/>
          <w:sz w:val="24"/>
        </w:rPr>
        <w:t>272 U. S., at 174–175.  And one example we have given of an entity that may have such a unique role is the Federal</w:t>
      </w:r>
    </w:p>
    <w:p>
      <w:pPr>
        <w:pStyle w:val="DocBody"/>
      </w:pPr>
      <w:r>
        <w:rPr>
          <w:rFonts w:ascii="Times New Roman" w:hAnsi="Times New Roman" w:eastAsia="宋体"/>
          <w:sz w:val="24"/>
        </w:rPr>
        <w:t>TRUMP v. SLAUGHTER Opinion of the Court Reserve, to the extent that it follows in the distinct histori­ cal tradition of the First and Second Banks of the United States—both of which influenced monetary policy and nei­ ther of which were subject to plenary Presidential control.</w:t>
      </w:r>
    </w:p>
    <w:p>
      <w:pPr>
        <w:pStyle w:val="DocBody"/>
      </w:pPr>
      <w:r>
        <w:rPr>
          <w:rFonts w:ascii="Times New Roman" w:hAnsi="Times New Roman" w:eastAsia="宋体"/>
          <w:sz w:val="24"/>
        </w:rPr>
        <w:t>See Seila Law, 591 U. S., at 222, n. 8.  Our prior cases do not necessarily implicate the constitutionality of such ar­ rangements. Our opinion today should not be read to do so either.</w:t>
      </w:r>
    </w:p>
    <w:p>
      <w:pPr>
        <w:pStyle w:val="DocBody"/>
      </w:pPr>
      <w:r>
        <w:rPr>
          <w:rFonts w:ascii="Times New Roman" w:hAnsi="Times New Roman" w:eastAsia="宋体"/>
          <w:sz w:val="24"/>
        </w:rPr>
        <w:t>Nor do we determine the fate of officials not before us.  In particular, as the Solicitor General recognized at argument, the permissibility of tenure protections for the judges of “non-Article III courts,” such as the Tax Court and the Court of Federal Claims, is not “presented” or “briefed” in this case and poses a “different set of questions.”  Tr. of Oral Arg. 15, 28. We leave those questions for another day.  All we do today is recognize what has been clear for a century— that those who fall within the President’s “general admin­ istrative control” must be removable by the President at will. Myers, 272 U. S., at 135.</w:t>
      </w:r>
    </w:p>
    <w:p>
      <w:pPr>
        <w:pStyle w:val="DocBody"/>
      </w:pPr>
      <w:r>
        <w:rPr>
          <w:rFonts w:ascii="Times New Roman" w:hAnsi="Times New Roman" w:eastAsia="宋体"/>
          <w:sz w:val="24"/>
        </w:rPr>
        <w:t>IV Although she disagrees with our conclusion, Slaughter at least accepts many of our premises.  She agrees, for in­ stance, that officers with “purely executive functions,” like the “postmaster in Myers,” must be removable at will by the President. Tr. of Oral Arg. 93.  She agrees that “Seila Law is correct.” Id., at 115.  And she agrees that “the Vesting Clause of Article II . . . establish[es] a general default pres­ idential removal power.” Id., at 136.</w:t>
      </w:r>
    </w:p>
    <w:p>
      <w:pPr>
        <w:pStyle w:val="DocBody"/>
      </w:pPr>
      <w:r>
        <w:rPr>
          <w:rFonts w:ascii="Times New Roman" w:hAnsi="Times New Roman" w:eastAsia="宋体"/>
          <w:sz w:val="24"/>
        </w:rPr>
        <w:t>The dissent, on the other hand, sweeps the chess pieces off the board, rejecting not only Free Enterprise Fund and Seila Law but Myers and the Decision of 1789 as well. On its view, “there is no evidence that those who shaped or rat­ ified the Constitution adopted the . . . general rule of at-will removal,” post, at 14—no matter the view expressed by Washington, Jefferson, Madison, and Hamilton in the first</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years of the Republic; no matter the practice of the First Congress and all our early Presidents; and no matter the Convention’s insistence upon “[u]nity in the Executive,” 1 Farrand’s Records 66 (J. Wilson).</w:t>
      </w:r>
    </w:p>
    <w:p>
      <w:pPr>
        <w:pStyle w:val="DocBody"/>
      </w:pPr>
      <w:r>
        <w:rPr>
          <w:rFonts w:ascii="Times New Roman" w:hAnsi="Times New Roman" w:eastAsia="宋体"/>
          <w:sz w:val="24"/>
        </w:rPr>
        <w:t>To support its own position, the dissent relies on two passing comments in The Federalist. See post, at 15–17.</w:t>
      </w:r>
    </w:p>
    <w:p>
      <w:pPr>
        <w:pStyle w:val="DocBody"/>
      </w:pPr>
      <w:r>
        <w:rPr>
          <w:rFonts w:ascii="Times New Roman" w:hAnsi="Times New Roman" w:eastAsia="宋体"/>
          <w:sz w:val="24"/>
        </w:rPr>
        <w:t>Neither one helps. In Federalist No. 39, Madison noted that the “tenure” of “ministerial offices . . . will be a subject of legal regulation,” The Federalist No. 39, at 242, but it beg­ gars belief to suggest that he intended so obliquely to per­ mit Congress to hem in the President—it is far more likely that he intended only to endorse “regulation” of “tenure” in the sense of a limited term for executive officers, subject to Presidential removal in the interim.5  And in Federalist No.</w:t>
      </w:r>
    </w:p>
    <w:p>
      <w:pPr>
        <w:pStyle w:val="DocBody"/>
      </w:pPr>
      <w:r>
        <w:rPr>
          <w:rFonts w:ascii="Times New Roman" w:hAnsi="Times New Roman" w:eastAsia="宋体"/>
          <w:sz w:val="24"/>
        </w:rPr>
        <w:t>77, Hamilton said that the Senate’s consent “would be nec­ essary to displace as well as to appoint,” id., No. 77, at 459, but it remains a subject of scholarly debate whether Ham­ ilton meant “displace” in the sense of “remove” or “replace.”</w:t>
      </w:r>
    </w:p>
    <w:p>
      <w:pPr>
        <w:pStyle w:val="DocBody"/>
      </w:pPr>
      <w:r>
        <w:rPr>
          <w:rFonts w:ascii="Times New Roman" w:hAnsi="Times New Roman" w:eastAsia="宋体"/>
          <w:sz w:val="24"/>
        </w:rPr>
        <w:t>Certainly the idea that the Senate could force a new Presi­ dent to keep his predecessor’s Cabinet Secretaries is at odds with Hamilton’s claim that the Senate “cannot themselves choose” who will fill an office, even “if they withheld their assent” to the President’s pick, id., No. 66, at 405; at odds with Hamilton’s claim that the executive power is vested in —————— 5Indeed, that is precisely what Madison would propose a year later for the Comptroller of the Treasury.  The dissent (quoting Humphrey’s) thus errs in asserting that Madison ever “suggested” that Congress may “for­ bid Presidential removal” of the Comptroller.  Post, at 5–6 (internal quo­ tation marks omitted); see also post, at 22–23, 31, 43 (reiterating the point). As we have twice now explained, “Madison’s actual proposal, con­ sistent with his view of the Constitution, was that the Comptroller hold office for a term of ‘years, unless sooner removed by the President’; he would thus be ‘dependent upon the President, because he can be removed by him,’ and also ‘dependent upon the Senate, because they must consent to his [reappointment] for every term of years.’ ” Free Enterprise Fund, 561 U. S., at 500, n. 6 (quoting 1 Annals of Cong. 612 (1789)); Seila Law, 591 U. S., at 227, n. 10 (same).</w:t>
      </w:r>
    </w:p>
    <w:p>
      <w:pPr>
        <w:pStyle w:val="DocBody"/>
      </w:pPr>
      <w:r>
        <w:rPr>
          <w:rFonts w:ascii="Times New Roman" w:hAnsi="Times New Roman" w:eastAsia="宋体"/>
          <w:sz w:val="24"/>
        </w:rPr>
        <w:t>TRUMP v. SLAUGHTER Opinion of the Court “one man” and is not subject “to the control and co-operation of others,” id., No. 70, at 424; and at odds with Hamilton’s claim that executive officers are “the assistants or deputies of the Chief Magistrate” and thus must “derive their offices from his . . . nomination” and remain “subject to his super­ intendence,” id., No. 72, at 436. Whatever Hamilton meant at first, by 1793 he had expressly recognized that “[t]he power of removal from office” forms part of “the EXECUTIVE POWER of the Nation . . . vested in the President.”  Pacificus No. 1 (June 29, 1793), in 15 Papers of Alexander Hamilton 39–40 (H. Syrett ed. 1969).  We see little reason why one line (really one word) from Federalist No. 77 should take precedence over the logic of The Federalist as a whole.</w:t>
      </w:r>
    </w:p>
    <w:p>
      <w:pPr>
        <w:pStyle w:val="DocBody"/>
      </w:pPr>
      <w:r>
        <w:rPr>
          <w:rFonts w:ascii="Times New Roman" w:hAnsi="Times New Roman" w:eastAsia="宋体"/>
          <w:sz w:val="24"/>
        </w:rPr>
        <w:t>We certainly see no reason why it should take precedence over the Decision of 1789.  When it comes to those debates, the dissent has little to offer, beyond its efforts to limit the decision’s scope.  Says the dissent: “The House in 1789 did not address whether Congress could place any limits on the President’s power to remove,” for it debated only whether the President had such a power “at all.” Post, at 19. The two, however, are one and the same.  In holding that the President has the power to remove his subordinates “with­ out an express grant from Congress,” post, at 20 (opinion of SOTOMAYOR, J.), Congress held that “the power of removal”</w:t>
      </w:r>
    </w:p>
    <w:p>
      <w:pPr>
        <w:pStyle w:val="DocBody"/>
      </w:pPr>
      <w:r>
        <w:rPr>
          <w:rFonts w:ascii="Times New Roman" w:hAnsi="Times New Roman" w:eastAsia="宋体"/>
          <w:sz w:val="24"/>
        </w:rPr>
        <w:t>forms part of “the Executive power,” 1 Annals of Cong. 382 (Rep. Clymer). And to the extent that the power of removal is part of the executive power, it is as much outside Con­ gress’s control as the President’s power to grant pardons, veto bills, and recognize foreign sovereigns.  See Schick v.</w:t>
      </w:r>
    </w:p>
    <w:p>
      <w:pPr>
        <w:pStyle w:val="DocBody"/>
      </w:pPr>
      <w:r>
        <w:rPr>
          <w:rFonts w:ascii="Times New Roman" w:hAnsi="Times New Roman" w:eastAsia="宋体"/>
          <w:sz w:val="24"/>
        </w:rPr>
        <w:t>Reed, 419 U. S. 256, 266 (1974) (a Presidential power that “flows from the Constitution . . . cannot be modified, abridged, or diminished by the Congress”); Zivotofsky v.</w:t>
      </w:r>
    </w:p>
    <w:p>
      <w:pPr>
        <w:pStyle w:val="DocBody"/>
      </w:pPr>
      <w:r>
        <w:rPr>
          <w:rFonts w:ascii="Times New Roman" w:hAnsi="Times New Roman" w:eastAsia="宋体"/>
          <w:sz w:val="24"/>
        </w:rPr>
        <w:t>Kerry, 576 U. S. 1, 29–32 (2015).</w:t>
      </w:r>
    </w:p>
    <w:p>
      <w:pPr>
        <w:pStyle w:val="DocBody"/>
      </w:pPr>
      <w:r>
        <w:rPr>
          <w:rFonts w:ascii="Times New Roman" w:hAnsi="Times New Roman" w:eastAsia="宋体"/>
          <w:sz w:val="24"/>
        </w:rPr>
        <w:t>That is why no one at the time saw the First Congress as having endorsed merely a “default” “Presidential removal power” (if such a thing is not a contradiction in terms).  Post,</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at 13, 21 (opinion of SOTOMAYOR, J.).  Madison, in fact, said just the opposite.  Because “the Executive power” vested in the President includes the power “to remov[e] . . . from of­ fice,” he explained, “the Legislature has no right to diminish or modify” that power. 1 Annals of Cong. 463.  Chief Justice Marshall agreed, explaining that the Decision of 1789 viewed the President’s “power of removal” as “fixed in the constitution” and thus free from “legislative instability.”  5 Marshall 200. The same was true for Justice Story, who said that the decision “expressed the sense of the legisla­ ture, that the power of removal by the executive [of princi­ pal officers] could not be abridged by the legislature.”</w:t>
      </w:r>
    </w:p>
    <w:p>
      <w:pPr>
        <w:pStyle w:val="DocBody"/>
      </w:pPr>
      <w:r>
        <w:rPr>
          <w:rFonts w:ascii="Times New Roman" w:hAnsi="Times New Roman" w:eastAsia="宋体"/>
          <w:sz w:val="24"/>
        </w:rPr>
        <w:t>3 Story §1531, at 390, n. 1.6 With no support in the First Congress’s actual debate on the subject, the dissent (this time joined by Slaughter)</w:t>
      </w:r>
    </w:p>
    <w:p>
      <w:pPr>
        <w:pStyle w:val="DocBody"/>
      </w:pPr>
      <w:r>
        <w:rPr>
          <w:rFonts w:ascii="Times New Roman" w:hAnsi="Times New Roman" w:eastAsia="宋体"/>
          <w:sz w:val="24"/>
        </w:rPr>
        <w:t>turns to three early agencies that it contends were “at least semi-independent.” Post, at 24–26; see also Brief for Re­ spondent 14–16. But the members of these agencies, too, were removable by the President at will.  Indeed, the first of the three, the Revolutionary War Debt Commission, was composed solely of Presidential appointees, with a statute that did not purport to limit the President’s power of —————— 6Despite having led with Story, the dissent eventually tries to call it a draw. Compare post, at 2 (listing Story in the pantheon of jurists who supposedly would join today’s dissenters), with post, at 23 (describing Story’s position as “equivocal” and “unclear”).  Story was in fact quite clear. He identified the very “question” at issue in this case: “[W]hether congress can give any duration of office in such cases [of principal offic­ ers], not subject to the exercise of this [Presidential] power of removal?”</w:t>
      </w:r>
    </w:p>
    <w:p>
      <w:pPr>
        <w:pStyle w:val="DocBody"/>
      </w:pPr>
      <w:r>
        <w:rPr>
          <w:rFonts w:ascii="Times New Roman" w:hAnsi="Times New Roman" w:eastAsia="宋体"/>
          <w:sz w:val="24"/>
        </w:rPr>
        <w:t>3 Story §1531, at 389.  He then gave the First Congress’s answer (as already quoted): “In the debate in 1789 . . . the very question was dis­ cussed; and the final vote seems to have expressed the sense of the leg­ islature, that the power of removal by the executive could not be abridged by the legislature; at least, not in cases, where the power to appoint was not subject to legislative delegation.”  Id., §1531, at 390, n. 1.  There is no shame in disagreeing with Story’s appraisal of the Decision of 1789, but that is the reality of the dissent’s position.</w:t>
      </w:r>
    </w:p>
    <w:p>
      <w:pPr>
        <w:pStyle w:val="DocBody"/>
      </w:pPr>
      <w:r>
        <w:rPr>
          <w:rFonts w:ascii="Times New Roman" w:hAnsi="Times New Roman" w:eastAsia="宋体"/>
          <w:sz w:val="24"/>
        </w:rPr>
        <w:t>TRUMP v. SLAUGHTER Opinion of the Court removal. See Act of Aug. 5, 1790, ch. 38, 1 Stat. 178.7  And the latter two, the Mint Board and the Sinking Fund Com­ mission, were both composed mostly of Cabinet Secretaries, who (all agree) could be fired at any time.  See Act of Apr.</w:t>
      </w:r>
    </w:p>
    <w:p>
      <w:pPr>
        <w:pStyle w:val="DocBody"/>
      </w:pPr>
      <w:r>
        <w:rPr>
          <w:rFonts w:ascii="Times New Roman" w:hAnsi="Times New Roman" w:eastAsia="宋体"/>
          <w:sz w:val="24"/>
        </w:rPr>
        <w:t>2, 1792, 1 Stat. 250 (Mint Board); Act of Aug. 12, 1790, ch.</w:t>
      </w:r>
    </w:p>
    <w:p>
      <w:pPr>
        <w:pStyle w:val="DocBody"/>
      </w:pPr>
      <w:r>
        <w:rPr>
          <w:rFonts w:ascii="Times New Roman" w:hAnsi="Times New Roman" w:eastAsia="宋体"/>
          <w:sz w:val="24"/>
        </w:rPr>
        <w:t>47, 1 Stat. 186 (Sinking Fund Commission).  The only ques­ tion arises as to one member of the Mint Board (the Chief Justice) and two members of the Sinking Fund Commission (the Chief Justice and the Vice President).  Of course the President could not fire either one from his underlying po­ sition, but that did not mean that he was unable to oust them from service within the Executive Branch itself.  See Bamzai &amp; Prakash 1842–1843. It is true that the President could not “add a new Vice President or Chief Justice” to re­ place them, post, at 25, n. 10 (opinion of SOTOMAYOR, J.), but that poses no constitutional problem. Either way, the President remains responsible—if he chooses to keep them in office, he is responsible for their conduct; if he chooses to remove them, he is responsible for the conduct of those who are left. Certainly these examples do not show that the founding-era Congress thought that it could take away the President’s power and give it to someone else, much less the Chief Justice or the Vice President.</w:t>
      </w:r>
    </w:p>
    <w:p>
      <w:pPr>
        <w:pStyle w:val="DocBody"/>
      </w:pPr>
      <w:r>
        <w:rPr>
          <w:rFonts w:ascii="Times New Roman" w:hAnsi="Times New Roman" w:eastAsia="宋体"/>
          <w:sz w:val="24"/>
        </w:rPr>
        <w:t>With no support in the founding era as a whole, the dis­ sent opts to skip ahead a century or two.8 See post, at 10– —————— 7Quoting a letter from Hamilton in which he described the Commis­ sioners as “ ‘distinct and Independant Officers,’ ” the dissent infers that they must not have been removable by the President.  Post, at 25 (quoting 16 Papers of Alexander Hamilton 145 (H. Syrett ed. 1972)).  Hamilton, however, said only that the Commissioners were “distinct and Independ­ ant” from “[t]he Treasury”—not the President.  Id., at 145 (emphasis added).</w:t>
      </w:r>
    </w:p>
    <w:p>
      <w:pPr>
        <w:pStyle w:val="DocBody"/>
      </w:pPr>
      <w:r>
        <w:rPr>
          <w:rFonts w:ascii="Times New Roman" w:hAnsi="Times New Roman" w:eastAsia="宋体"/>
          <w:sz w:val="24"/>
        </w:rPr>
        <w:t>8Searching for earlier precedents, the dissent attempts to enlist Pres­ ident Lincoln as an “active participa[nt]” in its cause. Post, at 11. It does so, however, based solely on a law “ ‘adopted without discussion’ during the heat of the Civil War and abandoned” only a year later, “before it could be ‘tested by executive or judicial  inquiry.’ ” Seila Law, 591 U. S.,</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w:t>
      </w:r>
    </w:p>
    <w:p>
      <w:pPr>
        <w:pStyle w:val="DocBody"/>
        <w:ind w:left="765"/>
      </w:pPr>
      <w:r>
        <w:rPr>
          <w:rFonts w:ascii="Times New Roman" w:hAnsi="Times New Roman" w:eastAsia="宋体"/>
          <w:sz w:val="24"/>
        </w:rPr>
        <w:t>“Today,” the dissent notes, “dozens of agencies are headed by commissioners or board members removable only for cause,” and “this longstanding practice” (it con­ tends) “should be entitled to significant weight.”  Post, at 11–12. We have never endorsed such a practice-makes-per­ fect theory of congressional power, and in fact rejected it in INS v. Chadha, 462 U. S. 919 (1983).  At issue in Chadha were the nearly 300 legislative vetoes adopted by the polit­ ical branches over the course of 50 years—with more and more enacted each year. See id., at 944–945. As we saw matters, however, the popularity of the congressional veto only “sharpened” our review.  Id., at 944. Such “‘political inventions’” must remain subject to “the demands of the Constitution,” we said, lest the political branches amend by agreement “integral parts of the constitutional design.”  Id., at 945–946. We say the same today.</w:t>
      </w:r>
    </w:p>
    <w:p>
      <w:pPr>
        <w:pStyle w:val="DocBody"/>
      </w:pPr>
      <w:r>
        <w:rPr>
          <w:rFonts w:ascii="Times New Roman" w:hAnsi="Times New Roman" w:eastAsia="宋体"/>
          <w:sz w:val="24"/>
        </w:rPr>
        <w:t>To bolster its reliance on modern practice, the dissent fo­ cuses on a modern case, Humphrey’s.9  But it defends a —————— at 220 (quoting Myers, 272 U. S., at 165).  It perhaps goes without saying, but Lincoln—whose contemporaries called him “Abraham Rex”; who called himself the “master” of his administration; and who told his ap­ pointees that he “must . . . be the judge, how long to retain in, and when to remove any . . . from his position”—likely did not see Presidential power the same way the dissent does.  2 M. Burlingame, Abraham Lin­ coln: A Life 55, 456, 657 (2008).</w:t>
      </w:r>
    </w:p>
    <w:p>
      <w:pPr>
        <w:pStyle w:val="DocBody"/>
      </w:pPr>
      <w:r>
        <w:rPr>
          <w:rFonts w:ascii="Times New Roman" w:hAnsi="Times New Roman" w:eastAsia="宋体"/>
          <w:sz w:val="24"/>
        </w:rPr>
        <w:t>9The dissent also invokes Marbury v. Madison, 1 Cranch 137 (1803), but that case has nothing to do with this one. It is true that Chief Justice Marshall held (as the dissent puts it) that “an office[r] with a 5-year fixed-term tenure was ‘not removable at the will of the executive,’ ” post, at 27–28 (quoting Marbury, 1 Cranch, at 162), but the dissent ignores the fact that the “officer” in question was a justice of the peace in the District of Columbia. Such justices do not exercise executive power.</w:t>
      </w:r>
    </w:p>
    <w:p>
      <w:pPr>
        <w:pStyle w:val="DocBody"/>
      </w:pPr>
      <w:r>
        <w:rPr>
          <w:rFonts w:ascii="Times New Roman" w:hAnsi="Times New Roman" w:eastAsia="宋体"/>
          <w:sz w:val="24"/>
        </w:rPr>
        <w:t>They instead exercise the judicial power of the District, just as territorial judges exercise the judicial power of their respective territories.  See Sere v. Pitot, 6 Cranch 332, 336–337 (1810) (Marshall, C. J., for the Court);</w:t>
      </w:r>
    </w:p>
    <w:p>
      <w:pPr>
        <w:pStyle w:val="DocBody"/>
      </w:pPr>
      <w:r>
        <w:rPr>
          <w:rFonts w:ascii="Times New Roman" w:hAnsi="Times New Roman" w:eastAsia="宋体"/>
          <w:sz w:val="24"/>
        </w:rPr>
        <w:t>American Ins. Co. v. 356 Bales of Cotton, 1 Pet. 511, 545–546 (1828)</w:t>
      </w:r>
    </w:p>
    <w:p>
      <w:pPr>
        <w:pStyle w:val="DocBody"/>
      </w:pPr>
      <w:r>
        <w:rPr>
          <w:rFonts w:ascii="Times New Roman" w:hAnsi="Times New Roman" w:eastAsia="宋体"/>
          <w:sz w:val="24"/>
        </w:rPr>
        <w:t>(same); see also Kendall v. United States ex rel. Stokes, 12 Pet. 524, 619 (1838).  The fact that Congress may prohibit the President from firing the District’s judges (who do not exercise his power) says nothing about</w:t>
      </w:r>
    </w:p>
    <w:p>
      <w:pPr>
        <w:pStyle w:val="DocBody"/>
      </w:pPr>
      <w:r>
        <w:rPr>
          <w:rFonts w:ascii="Times New Roman" w:hAnsi="Times New Roman" w:eastAsia="宋体"/>
          <w:sz w:val="24"/>
        </w:rPr>
        <w:t>TRUMP v. SLAUGHTER Opinion of the Court version of Humphrey’s that does not exist. On the dissent’s telling, Humphrey’s makes this a “profoundly easy case,” as Humphrey’s squarely holds that Congress may “forbid Pres­ idential ‘removal’” “[f]or an agency of this ‘character.’”</w:t>
      </w:r>
    </w:p>
    <w:p>
      <w:pPr>
        <w:pStyle w:val="DocBody"/>
      </w:pPr>
      <w:r>
        <w:rPr>
          <w:rFonts w:ascii="Times New Roman" w:hAnsi="Times New Roman" w:eastAsia="宋体"/>
          <w:sz w:val="24"/>
        </w:rPr>
        <w:t>Post, at 2, 5 (quoting Humphrey’s, 295 U. S., at 631); see also post, at 1–2, 5–12, 27–30, 34–46 (relying on Humph­ rey’s). Only halfway through a footnote does the dissent acknowledge that “Humphrey’s described the FTC [in 1935] as sharing ‘no part of the executive power,’” post, at 8, n. 1 (quoting Humphrey’s, 295 U. S., at 628), which presumably forms part of an agency’s “character.”  Nowhere does the dissent argue, however, that the FTC today exercises “no part of the executive power” or (to quote further from Humphrey’s) that the FTC occupies “no place in the execu­ tive department” and ought to be “independent of executive authority.” Id., at 625, 628.  The dissent may not keep the parts of Humphrey’s it likes and discard the rest.</w:t>
      </w:r>
    </w:p>
    <w:p>
      <w:pPr>
        <w:pStyle w:val="DocBody"/>
      </w:pPr>
      <w:r>
        <w:rPr>
          <w:rFonts w:ascii="Times New Roman" w:hAnsi="Times New Roman" w:eastAsia="宋体"/>
          <w:sz w:val="24"/>
        </w:rPr>
        <w:t>Indeed, the dissent’s ode to stare decisis is hard to recon­ cile with its reinvention of Humphrey’s and shabby treat­ ment of Myers. At least we have accorded Humphrey’s a respectful burial; the dissent would cast Myers aside with­ out a second thought. See post, at 29–30 (denigrating My­ ers). It is entitled to propose as much, of course, but it can hardly claim the mantle of stare decisis in doing so.</w:t>
      </w:r>
    </w:p>
    <w:p>
      <w:pPr>
        <w:pStyle w:val="DocBody"/>
      </w:pPr>
      <w:r>
        <w:rPr>
          <w:rFonts w:ascii="Times New Roman" w:hAnsi="Times New Roman" w:eastAsia="宋体"/>
          <w:sz w:val="24"/>
        </w:rPr>
        <w:t>When it comes to its own proposal for how precisely Humphrey’s should work in practice, the dissent says very little. Slaughter, for her part, is left with the vague argu­ ment that we should police Congress’s decisions for “reason­ ableness.” “[I]f Congress reasonably decides that the Pres­ ident should be able to remove some duly appointed officers only for certain causes and through certain processes,” she —————— whether Congress may prohibit the President from firing his subordi­ nates (who do).  Indeed, Chief Justice Marshall must have thought as much, for he felt free to write just four years after Marbury that “the power of removal by the president . . . was by fair construction, fixed in the constitution,” as determined by the Decision of 1789.  5 Marshall 200.</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Opinion of the Court argues, the courts should respect that decision, and require that the President “discharge his obligations under the Take Care Clause by going through those processes when warranted.”  Brief for Respondent 25 (internal quotation marks omitted).</w:t>
      </w:r>
    </w:p>
    <w:p>
      <w:pPr>
        <w:pStyle w:val="DocBody"/>
      </w:pPr>
      <w:r>
        <w:rPr>
          <w:rFonts w:ascii="Times New Roman" w:hAnsi="Times New Roman" w:eastAsia="宋体"/>
          <w:sz w:val="24"/>
        </w:rPr>
        <w:t>That supposed limiting principle is neither limiting nor much of a principle. On Slaughter’s view (and presumably the dissent’s), Congress could commandeer the Environ­ mental Protection Agency, the Department of Commerce, the Department of Education, the Department of Health and Human Services, most (if not at all) of the Department of Justice, and a number of other agencies besides.  Indeed, it is not clear to us why Congress would need to allow the President any say in firings.  If it is so “critical” for an agency “to have independence and to act with impartiality free from the suspicion of partisan direction,” Brief for Re­ spondent 22 (alterations and internal quotation marks omitted), then why should the President have a role at all?</w:t>
      </w:r>
    </w:p>
    <w:p>
      <w:pPr>
        <w:pStyle w:val="DocBody"/>
      </w:pPr>
      <w:r>
        <w:rPr>
          <w:rFonts w:ascii="Times New Roman" w:hAnsi="Times New Roman" w:eastAsia="宋体"/>
          <w:sz w:val="24"/>
        </w:rPr>
        <w:t>Certainly those legislators who disagreed with the Decision of 1789 were happy to leave him out.  See 1 Annals of Cong.</w:t>
      </w:r>
    </w:p>
    <w:p>
      <w:pPr>
        <w:pStyle w:val="DocBody"/>
      </w:pPr>
      <w:r>
        <w:rPr>
          <w:rFonts w:ascii="Times New Roman" w:hAnsi="Times New Roman" w:eastAsia="宋体"/>
          <w:sz w:val="24"/>
        </w:rPr>
        <w:t>521 (Rep. Sedgwick) (arguing that Congress may vest the removal power in “the President, the President and Senate, or the Legislature, or any other person whom they might introduce into office, merely for that particular purpose”).</w:t>
      </w:r>
    </w:p>
    <w:p>
      <w:pPr>
        <w:pStyle w:val="DocBody"/>
      </w:pPr>
      <w:r>
        <w:rPr>
          <w:rFonts w:ascii="Times New Roman" w:hAnsi="Times New Roman" w:eastAsia="宋体"/>
          <w:sz w:val="24"/>
        </w:rPr>
        <w:t>The answer, then as now, is that these officers exercise the President’s power, not their own, and thus must be re­ sponsible to him.  We do not allow intrusions on Article I nor on Article III.  See INS v. Chadha, 462 U. S. 919; Stern v. Marshall, 564 U. S. 462 (2011).  We see no reason to allow intrusions on Article II either.</w:t>
      </w:r>
    </w:p>
    <w:p>
      <w:pPr>
        <w:pStyle w:val="DocBody"/>
      </w:pPr>
      <w:r>
        <w:rPr>
          <w:rFonts w:ascii="Times New Roman" w:hAnsi="Times New Roman" w:eastAsia="宋体"/>
          <w:sz w:val="24"/>
        </w:rPr>
        <w:t>Our Constitution creates three branches, but only one President. That President is not all powerful—not by any means.</w:t>
      </w:r>
    </w:p>
    <w:p>
      <w:pPr>
        <w:pStyle w:val="DocBody"/>
      </w:pPr>
      <w:r>
        <w:rPr>
          <w:rFonts w:ascii="Times New Roman" w:hAnsi="Times New Roman" w:eastAsia="宋体"/>
          <w:sz w:val="24"/>
        </w:rPr>
        <w:t>See, e.g., Ex parte Milligan, 4 Wall. 2 (1866);</w:t>
      </w:r>
    </w:p>
    <w:p>
      <w:pPr>
        <w:pStyle w:val="DocBody"/>
      </w:pPr>
      <w:r>
        <w:rPr>
          <w:rFonts w:ascii="Times New Roman" w:hAnsi="Times New Roman" w:eastAsia="宋体"/>
          <w:sz w:val="24"/>
        </w:rPr>
        <w:t>Youngstown Sheet &amp; Tube Co. v. Sawyer, 343 U. S. 579</w:t>
      </w:r>
    </w:p>
    <w:p>
      <w:pPr>
        <w:pStyle w:val="DocBody"/>
      </w:pPr>
      <w:r>
        <w:rPr>
          <w:rFonts w:ascii="Times New Roman" w:hAnsi="Times New Roman" w:eastAsia="宋体"/>
          <w:sz w:val="24"/>
        </w:rPr>
        <w:t>TRUMP v. SLAUGHTER Opinion of the Court (1952); United States v. Nixon, 418 U. S. 683 (1974).  But he is not impotent either. He and he alone is vested with “[t]he executive Power” of the United States. Art. II, §1, cl. 1.</w:t>
      </w:r>
    </w:p>
    <w:p>
      <w:pPr>
        <w:pStyle w:val="DocBody"/>
      </w:pPr>
      <w:r>
        <w:rPr>
          <w:rFonts w:ascii="Times New Roman" w:hAnsi="Times New Roman" w:eastAsia="宋体"/>
          <w:sz w:val="24"/>
        </w:rPr>
        <w:t>To “discharg[e] the duties of his trust,” the President must have the assistance of officers he can trust.  30 Writ­ ings of George Washington, at 334. Although it is up to the Senate to decide whether to confirm those with whom the President would prefer to work, neither Congress nor the courts may saddle him with those with whom he cannot work. Subordinates who exercise the President’s power are subject to removal by him.  Then, and only then, can they remain accountable to the President, and the President to the people.</w:t>
      </w:r>
    </w:p>
    <w:p>
      <w:pPr>
        <w:pStyle w:val="DocBody"/>
      </w:pPr>
      <w:r>
        <w:rPr>
          <w:rFonts w:ascii="Times New Roman" w:hAnsi="Times New Roman" w:eastAsia="宋体"/>
          <w:sz w:val="24"/>
        </w:rPr>
        <w:t>The judgment of the United States District Court for the District of Columbia is reversed, and the case is remanded for further proceedings consistent with this opinion.</w:t>
      </w:r>
    </w:p>
    <w:p>
      <w:pPr>
        <w:pStyle w:val="DocBody"/>
      </w:pPr>
      <w:r>
        <w:rPr>
          <w:rFonts w:ascii="Times New Roman" w:hAnsi="Times New Roman" w:eastAsia="宋体"/>
          <w:sz w:val="24"/>
        </w:rPr>
        <w:t>It is so ordered.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GORSUCH, J., concurring SUPREME COURT OF THE UNITED STATES No. 25–332 DONALD J. TRUMP, PRESIDENT OF THE UNITED STATES, ET AL., PETITIONERS v. REBECCA KELLY SLAUGHTER ON WRIT OF CERTIORARI BEFORE JUDGMENT TO THE UNITED STATES COURT OF APPEALS FOR THE DISTRICT OF COLUMBIA CIRCUIT [June 29, 2026] JUSTICE GORSUCH, concurring.</w:t>
      </w:r>
    </w:p>
    <w:p>
      <w:pPr>
        <w:pStyle w:val="DocBody"/>
      </w:pPr>
      <w:r>
        <w:rPr>
          <w:rFonts w:ascii="Times New Roman" w:hAnsi="Times New Roman" w:eastAsia="宋体"/>
          <w:sz w:val="24"/>
        </w:rPr>
        <w:t>To fulfill his constitutional duty to ensure the laws are faithfully executed, the Court holds, the President must have the ability to remove principal officers who exercise executive power in his name.  That includes those who run independent agencies like the Federal Trade Commission (FTC). Ante, at 2. With all this, I agree.</w:t>
      </w:r>
    </w:p>
    <w:p>
      <w:pPr>
        <w:pStyle w:val="DocBody"/>
      </w:pPr>
      <w:r>
        <w:rPr>
          <w:rFonts w:ascii="Times New Roman" w:hAnsi="Times New Roman" w:eastAsia="宋体"/>
          <w:sz w:val="24"/>
        </w:rPr>
        <w:t>But neither can I ignore the implications that follow.  To­ day, independent agencies do not just exercise executive law-enforcement powers. Congress has also delegated to them vast legislative and judicial powers, effectively allow­ ing these agencies to make laws and decide disputes under them. And, after today’s decision, the President can effec­ tively exercise all those powers too.</w:t>
      </w:r>
    </w:p>
    <w:p>
      <w:pPr>
        <w:pStyle w:val="DocBody"/>
      </w:pPr>
      <w:r>
        <w:rPr>
          <w:rFonts w:ascii="Times New Roman" w:hAnsi="Times New Roman" w:eastAsia="宋体"/>
          <w:sz w:val="24"/>
        </w:rPr>
        <w:t>It’s a development that raises important questions, not least these:</w:t>
      </w:r>
    </w:p>
    <w:p>
      <w:pPr>
        <w:pStyle w:val="DocBody"/>
      </w:pPr>
      <w:r>
        <w:rPr>
          <w:rFonts w:ascii="Times New Roman" w:hAnsi="Times New Roman" w:eastAsia="宋体"/>
          <w:sz w:val="24"/>
        </w:rPr>
        <w:t>Would Congress have delegated so much power, including legislative and judicial power, to inde­ pendent agencies had it known that the President would come to control them?  How will Congress respond now—if realistically it can? And what, if anything, will this Court do about it?</w:t>
      </w:r>
    </w:p>
    <w:p>
      <w:pPr>
        <w:pStyle w:val="DocBody"/>
      </w:pPr>
      <w:r>
        <w:rPr>
          <w:rFonts w:ascii="Times New Roman" w:hAnsi="Times New Roman" w:eastAsia="宋体"/>
          <w:sz w:val="24"/>
        </w:rPr>
        <w:t>TRUMP v. SLAUGHTER GORSUCH, J., concurring I A Begin with how we got here.  One strand of the story runs this way, and it starts in the academy.  In the early 20th century, a group of scholars including Woodrow Wilson and James Landis came to the view that our “simple tripartite form of government” was “inadequa[te] . . . to deal with modern problems.”  J. Landis, The Administrative Process 1 (1938) (Landis). Really, they thought, our constitutional system had become “unworkable.”  F. Goodnow, Politics and Administration 14 (1900) (Goodnow); see also H. Laski, Au­ thority in the Modern State 70–71 (1919).</w:t>
      </w:r>
    </w:p>
    <w:p>
      <w:pPr>
        <w:pStyle w:val="DocBody"/>
      </w:pPr>
      <w:r>
        <w:rPr>
          <w:rFonts w:ascii="Times New Roman" w:hAnsi="Times New Roman" w:eastAsia="宋体"/>
          <w:sz w:val="24"/>
        </w:rPr>
        <w:t>To meet modern challenges, Wilson and others argued, American government needed to reorient itself around the goal of operating with the “utmost possible efficiency.”  W.</w:t>
      </w:r>
    </w:p>
    <w:p>
      <w:pPr>
        <w:pStyle w:val="DocBody"/>
      </w:pPr>
      <w:r>
        <w:rPr>
          <w:rFonts w:ascii="Times New Roman" w:hAnsi="Times New Roman" w:eastAsia="宋体"/>
          <w:sz w:val="24"/>
        </w:rPr>
        <w:t>Wilson, The Study of Administration, 2 Pol. Sci. Q. 197 (1887) (Wilson, Study of Administration).  Impressed by the perceived competence of the Prussian bureaucracy, they called on the Nation to stop “dogmatiz[ing] about the con­ stitution of government.” Id., at 197–199 (emphasis de­ leted); see also id., at 204, 217.  In our changing world, they said, the project of “distinguish[ing] . . . between” legisla­ tive, executive, and judicial powers had to “g[i]ve way . . . to the exigencies of governance.” Landis 1–2.</w:t>
      </w:r>
    </w:p>
    <w:p>
      <w:pPr>
        <w:pStyle w:val="DocBody"/>
      </w:pPr>
      <w:r>
        <w:rPr>
          <w:rFonts w:ascii="Times New Roman" w:hAnsi="Times New Roman" w:eastAsia="宋体"/>
          <w:sz w:val="24"/>
        </w:rPr>
        <w:t>All told, Wilson and his followers argued for an entirely new model of “[p]ublic administration.”  Wilson, Study of Administration 212.  To be sure, this model had its nuances, and its proponents their disagreements. But a few ideas were central to the project.  First, new agencies needed to be created and staffed by scientific and technical “expert[s]”</w:t>
      </w:r>
    </w:p>
    <w:p>
      <w:pPr>
        <w:pStyle w:val="DocBody"/>
      </w:pPr>
      <w:r>
        <w:rPr>
          <w:rFonts w:ascii="Times New Roman" w:hAnsi="Times New Roman" w:eastAsia="宋体"/>
          <w:sz w:val="24"/>
        </w:rPr>
        <w:t>with the “technical skill” to translate “far-reaching . . . leg­ islation into reality.” Landis 25–26; id., at 23–25 (empha­ sizing the “need for expertness”).</w:t>
      </w:r>
    </w:p>
    <w:p>
      <w:pPr>
        <w:pStyle w:val="DocBody"/>
      </w:pPr>
      <w:r>
        <w:rPr>
          <w:rFonts w:ascii="Times New Roman" w:hAnsi="Times New Roman" w:eastAsia="宋体"/>
          <w:sz w:val="24"/>
        </w:rPr>
        <w:t>Second, these experts had to be insulated from political control. As Wilson put it, the Nation’s traditional commit­ ment to “popular sovereignty” entrusted too much to a</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GORSUCH, J., concurring “selfish, ignorant, timid, stubborn, or foolish” people. Wil­ son, Study of Administration 207–208.  And letting the pub­ lic anywhere near the new bureaucracies would amount to letting “a rustic handl[e] delicate machinery.” Id., at 215;</w:t>
      </w:r>
    </w:p>
    <w:p>
      <w:pPr>
        <w:pStyle w:val="DocBody"/>
      </w:pPr>
      <w:r>
        <w:rPr>
          <w:rFonts w:ascii="Times New Roman" w:hAnsi="Times New Roman" w:eastAsia="宋体"/>
          <w:sz w:val="24"/>
        </w:rPr>
        <w:t>see also W. Wilson, Shorthand Diary, in 1 Papers of Wood­ row Wilson 143 (A. Link ed. 1966) (“[U]niversal suffrage is at the foundation of every evil in this country”); cf. Goodnow 85.</w:t>
      </w:r>
    </w:p>
    <w:p>
      <w:pPr>
        <w:pStyle w:val="DocBody"/>
      </w:pPr>
      <w:r>
        <w:rPr>
          <w:rFonts w:ascii="Times New Roman" w:hAnsi="Times New Roman" w:eastAsia="宋体"/>
          <w:sz w:val="24"/>
        </w:rPr>
        <w:t>Finally, to fulfill their new responsibilities, politically in­ sulated agency experts needed power.  Lots of it. Much more than just executive authority to enforce the laws Con­ gress writes.  They also required authority over “legislative and judicial acts.” W. Wilson, Notes for Lectures on Admin­ istration at the Johns Hopkins (1891), in 7 Papers of Wood­ row Wilson 136 (A. Link ed. 1969) (Wilson, Notes).  All told, they needed “legislative power,” “executive power,” and— while they were at it—“whatever power might be required to achieve the desired results.”  Landis 10; see also Wilson, Notes 138 (describing as “advantag[e]ous” the Prussian “union . . . of legislativ[e], administrative, and judicial func­ tions”).</w:t>
      </w:r>
    </w:p>
    <w:p>
      <w:pPr>
        <w:pStyle w:val="DocBody"/>
      </w:pPr>
      <w:r>
        <w:rPr>
          <w:rFonts w:ascii="Times New Roman" w:hAnsi="Times New Roman" w:eastAsia="宋体"/>
          <w:sz w:val="24"/>
        </w:rPr>
        <w:t>B Influential as these ideas were, they met with some hard realities as they progressed from the academy into the halls of government. For an illustration, look no further than the FTC itself and the case at the center of today’s dispute, Humphrey’s Executor v. United States, 295 U. S. 602 (1935).</w:t>
      </w:r>
    </w:p>
    <w:p>
      <w:pPr>
        <w:pStyle w:val="DocBody"/>
      </w:pPr>
      <w:r>
        <w:rPr>
          <w:rFonts w:ascii="Times New Roman" w:hAnsi="Times New Roman" w:eastAsia="宋体"/>
          <w:sz w:val="24"/>
        </w:rPr>
        <w:t>Congress created the FTC in 1914 through legislation that by-then President Wilson signed into law.  See ch. 311, 38 Stat. 717. In establishing the agency, Congress endowed it with considerable power both to define and prosecute “un­ fair methods of competition.”  Id., at 719–720. And in the same breath, Congress insulated the agency’s leadership from democratic control, at least to a degree:  Once leaders were appointed by the President and confirmed by the</w:t>
      </w:r>
    </w:p>
    <w:p>
      <w:pPr>
        <w:pStyle w:val="DocBody"/>
      </w:pPr>
      <w:r>
        <w:rPr>
          <w:rFonts w:ascii="Times New Roman" w:hAnsi="Times New Roman" w:eastAsia="宋体"/>
          <w:sz w:val="24"/>
        </w:rPr>
        <w:t>TRUMP v. SLAUGHTER GORSUCH, J., concurring Senate, Congress provided, the President could remove them only “for inefficiency, neglect of duty, or malfeasance in office.” Id., at 718.</w:t>
      </w:r>
    </w:p>
    <w:p>
      <w:pPr>
        <w:pStyle w:val="DocBody"/>
      </w:pPr>
      <w:r>
        <w:rPr>
          <w:rFonts w:ascii="Times New Roman" w:hAnsi="Times New Roman" w:eastAsia="宋体"/>
          <w:sz w:val="24"/>
        </w:rPr>
        <w:t>Even so, the notion that the FTC and agencies like it would be led by technical experts who would neutrally and scientifically chart the Nation’s path soon began to look a bit “quaint.” See E. Kagan, Presidential Administration, 114 Harv. L. Rev. 2245, 2261 (2001).  Maybe that was be­ cause politicians remained in control of the appointment and confirmation processes. Maybe it was because they re­ tained so many other ways to influence an agency’s actions.</w:t>
      </w:r>
    </w:p>
    <w:p>
      <w:pPr>
        <w:pStyle w:val="DocBody"/>
      </w:pPr>
      <w:r>
        <w:rPr>
          <w:rFonts w:ascii="Times New Roman" w:hAnsi="Times New Roman" w:eastAsia="宋体"/>
          <w:sz w:val="24"/>
        </w:rPr>
        <w:t>Maybe it was because policymaking, even when performed by technical experts, almost always requires tradeoffs be­ tween competing values. Or maybe it was because of some combination of these and other factors.  See N. Rao, Admin­ istrative Collusion: How Delegation Diminishes the Collec­ tive Congress, 90 N. Y. U. L. Rev. 1463, 1477–1484 (2015).</w:t>
      </w:r>
    </w:p>
    <w:p>
      <w:pPr>
        <w:pStyle w:val="DocBody"/>
      </w:pPr>
      <w:r>
        <w:rPr>
          <w:rFonts w:ascii="Times New Roman" w:hAnsi="Times New Roman" w:eastAsia="宋体"/>
          <w:sz w:val="24"/>
        </w:rPr>
        <w:t>Whatever the causes, it didn’t take long for the problem to surface. Just take William E. Humphrey.  In 1925, about a decade after giving up his seat in Congress for a failed Senate bid, he landed a job as one of the FTC’s Commission­ ers. See G. Davis, The Transformation of the Federal Trade Commission, 1914–1929, 49 Miss. Valley Hist. Rev. 437, 445–448 (1962). It seems Humphrey’s primary qualifica­ tion for the job wasn’t so much his technical expertise as his loyalty to the Republican party then holding the White House, along perhaps with his “close connection[s] with northwestern lumber interests, which had suffered the un­ favorable publicity of [an FTC] investigation” in recent years. Id., at 445.</w:t>
      </w:r>
    </w:p>
    <w:p>
      <w:pPr>
        <w:pStyle w:val="DocBody"/>
      </w:pPr>
      <w:r>
        <w:rPr>
          <w:rFonts w:ascii="Times New Roman" w:hAnsi="Times New Roman" w:eastAsia="宋体"/>
          <w:sz w:val="24"/>
        </w:rPr>
        <w:t>If politics rather than neutral technical expertise landed Humphrey the job, they also soon made him a target for re­ moval. Shortly after Democrats swept the election of 1932, President Franklin D. Roosevelt fired Humphrey.  The President did not accuse him of inefficiency, neglect of duty, or malfeasance, the standard Congress had set for the</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GORSUCH, J., concurring removal of FTC Commissioners.  See 38 Stat. 718.  Nor does it seem the President was especially concerned with Humphrey’s expertise (or lack of it).  Instead, it appears that President Roosevelt could not tolerate the “ada­ mant[ly] conservative” Humphrey holding influence over the FTC during “an important phase of the New Deal,” and he wanted someone more sympathetic for the job.</w:t>
      </w:r>
    </w:p>
    <w:p>
      <w:pPr>
        <w:pStyle w:val="DocBody"/>
      </w:pPr>
      <w:r>
        <w:rPr>
          <w:rFonts w:ascii="Times New Roman" w:hAnsi="Times New Roman" w:eastAsia="宋体"/>
          <w:sz w:val="24"/>
        </w:rPr>
        <w:t>W.</w:t>
      </w:r>
    </w:p>
    <w:p>
      <w:pPr>
        <w:pStyle w:val="DocBody"/>
      </w:pPr>
      <w:r>
        <w:rPr>
          <w:rFonts w:ascii="Times New Roman" w:hAnsi="Times New Roman" w:eastAsia="宋体"/>
          <w:sz w:val="24"/>
        </w:rPr>
        <w:t>Leuchtenburg, The Case of the Contentious Commissioner:</w:t>
      </w:r>
    </w:p>
    <w:p>
      <w:pPr>
        <w:pStyle w:val="DocBody"/>
      </w:pPr>
      <w:r>
        <w:rPr>
          <w:rFonts w:ascii="Times New Roman" w:hAnsi="Times New Roman" w:eastAsia="宋体"/>
          <w:sz w:val="24"/>
        </w:rPr>
        <w:t>Humphreys’ Executor v. U. S., in Freedom and Reform 305– 306 (H. Hyman &amp; L. Levy eds. 1967); see also id., at 305 (reciting Humphrey’s complaint that he had been fired for “‘purely political reasons’” (quoting Letter from W. Humph­ rey to G. Norris (Oct. 4, 1933))).</w:t>
      </w:r>
    </w:p>
    <w:p>
      <w:pPr>
        <w:pStyle w:val="DocBody"/>
      </w:pPr>
      <w:r>
        <w:rPr>
          <w:rFonts w:ascii="Times New Roman" w:hAnsi="Times New Roman" w:eastAsia="宋体"/>
          <w:sz w:val="24"/>
        </w:rPr>
        <w:t>C If the Wilsonian vision of agencies run by neutral experts began buckling under the weight of reality early on, an­ other feature of the plan stuck. Those in charge of these new agencies often became very difficult to dislodge.</w:t>
      </w:r>
    </w:p>
    <w:p>
      <w:pPr>
        <w:pStyle w:val="DocBody"/>
      </w:pPr>
      <w:r>
        <w:rPr>
          <w:rFonts w:ascii="Times New Roman" w:hAnsi="Times New Roman" w:eastAsia="宋体"/>
          <w:sz w:val="24"/>
        </w:rPr>
        <w:t>Whether this result represented a faithful manifestation of the Wilsonian project or something else entirely poses an interesting question (political actors—like Humphrey—in­ sulated from politics?). But that is how things unfolded, and once again Humphrey was at the center of it all.  So was this Court.</w:t>
      </w:r>
    </w:p>
    <w:p>
      <w:pPr>
        <w:pStyle w:val="DocBody"/>
      </w:pPr>
      <w:r>
        <w:rPr>
          <w:rFonts w:ascii="Times New Roman" w:hAnsi="Times New Roman" w:eastAsia="宋体"/>
          <w:sz w:val="24"/>
        </w:rPr>
        <w:t>When President Roosevelt fired Humphrey, he had good reason to think he stood on firm legal ground.  To be sure, Congress had imposed statutory restrictions on his removal authority and the President had not even pretended to com­ ply with those restrictions when he dismissed Humphrey.</w:t>
      </w:r>
    </w:p>
    <w:p>
      <w:pPr>
        <w:pStyle w:val="DocBody"/>
      </w:pPr>
      <w:r>
        <w:rPr>
          <w:rFonts w:ascii="Times New Roman" w:hAnsi="Times New Roman" w:eastAsia="宋体"/>
          <w:sz w:val="24"/>
        </w:rPr>
        <w:t>But less than a decade earlier, this Court had held in Myers v. United States, 272 U. S. 52 (1926), that Article II of the Constitution extends to the President the power, un­ bounded by contrary statutes, to remove presidentially ap­ pointed officers like Humphrey.  See id., at 163–176.</w:t>
      </w:r>
    </w:p>
    <w:p>
      <w:pPr>
        <w:pStyle w:val="DocBody"/>
      </w:pPr>
      <w:r>
        <w:rPr>
          <w:rFonts w:ascii="Times New Roman" w:hAnsi="Times New Roman" w:eastAsia="宋体"/>
          <w:sz w:val="24"/>
        </w:rPr>
        <w:t>TRUMP v. SLAUGHTER GORSUCH, J., concurring As it turned out, the President’s expectations proved mis­ placed. When Humphrey sued to challenge his dismissal, this Court brushed Myers aside, upheld Congress’s removal restrictions, and declared Humphrey’s firing unlawful even though he was in no position to reclaim his post.  He died during the course of the litigation, leaving his heirs as the only immediate winners; the decision paved the way for them to secure his backpay.  See Humphrey’s, 295 U. S., at 618, 632. But the broader implications of the Court’s deci­ sion were unmistakable and met with mixed reactions.</w:t>
      </w:r>
    </w:p>
    <w:p>
      <w:pPr>
        <w:pStyle w:val="DocBody"/>
      </w:pPr>
      <w:r>
        <w:rPr>
          <w:rFonts w:ascii="Times New Roman" w:hAnsi="Times New Roman" w:eastAsia="宋体"/>
          <w:sz w:val="24"/>
        </w:rPr>
        <w:t>James Landis greeted the decision with “deligh[t].”  J. Lan­ dis, Mr. Justice Brandeis: A Law Clerk’s View, 46 Publica­ tions of the Am. Jewish Hist. Soc. 467, 472 (1957).  No won­ der. The Supreme Court, after all, had just signed off on at least one aspect of his new model of public administration by permitting Congress to insulate agency leaders from di­ rect presidential control. Meanwhile, and for exactly the same reason, President Roosevelt reportedly “saw in the de­ cision the most direct of all possible trespasses on his pow­ ers as Chief Executive” and “was completely infuriated.”  J.</w:t>
      </w:r>
    </w:p>
    <w:p>
      <w:pPr>
        <w:pStyle w:val="DocBody"/>
      </w:pPr>
      <w:r>
        <w:rPr>
          <w:rFonts w:ascii="Times New Roman" w:hAnsi="Times New Roman" w:eastAsia="宋体"/>
          <w:sz w:val="24"/>
        </w:rPr>
        <w:t>Alsop &amp; T. Catledge, The 168 Days 14 (1938).  So much so that “[i]t may very well have been [Humphrey’s], even more than the other decisions of 1935, which provided the motive for” President Roosevelt’s subsequent attempt to pack the Court. R. Tugwell, The Democratic Roosevelt 392 (1957).</w:t>
      </w:r>
    </w:p>
    <w:p>
      <w:pPr>
        <w:pStyle w:val="DocBody"/>
      </w:pPr>
      <w:r>
        <w:rPr>
          <w:rFonts w:ascii="Times New Roman" w:hAnsi="Times New Roman" w:eastAsia="宋体"/>
          <w:sz w:val="24"/>
        </w:rPr>
        <w:t>But if Humphrey’s invited very different reactions, there was perhaps one thing nearly everyone could agree on. Af­ ter the Court’s ruling, Congress rolled out one new “inde­ pendent” agency after another.  Of course, the term “inde­ pendent” was always a bit of a misnomer.  As we’ve seen, these agencies were never truly independent from politics or even the influence of the President’s appointment pow­ ers. But the leadership of these new agencies at least en­ joyed protection against at-will presidential removal. And Congress turned out so many new independent agencies that a committee President Roosevelt assembled a few</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GORSUCH, J., concurring years later complained of the rise of a new “headless ‘fourth branch’ of the Government, a haphazard deposit of irre­ sponsible agencies and uncoordinated powers,” one that did “violence to the basic theory of the American Constitution.”</w:t>
      </w:r>
    </w:p>
    <w:p>
      <w:pPr>
        <w:pStyle w:val="DocBody"/>
      </w:pPr>
      <w:r>
        <w:rPr>
          <w:rFonts w:ascii="Times New Roman" w:hAnsi="Times New Roman" w:eastAsia="宋体"/>
          <w:sz w:val="24"/>
        </w:rPr>
        <w:t>President’s Committee on Administrative Management, Report on Administrative Management in the Government of the United States 36 (1937) (Roosevelt Committee). In all, the Committee found, Congress had already created “a dozen” agencies “independent” of the President. Id., at 36, 40; see also Investigation of Executive Agencies of the Gov­ ernment, 75th Cong., 1st Sess., 85 (S. Comm. Print 1937, prepared by the Brookings Inst.) (describing “vast and ex­ tremely important fields of Government activity almost re­ moved from the President’s direct administrative control”).</w:t>
      </w:r>
    </w:p>
    <w:p>
      <w:pPr>
        <w:pStyle w:val="DocBody"/>
      </w:pPr>
      <w:r>
        <w:rPr>
          <w:rFonts w:ascii="Times New Roman" w:hAnsi="Times New Roman" w:eastAsia="宋体"/>
          <w:sz w:val="24"/>
        </w:rPr>
        <w:t>D Congress’s newfound ability to insulate agencies from di­ rect presidential control may have encouraged it to lean into the last essential pillar of Wilson’s design too. In Humphrey’s wake, Congress increasingly assigned broad powers to the agencies it created, including legislative and judicial powers. Before Humphrey’s, delegating those sorts of authorities to an agency risked “merely increasing” the President’s own power—he might remove agency heads and seek new ones who would do his bidding.  Landis 46; see also I. Sharfman, The Interstate Commerce Commission: A Study in Administrative Law and Procedure, pt. 2, p. 453 (1931). But Humphrey’s changed the equation, making in­ dependent agencies more tempting repositories for dele­ gated powers that the President could not access with quite such ease.</w:t>
      </w:r>
    </w:p>
    <w:p>
      <w:pPr>
        <w:pStyle w:val="DocBody"/>
      </w:pPr>
      <w:r>
        <w:rPr>
          <w:rFonts w:ascii="Times New Roman" w:hAnsi="Times New Roman" w:eastAsia="宋体"/>
          <w:sz w:val="24"/>
        </w:rPr>
        <w:t>The result? Independent agencies today hold tremendous sway over the Nation’s affairs. They regulate our busi­ nesses, 15 U. S. C. §57a, and our financial markets, §78w.</w:t>
      </w:r>
    </w:p>
    <w:p>
      <w:pPr>
        <w:pStyle w:val="DocBody"/>
      </w:pPr>
      <w:r>
        <w:rPr>
          <w:rFonts w:ascii="Times New Roman" w:hAnsi="Times New Roman" w:eastAsia="宋体"/>
          <w:sz w:val="24"/>
        </w:rPr>
        <w:t>They set the rules for the internet and airwaves.  47 U. S. C.</w:t>
      </w:r>
    </w:p>
    <w:p>
      <w:pPr>
        <w:pStyle w:val="DocBody"/>
      </w:pPr>
      <w:r>
        <w:rPr>
          <w:rFonts w:ascii="Times New Roman" w:hAnsi="Times New Roman" w:eastAsia="宋体"/>
          <w:sz w:val="24"/>
        </w:rPr>
        <w:t>§303. They decide how we light our homes, 42 U. S. C.</w:t>
      </w:r>
    </w:p>
    <w:p>
      <w:pPr>
        <w:pStyle w:val="DocBody"/>
      </w:pPr>
      <w:r>
        <w:rPr>
          <w:rFonts w:ascii="Times New Roman" w:hAnsi="Times New Roman" w:eastAsia="宋体"/>
          <w:sz w:val="24"/>
        </w:rPr>
        <w:t>TRUMP v. SLAUGHTER GORSUCH, J., concurring §§7171–7172, how we run our elections, 52 U. S. C. §30106, and the manner of our employment, 29 U. S. C. §§153, 160.</w:t>
      </w:r>
    </w:p>
    <w:p>
      <w:pPr>
        <w:pStyle w:val="DocBody"/>
      </w:pPr>
      <w:r>
        <w:rPr>
          <w:rFonts w:ascii="Times New Roman" w:hAnsi="Times New Roman" w:eastAsia="宋体"/>
          <w:sz w:val="24"/>
        </w:rPr>
        <w:t>They determine what toys our children will play with, 15 U. S. C. §§2063(a)(2), (3), (d)(2), and how we interact with each other at work, 42 U. S. C. §2000e–5.  And, as the dis­ sent explains, so much more. See post, at 38 (opinion of SOTOMAYOR, J.).1 Often, these agencies do all this with hardly any statu­ tory guidance, based on broad grants of legislative author­ ity. The FTC, for example, enjoys what the Court calls the “startlin[g]” power to define, outlaw, and prosecute any “‘acts or practices which are unfair or deceptive.’”  Ante, at 25 (quoting 15 U. S. C. §57a(a)(1)(B)).  The Securities and Exchange Commission (SEC) may “make such rules and regulations as may be necessary or appropriate to imple­ ment,” 15 U. S. C. §78w(a)(1), its mandate “to insure the maintenance of fair and honest markets,” §78b. The Fed­ eral Communications Commission (FCC) has “exclusive au­ thority to grant licenses” to broadcasters “ ‘based on ‘public convenience, interest, or necessity.’ ” Metro Broadcasting, Inc. v. FCC, 497 U. S. 547, 553 (1990) (quoting 47 U. S. C.</w:t>
      </w:r>
    </w:p>
    <w:p>
      <w:pPr>
        <w:pStyle w:val="DocBody"/>
      </w:pPr>
      <w:r>
        <w:rPr>
          <w:rFonts w:ascii="Times New Roman" w:hAnsi="Times New Roman" w:eastAsia="宋体"/>
          <w:sz w:val="24"/>
        </w:rPr>
        <w:t>§303). One could go on.</w:t>
      </w:r>
    </w:p>
    <w:p>
      <w:pPr>
        <w:pStyle w:val="DocBody"/>
      </w:pPr>
      <w:r>
        <w:rPr>
          <w:rFonts w:ascii="Times New Roman" w:hAnsi="Times New Roman" w:eastAsia="宋体"/>
          <w:sz w:val="24"/>
        </w:rPr>
        <w:t>Nor have these agencies hesitated to employ the powers Congress has given them.  Take a few examples from just the past two years.  In 2024, the SEC took on climate change. See 89 Fed. Reg. 21668, 21683 (requiring “Climate- Related Disclosures” in SEC filings). That same year, the FTC sought to ban nearly all employee noncompete agree­ ments nationwide. 89 Fed. Reg. 38342.  And then there’s —————— 1Some of these agencies, like the Securities and Exchange Commission and the Federal Election Commission, do not even have formal statutory removal protections.  But in practice, that has generally proved no bar to their independence until today.  See, e.g., PHH Corp. v. Consumer Fi­ nancial Protection Bureau, 881 F. 3d 75, 90 (CADC 2018) (en banc) (tak­ ing for granted the “traditional for-cause protection enjoyed by the SEC Commissioners”).</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GORSUCH, J., concurring late-night comedy. Last year, taking objection to a network host’s on-air remarks, the Chairman of the FCC suggested there would be “additional work . . . ahead” for the agency if broadcasting companies did not “find ways to . . . take ac­ tion.” The Benny Show, Sept. 17, 2025 (“[W]e can do this the easy way or the hard way”).</w:t>
      </w:r>
    </w:p>
    <w:p>
      <w:pPr>
        <w:pStyle w:val="DocBody"/>
      </w:pPr>
      <w:r>
        <w:rPr>
          <w:rFonts w:ascii="Times New Roman" w:hAnsi="Times New Roman" w:eastAsia="宋体"/>
          <w:sz w:val="24"/>
        </w:rPr>
        <w:t>Some independent agencies even have de facto authority to create new crimes. By the 1990s, one scholar estimated that “over 300,000 federal regulations,” many of them adopted by independent agencies, “may be enforced crimi­ nally.” J. Coffee, Jr., Does “Unlawful” Mean “Criminal”?:</w:t>
      </w:r>
    </w:p>
    <w:p>
      <w:pPr>
        <w:pStyle w:val="DocBody"/>
      </w:pPr>
      <w:r>
        <w:rPr>
          <w:rFonts w:ascii="Times New Roman" w:hAnsi="Times New Roman" w:eastAsia="宋体"/>
          <w:sz w:val="24"/>
        </w:rPr>
        <w:t>Reflections on the Disappearing Tort/Crime Distinction in American Law, 71 B. U. L. Rev. 193, 216 (1991).  More re­ cent and exact totals are hard to come by—some say there may be simply too many regulatory crimes to count.  See id., at 218.</w:t>
      </w:r>
    </w:p>
    <w:p>
      <w:pPr>
        <w:pStyle w:val="DocBody"/>
      </w:pPr>
      <w:r>
        <w:rPr>
          <w:rFonts w:ascii="Times New Roman" w:hAnsi="Times New Roman" w:eastAsia="宋体"/>
          <w:sz w:val="24"/>
        </w:rPr>
        <w:t>Over time, Congress has afforded agencies not just sweeping legislative powers but judicial ones as well, in­ cluding the power to decide cases and controversies affect­ ing Americans’ private rights.  We have recently begun ad­ dressing whether some of these schemes comply with Article III’s assurance of an independent judge, the Seventh Amendment’s promise of a jury trial, and the Due Process Clause’s guarantee of a fair trial before a fair tribunal.  See SEC v. Jarkesy, 603 U. S. 109, 123–126 (2024); see also id., at 141 (GORSUCH, J., concurring). Even so, certain of those schemes persist. See, e.g., Atlas Roofing Co. v. Occupa­ tional Safety and Health Review Comm’n, 430 U. S. 442, 447–450, 461 (1977).</w:t>
      </w:r>
    </w:p>
    <w:p>
      <w:pPr>
        <w:pStyle w:val="DocBody"/>
      </w:pPr>
      <w:r>
        <w:rPr>
          <w:rFonts w:ascii="Times New Roman" w:hAnsi="Times New Roman" w:eastAsia="宋体"/>
          <w:sz w:val="24"/>
        </w:rPr>
        <w:t>Would Congress have gone so far down this road, delegat­ ing so much legislative and judicial power to agencies, with­ out Humphrey’s assurance that their leaders would enjoy protection against at-will presidential removal?  Maybe.</w:t>
      </w:r>
    </w:p>
    <w:p>
      <w:pPr>
        <w:pStyle w:val="DocBody"/>
      </w:pPr>
      <w:r>
        <w:rPr>
          <w:rFonts w:ascii="Times New Roman" w:hAnsi="Times New Roman" w:eastAsia="宋体"/>
          <w:sz w:val="24"/>
        </w:rPr>
        <w:t>After all, Congress has also granted expansive authorities to various “executive” agencies whose heads have been sub­ ject to at-will presidential removal all along.  But very</w:t>
      </w:r>
    </w:p>
    <w:p>
      <w:pPr>
        <w:pStyle w:val="DocBody"/>
      </w:pPr>
      <w:r>
        <w:rPr>
          <w:rFonts w:ascii="Times New Roman" w:hAnsi="Times New Roman" w:eastAsia="宋体"/>
          <w:sz w:val="24"/>
        </w:rPr>
        <w:t>TRUMP v. SLAUGHTER GORSUCH, J., concurring possibly not. Humphrey’s itself described removal protec­ tions as “essential” to the FTC’s structure.  295 U. S., at</w:t>
      </w:r>
    </w:p>
    <w:p>
      <w:pPr>
        <w:pStyle w:val="DocBody"/>
        <w:ind w:left="765"/>
      </w:pPr>
      <w:r>
        <w:rPr>
          <w:rFonts w:ascii="Times New Roman" w:hAnsi="Times New Roman" w:eastAsia="宋体"/>
          <w:sz w:val="24"/>
        </w:rPr>
        <w:t>Ms. Slaughter cites evidence that “‘[a]t no point was it proposed that [an FTC] ought to be set up unless it be independent.’”  Brief for Respondent 5 (quoting R. Cush­ man, The Independent Regulatory Commissions 188 (1941)). Over the years, many commentators have offered similar assessments. See, e.g., Landis 111 (noting “a corre­ lation between the creation of the independent agency and broad grants of administrative power”); M. Bernstein, Reg­ ulating Business by Independent Commission 148–149 (1955) (observing that many delegations “might not have been enacted if Congress had not been able to delegate reg­ ulatory duties to agencies somewhat removed from contin­ uing presidential guidance”).</w:t>
      </w:r>
    </w:p>
    <w:p>
      <w:pPr>
        <w:pStyle w:val="DocBody"/>
      </w:pPr>
      <w:r>
        <w:rPr>
          <w:rFonts w:ascii="Times New Roman" w:hAnsi="Times New Roman" w:eastAsia="宋体"/>
          <w:sz w:val="24"/>
        </w:rPr>
        <w:t>My dissenting colleagues share the same view too. See post, at 35–36.</w:t>
      </w:r>
    </w:p>
    <w:p>
      <w:pPr>
        <w:pStyle w:val="DocBody"/>
      </w:pPr>
      <w:r>
        <w:rPr>
          <w:rFonts w:ascii="Times New Roman" w:hAnsi="Times New Roman" w:eastAsia="宋体"/>
          <w:sz w:val="24"/>
        </w:rPr>
        <w:t>II A The Court’s decision today may take aim at removal pro­ tections and, in that way, one part of Wilson’s vision.  But, as we have seen, other parts never fully materialized.  It was never the case that neutral experts alone led the agen­ cies Congress created. And it was never true that those agencies were entirely insulated from politics or even pres­ idential influence.  Nor can the demise of one more vestige of Wilson’s ambitions come as a surprise.  As the Court per­ suasively explains, Myers was right all along and so was President Roosevelt: Humphrey’s did “violence to the basic theory of the American Constitution,” which leaves no room for a “headless ‘fourth branch.’” Roosevelt Committee 36.</w:t>
      </w:r>
    </w:p>
    <w:p>
      <w:pPr>
        <w:pStyle w:val="DocBody"/>
      </w:pPr>
      <w:r>
        <w:rPr>
          <w:rFonts w:ascii="Times New Roman" w:hAnsi="Times New Roman" w:eastAsia="宋体"/>
          <w:sz w:val="24"/>
        </w:rPr>
        <w:t>Instead, those who exercise executive power must be ac­ countable through a “chain of dependence” running from the “lowest officers” to “the President,” and from him to the sovereign American people. 1 Annals of Cong. 499 (1789)</w:t>
      </w:r>
    </w:p>
    <w:p>
      <w:pPr>
        <w:pStyle w:val="DocBody"/>
      </w:pPr>
      <w:r>
        <w:rPr>
          <w:rFonts w:ascii="Times New Roman" w:hAnsi="Times New Roman" w:eastAsia="宋体"/>
          <w:sz w:val="24"/>
        </w:rPr>
        <w:t>(J. Madison). As even Wilson and Landis acknowledged,</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GORSUCH, J., concurring their plans for a new scheme of “public administration” al­ ways stood in more than a little tension with the Constitu­ tion’s design.</w:t>
      </w:r>
    </w:p>
    <w:p>
      <w:pPr>
        <w:pStyle w:val="DocBody"/>
      </w:pPr>
      <w:r>
        <w:rPr>
          <w:rFonts w:ascii="Times New Roman" w:hAnsi="Times New Roman" w:eastAsia="宋体"/>
          <w:sz w:val="24"/>
        </w:rPr>
        <w:t>But if today’s decision represents an important step back toward the Constitution, it’s also worth considering the im­ plications it holds for the last remaining pillar of Wilson’s plan. Apparently relying on the assumption that it can af­ ford their leaders some protection against presidential re­ moval, Congress has not just assigned executive law-en­ forcement power to independent agencies.  It has delegated extensive lawmaking and adjudicative functions to them as well. Today’s decision may not have occasion to address those delegations directly, but it carries weighty conse­ quences for them. Open-ended delegations of legislative power have not gone away; now they will just be exercised by agency officials who answer to the President.  The power to write new regulatory crimes still exists, but now the pen ultimately rests in the President’s hand. The ability to judge disputes in-house remains, but now the house is white.</w:t>
      </w:r>
    </w:p>
    <w:p>
      <w:pPr>
        <w:pStyle w:val="DocBody"/>
      </w:pPr>
      <w:r>
        <w:rPr>
          <w:rFonts w:ascii="Times New Roman" w:hAnsi="Times New Roman" w:eastAsia="宋体"/>
          <w:sz w:val="24"/>
        </w:rPr>
        <w:t>The whole of the President’s authority also may be greater than the sum of its parts. It would be one thing if today’s decision afforded the White House more control over the airwaves. Or financial markets.  Or energy. But Pres­ idents now will enjoy waxing authority over all those areas and more. A business out of favor with the party in control of the White House might be able to stave off an FCC inves­ tigation. But can it survive a subsequent FTC rule declar­ ing unlawful one of its longstanding trade practices?  What about an in-house adjudication by OSHA?  Or a prosecution for a new crime the SEC announces?  Not to mention what these now-coordinated powers could do to disfavored indi­ viduals who lack the resources needed to fend off such at­ tacks. It may be true that after today there is no more “fourth branch” of government.  But the fourth branch’s</w:t>
      </w:r>
    </w:p>
    <w:p>
      <w:pPr>
        <w:pStyle w:val="DocBody"/>
      </w:pPr>
      <w:r>
        <w:rPr>
          <w:rFonts w:ascii="Times New Roman" w:hAnsi="Times New Roman" w:eastAsia="宋体"/>
          <w:sz w:val="24"/>
        </w:rPr>
        <w:t>TRUMP v. SLAUGHTER GORSUCH, J., concurring powers still exist; they have just been reassigned to the President.</w:t>
      </w:r>
    </w:p>
    <w:p>
      <w:pPr>
        <w:pStyle w:val="DocBody"/>
      </w:pPr>
      <w:r>
        <w:rPr>
          <w:rFonts w:ascii="Times New Roman" w:hAnsi="Times New Roman" w:eastAsia="宋体"/>
          <w:sz w:val="24"/>
        </w:rPr>
        <w:t>If all that weren’t enough, Presidents have many other ways to consolidate their influence over agencies—both tra­ ditional executive agencies and now-formerly independent ones.  Take just a couple examples. For decades, Presidents have employed the Office of Information and Regulatory Af­ fairs (OIRA) to oversee proposed executive agency actions that carry significant economic impacts.  See, e.g., Exec. Or­ der No. 12291, 3 CFR 127 (1981 Comp.); Exec. Order No.</w:t>
      </w:r>
    </w:p>
    <w:p>
      <w:pPr>
        <w:pStyle w:val="DocBody"/>
      </w:pPr>
      <w:r>
        <w:rPr>
          <w:rFonts w:ascii="Times New Roman" w:hAnsi="Times New Roman" w:eastAsia="宋体"/>
          <w:sz w:val="24"/>
        </w:rPr>
        <w:t>12866, 3 CFR 638 (1993 Comp.). And even before today’s decision, the President has extended OIRA review to many independent agencies.  Exec. Order No. 14215, 90 Fed. Reg.</w:t>
      </w:r>
    </w:p>
    <w:p>
      <w:pPr>
        <w:pStyle w:val="DocBody"/>
      </w:pPr>
      <w:r>
        <w:rPr>
          <w:rFonts w:ascii="Times New Roman" w:hAnsi="Times New Roman" w:eastAsia="宋体"/>
          <w:sz w:val="24"/>
        </w:rPr>
        <w:t>10447 (2025).  Separately, Presidents can sometimes adjust the reach of the civil service laws.  While those laws ordi­ narily afford rank-and-file agency employees considerable protection against removal, see 5 U. S. C. §§7511–7513, they do not apply to certain employees who hold positions “of a confidential policy-determining, policy-making or pol­ icy-advocating character,” §7511(b)(2).  And by classifying more and more positions as subject to this exception, Pres­ idents can seek to exert greater control over not just agency leaders but their subordinates as well.</w:t>
      </w:r>
    </w:p>
    <w:p>
      <w:pPr>
        <w:pStyle w:val="DocBody"/>
      </w:pPr>
      <w:r>
        <w:rPr>
          <w:rFonts w:ascii="Times New Roman" w:hAnsi="Times New Roman" w:eastAsia="宋体"/>
          <w:sz w:val="24"/>
        </w:rPr>
        <w:t>See, e.g., 91 Fed. Reg. 5580, 5628, 5650 (2026) (subjecting “tens of thou­ sands” of additional positions, in both executive and inde­ pendent agencies, to this exception).</w:t>
      </w:r>
    </w:p>
    <w:p>
      <w:pPr>
        <w:pStyle w:val="DocBody"/>
      </w:pPr>
      <w:r>
        <w:rPr>
          <w:rFonts w:ascii="Times New Roman" w:hAnsi="Times New Roman" w:eastAsia="宋体"/>
          <w:sz w:val="24"/>
        </w:rPr>
        <w:t>So, yes, those who exercise executive power must be ulti­ mately answerable to the President and, through him, to the American people. But while electoral accountability is a good thing, it cannot be the only thing.  And allowing Pres­ idents to control not only executive functions, but also vast new reservoirs of legislative and judicial powers, risks in­ viting exactly what those who framed our Constitution feared: the “accumulation of all powers . . . in the same hands, whether of one, a few or many, and whether heredi­ tary, self appointed, or elective.” The Federalist No. 47,</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GORSUCH, J., concurring p. 324 (J. Cooke ed. 1961) (J. Madison) (emphasis added).</w:t>
      </w:r>
    </w:p>
    <w:p>
      <w:pPr>
        <w:pStyle w:val="DocBody"/>
      </w:pPr>
      <w:r>
        <w:rPr>
          <w:rFonts w:ascii="Times New Roman" w:hAnsi="Times New Roman" w:eastAsia="宋体"/>
          <w:sz w:val="24"/>
        </w:rPr>
        <w:t>No nation, after all, can expect happy results when “the leg­ islative and executive powers are united in the same per­ son”—or, one might add, when judicial powers are added to that union. Id., at 325 (internal quotation marks omitted).</w:t>
      </w:r>
    </w:p>
    <w:p>
      <w:pPr>
        <w:pStyle w:val="DocBody"/>
      </w:pPr>
      <w:r>
        <w:rPr>
          <w:rFonts w:ascii="Times New Roman" w:hAnsi="Times New Roman" w:eastAsia="宋体"/>
          <w:sz w:val="24"/>
        </w:rPr>
        <w:t>B If allowing so much legislative and judicial power to ac­ cumulate in the President’s hands invites real risks, the question becomes: Who will address them?</w:t>
      </w:r>
    </w:p>
    <w:p>
      <w:pPr>
        <w:pStyle w:val="DocBody"/>
      </w:pPr>
      <w:r>
        <w:rPr>
          <w:rFonts w:ascii="Times New Roman" w:hAnsi="Times New Roman" w:eastAsia="宋体"/>
          <w:sz w:val="24"/>
        </w:rPr>
        <w:t>At first blush, the most natural answer might seem Con­ gress. Aware now that the premise on which it apparently proceeded was flawed—independent agencies are not so in­ dependent after all—Congress might wish to reconsider how much power should remain in the President’s hands.</w:t>
      </w:r>
    </w:p>
    <w:p>
      <w:pPr>
        <w:pStyle w:val="DocBody"/>
      </w:pPr>
      <w:r>
        <w:rPr>
          <w:rFonts w:ascii="Times New Roman" w:hAnsi="Times New Roman" w:eastAsia="宋体"/>
          <w:sz w:val="24"/>
        </w:rPr>
        <w:t>But if that seems a straightforward solution, there’s a straightforward problem with it. Of course, Congress still possesses tools—most notably its appropriations author­ ity—to “influence how the President exercises” his legisla­ tive and judicial functions. Learning Resources v. Trump, 607 U. S. 229, 271 (2026) (GORSUCH, J., concurring).  But “[a]ny President keen on his own authority . . . will have a strong incentive to veto” any effort to reclaim those powers.</w:t>
      </w:r>
    </w:p>
    <w:p>
      <w:pPr>
        <w:pStyle w:val="DocBody"/>
      </w:pPr>
      <w:r>
        <w:rPr>
          <w:rFonts w:ascii="Times New Roman" w:hAnsi="Times New Roman" w:eastAsia="宋体"/>
          <w:sz w:val="24"/>
        </w:rPr>
        <w:t>Id., at 270–271. The consequence is a ratchet effect:  Au­ thorities Congress once delegated by a simple majority may now require a veto-proof supermajority to retrieve.</w:t>
      </w:r>
    </w:p>
    <w:p>
      <w:pPr>
        <w:pStyle w:val="DocBody"/>
      </w:pPr>
      <w:r>
        <w:rPr>
          <w:rFonts w:ascii="Times New Roman" w:hAnsi="Times New Roman" w:eastAsia="宋体"/>
          <w:sz w:val="24"/>
        </w:rPr>
        <w:t>Perhaps, then, if any real response is to come it will have to come from this Court. And that’s hardly unfair.  To be sure, Congress had a hand in creating the problem we now face. But this Court bears responsibility as well. It was this Court that decided Humphrey’s. It was this Court that sat by while Congress delegated vast legislative and judi­ cial powers to one independent agency after another.  And it is this Court that today allows the President to remove those agencies’ leaders and exercise effective control over</w:t>
      </w:r>
    </w:p>
    <w:p>
      <w:pPr>
        <w:pStyle w:val="DocBody"/>
      </w:pPr>
      <w:r>
        <w:rPr>
          <w:rFonts w:ascii="Times New Roman" w:hAnsi="Times New Roman" w:eastAsia="宋体"/>
          <w:sz w:val="24"/>
        </w:rPr>
        <w:t>TRUMP v. SLAUGHTER GORSUCH, J., concurring all their powers. If the task of fixing a problem belongs to those who made it, this Court has some work to do.</w:t>
      </w:r>
    </w:p>
    <w:p>
      <w:pPr>
        <w:pStyle w:val="DocBody"/>
      </w:pPr>
      <w:r>
        <w:rPr>
          <w:rFonts w:ascii="Times New Roman" w:hAnsi="Times New Roman" w:eastAsia="宋体"/>
          <w:sz w:val="24"/>
        </w:rPr>
        <w:t>Fortunately, the Constitution provides the blueprint for the job ahead. That charter provides a far surer and more democratically legitimate scheme of “public administra­ tion” than anything Wilson conjured up. With the assent of the governed, and subject to amendment by them alone, our Constitution created three branches of government—not four, and not just one led by the President either.  Each branch bears the authority and responsibility to exercise distinct powers.  Congress must make the laws that govern us, the executive branch must faithfully execute those laws, and independent judges and juries must decide disputes that arise under them.</w:t>
      </w:r>
    </w:p>
    <w:p>
      <w:pPr>
        <w:pStyle w:val="DocBody"/>
      </w:pPr>
      <w:r>
        <w:rPr>
          <w:rFonts w:ascii="Times New Roman" w:hAnsi="Times New Roman" w:eastAsia="宋体"/>
          <w:sz w:val="24"/>
        </w:rPr>
        <w:t>Fortunately, too, this Court already has many doctrines designed to protect the Constitution’s separation of powers.</w:t>
      </w:r>
    </w:p>
    <w:p>
      <w:pPr>
        <w:pStyle w:val="DocBody"/>
      </w:pPr>
      <w:r>
        <w:rPr>
          <w:rFonts w:ascii="Times New Roman" w:hAnsi="Times New Roman" w:eastAsia="宋体"/>
          <w:sz w:val="24"/>
        </w:rPr>
        <w:t>Just as today’s decision holds that Article II requires those who exercise executive power to answer to an elected Pres­ ident, this Court’s nondelegation doctrine recognizes that Article I vests “[a]ll” federal legislative power in Congress and no one else.  See Art. I, §1.  Of course, Congress can enlist experts to advise it in its work and leave implemen­ tation details to others, but the doctrine holds that Con­ gress alone can make laws regulating private conduct.  See, e.g., Panama Refining Co. v. Ryan, 293 U. S. 388 (1935).  By that doctrine’s side stands the major questions doctrine, which teaches that, to sustain a claim that Congress has delegated to it some “[e]xtraordinary” regulatory power, an agency must identify “clear” statutory authority for that power. West Virginia v. EPA, 597 U. S. 697, 723 (2022) (in­ ternal quotation marks omitted). Vagueness doctrine can contribute too, with its lesson that “Congress, rather than the executive or judicial branch, [must] define what conduct is sanctionable and what is not.”  Sessions v. Dimaya, 584 U. S. 148, 156 (2018) (opinion of KAGAN, J.).  And our doc­ trines addressing Article III, the Due Process Clause, and</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GORSUCH, J., concurring the Seventh Amendment can help ensure that adjudica­ tions of private rights take place where they belong, before independent judges and juries.  See Jarkesy, 603 U. S., at 141 (GORSUCH, J., concurring).</w:t>
      </w:r>
    </w:p>
    <w:p>
      <w:pPr>
        <w:pStyle w:val="DocBody"/>
      </w:pPr>
      <w:r>
        <w:rPr>
          <w:rFonts w:ascii="Times New Roman" w:hAnsi="Times New Roman" w:eastAsia="宋体"/>
          <w:sz w:val="24"/>
        </w:rPr>
        <w:t>We have, then, no shortage of tools.  The only real ques­ tion is whether we will use them. Yes, we often recite, the Constitution contains “a bar on [the] delegation” of “[l]egis­ lative power” to agencies.  FCC v. Consumers’ Research, 606 U. S. 656, 672 (2025). But we have sometimes shrunk from applying that rule, worried that “our increasingly complex society” cannot manage unless someone else assumes Con­ gress’s job of making the laws that govern us.  Mistretta v.</w:t>
      </w:r>
    </w:p>
    <w:p>
      <w:pPr>
        <w:pStyle w:val="DocBody"/>
      </w:pPr>
      <w:r>
        <w:rPr>
          <w:rFonts w:ascii="Times New Roman" w:hAnsi="Times New Roman" w:eastAsia="宋体"/>
          <w:sz w:val="24"/>
        </w:rPr>
        <w:t>United States, 488 U. S. 361, 372 (1989).  Yes, we say, when agencies claim “[e]xtraordinary” delegated power, they “must point to clear congressional authorization for” it.</w:t>
      </w:r>
    </w:p>
    <w:p>
      <w:pPr>
        <w:pStyle w:val="DocBody"/>
      </w:pPr>
      <w:r>
        <w:rPr>
          <w:rFonts w:ascii="Times New Roman" w:hAnsi="Times New Roman" w:eastAsia="宋体"/>
          <w:sz w:val="24"/>
        </w:rPr>
        <w:t>West Virginia, 597 U. S., at 723 (internal quotation marks omitted). But some have also suggested the major ques­ tions doctrine might be tainted by an “anti-administrative­ state stance,” one that could prevent the “people . . . found in agencies” “from doing important work.”  Id., at 779–781 (KAGAN, J., dissenting).  And, yes, all agree that the Sev­ enth Amendment guarantees a jury in suits at common law.</w:t>
      </w:r>
    </w:p>
    <w:p>
      <w:pPr>
        <w:pStyle w:val="DocBody"/>
      </w:pPr>
      <w:r>
        <w:rPr>
          <w:rFonts w:ascii="Times New Roman" w:hAnsi="Times New Roman" w:eastAsia="宋体"/>
          <w:sz w:val="24"/>
        </w:rPr>
        <w:t>But it can also seem to some that Congress occasionally has “good reaso[n]” to let agencies decide cases anyway given their “greater efficiency and expertise.”  Jarkesy, 603 U. S., at 202 (SOTOMAYOR, J., dissenting).</w:t>
      </w:r>
    </w:p>
    <w:p>
      <w:pPr>
        <w:pStyle w:val="DocBody"/>
      </w:pPr>
      <w:r>
        <w:rPr>
          <w:rFonts w:ascii="Times New Roman" w:hAnsi="Times New Roman" w:eastAsia="宋体"/>
          <w:sz w:val="24"/>
        </w:rPr>
        <w:t>Whatever merit these objections once might have held, they now speak to a bygone era.  As my dissenting col­ leagues see it, removal protections were “centrally im­ portant,” or perhaps even “‘essential,’” to Congress when it decided to create so many independent agencies and dele­ gate so much legislative and judicial power to them.  Post, at 36 (quoting Humphrey’s, 295 U. S., at 625).  On their ac­ count, Congress gave all that power to “specialists” in inde­ pendent agencies “precisely because [they were] not fully controlled by the White House.” Trump v. Wilcox, 605 U. S.</w:t>
      </w:r>
    </w:p>
    <w:p>
      <w:pPr>
        <w:pStyle w:val="DocBody"/>
      </w:pPr>
      <w:r>
        <w:rPr>
          <w:rFonts w:ascii="Times New Roman" w:hAnsi="Times New Roman" w:eastAsia="宋体"/>
          <w:sz w:val="24"/>
        </w:rPr>
        <w:t>TRUMP v. SLAUGHTER GORSUCH, J., concurring ___, ___ (2025) (KAGAN, J., dissenting from grant of appli­ cation for stay) (slip op., at 6). But now removal protections are a thing of the past, and the President enjoys direct con­ trol over independent and executive agencies alike.  So even if entrusting legislative and judicial powers to insulated, in­ dependent agencies once seemed a good idea to some, it’s simply not an option anymore.  Now, we face only two ways forward:  Let Presidents exercise all those powers or begin subjecting them to the Constitution’s constraints.</w:t>
      </w:r>
    </w:p>
    <w:p>
      <w:pPr>
        <w:pStyle w:val="DocBody"/>
      </w:pPr>
      <w:r>
        <w:rPr>
          <w:rFonts w:ascii="Times New Roman" w:hAnsi="Times New Roman" w:eastAsia="宋体"/>
          <w:sz w:val="24"/>
        </w:rPr>
        <w:t>The Court today takes a notable step back toward the Constitution. By recognizing that the President is entitled to remove a principal officer who exercises executive power in his name, the Court does much to vindicate what Frank­ lin D. Roosevelt and James Madison both understood:  Un­ der our Constitution, executive power does not belong to a “headless ‘fourth branch,’” Roosevelt Committee 36, but must be exercised through a “chain of dependence” running from “the lowest officers” to “the President,” and from him to the American people, 1 Annals of Cong. 499 (J. Madison).</w:t>
      </w:r>
    </w:p>
    <w:p>
      <w:pPr>
        <w:pStyle w:val="DocBody"/>
      </w:pPr>
      <w:r>
        <w:rPr>
          <w:rFonts w:ascii="Times New Roman" w:hAnsi="Times New Roman" w:eastAsia="宋体"/>
          <w:sz w:val="24"/>
        </w:rPr>
        <w:t>At the same time, it would be a grave mistake to think that step is enough on its own.  The fact remains that Con­ gress has endowed formerly independent agencies not just with executive authority, but with enormous legislative and judicial powers as well. And now the President enjoys con­ trol over all those powers too.  From here, the only sure path is to finish the journey we start today and restore legislative and judicial powers to where they belong: in Congress and the courts. We have tolerated adventurous theories long enough. It is time to return, all the way, to the Constitu­ 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SUPREME COURT OF THE UNITED STATES No. 25–332 DONALD J. TRUMP, PRESIDENT OF THE UNITED STATES, ET AL., PETITIONERS v. REBECCA KELLY SLAUGHTER ON WRIT OF CERTIORARI BEFORE JUDGMENT TO THE UNITED STATES COURT OF APPEALS FOR THE DISTRICT OF COLUMBIA CIRCUIT [June 29, 2026] JUSTICE SOTOMAYOR, with whom JUSTICE KAGAN and JUSTICE JACKSON join, dissenting.</w:t>
      </w:r>
    </w:p>
    <w:p>
      <w:pPr>
        <w:pStyle w:val="DocBody"/>
      </w:pPr>
      <w:r>
        <w:rPr>
          <w:rFonts w:ascii="Times New Roman" w:hAnsi="Times New Roman" w:eastAsia="宋体"/>
          <w:sz w:val="24"/>
        </w:rPr>
        <w:t>For most of this Nation’s history, Congress and the Pres­ ident together have decided that some Government func­ tions should operate at a distance from partisan politics.</w:t>
      </w:r>
    </w:p>
    <w:p>
      <w:pPr>
        <w:pStyle w:val="DocBody"/>
      </w:pPr>
      <w:r>
        <w:rPr>
          <w:rFonts w:ascii="Times New Roman" w:hAnsi="Times New Roman" w:eastAsia="宋体"/>
          <w:sz w:val="24"/>
        </w:rPr>
        <w:t>Those include the management of nuclear energy; the secu­ rity of the monetary supply; and the safety of American workplaces, consumer products, and chemical hazards.  In these and many other areas, the wisdom of the centuries has taught that some decisions should depend not only on who is in office—much less on who is disfavored or owed a favor by those in office—but also on judgment, expertise, and the public good.</w:t>
      </w:r>
    </w:p>
    <w:p>
      <w:pPr>
        <w:pStyle w:val="DocBody"/>
      </w:pPr>
      <w:r>
        <w:rPr>
          <w:rFonts w:ascii="Times New Roman" w:hAnsi="Times New Roman" w:eastAsia="宋体"/>
          <w:sz w:val="24"/>
        </w:rPr>
        <w:t>Since the founding, Congress has created agencies that in various ways have embodied this goal of independence.</w:t>
      </w:r>
    </w:p>
    <w:p>
      <w:pPr>
        <w:pStyle w:val="DocBody"/>
      </w:pPr>
      <w:r>
        <w:rPr>
          <w:rFonts w:ascii="Times New Roman" w:hAnsi="Times New Roman" w:eastAsia="宋体"/>
          <w:sz w:val="24"/>
        </w:rPr>
        <w:t>Over the last 140 years especially, the political branches have done so by establishing agencies like the Federal Trade Commission (FTC): bipartisan, multimember bodies with “for-cause” removal protections.  This structure allows the agencies to address complex problems while enjoying some independence from Presidential removal and thus ab­ solute partisan control. More than 90 years ago, this Court affirmed, as to the FTC specifically, that the</w:t>
      </w:r>
    </w:p>
    <w:p>
      <w:pPr>
        <w:pStyle w:val="DocBody"/>
      </w:pPr>
      <w:r>
        <w:rPr>
          <w:rFonts w:ascii="Times New Roman" w:hAnsi="Times New Roman" w:eastAsia="宋体"/>
          <w:sz w:val="24"/>
        </w:rPr>
        <w:t>TRUMP v. SLAUGHTER SOTOMAYOR, J., dissenting constitutionality of its members’ “for cause” removal protec­ tions “cannot well be doubted.” Humphrey’s Executor v.</w:t>
      </w:r>
    </w:p>
    <w:p>
      <w:pPr>
        <w:pStyle w:val="DocBody"/>
      </w:pPr>
      <w:r>
        <w:rPr>
          <w:rFonts w:ascii="Times New Roman" w:hAnsi="Times New Roman" w:eastAsia="宋体"/>
          <w:sz w:val="24"/>
        </w:rPr>
        <w:t>United States, 295 U. S. 602, 629 (1935).  Ever since, Con­ gress and more than a dozen Presidents have relied on Humphrey’s to construct a workable Government, creating many other agencies in the FTC’s tradition.</w:t>
      </w:r>
    </w:p>
    <w:p>
      <w:pPr>
        <w:pStyle w:val="DocBody"/>
      </w:pPr>
      <w:r>
        <w:rPr>
          <w:rFonts w:ascii="Times New Roman" w:hAnsi="Times New Roman" w:eastAsia="宋体"/>
          <w:sz w:val="24"/>
        </w:rPr>
        <w:t>Today, this Court undoes centuries of political practice and concludes that all three branches of Government have been acting in open defiance of the Constitution all this time. Its conclusion is wrong.  The text of the Constitution, along with its history, the longstanding practices of the po­ litical branches, and the precedents of this Court, make clear that Congress may limit the causes for which the heads of Commissions like the FTC can be removed by the President. In holding otherwise, the Court gives the Presi­ dent a power unknown even to the English Crown against which the Founders revolted, elevating him above his once- coequal branches by transforming a duty to take care that the laws be faithfully executed into a license to act in defi­ ance of those very laws. If nothing else, the doctrine of stare decisis, which today’s decision cursorily dismisses, should have made this a profoundly easy case under Humphrey’s.</w:t>
      </w:r>
    </w:p>
    <w:p>
      <w:pPr>
        <w:pStyle w:val="DocBody"/>
      </w:pPr>
      <w:r>
        <w:rPr>
          <w:rFonts w:ascii="Times New Roman" w:hAnsi="Times New Roman" w:eastAsia="宋体"/>
          <w:sz w:val="24"/>
        </w:rPr>
        <w:t>Perhaps worst of all, the Court today forgets its place.</w:t>
      </w:r>
    </w:p>
    <w:p>
      <w:pPr>
        <w:pStyle w:val="DocBody"/>
      </w:pPr>
      <w:r>
        <w:rPr>
          <w:rFonts w:ascii="Times New Roman" w:hAnsi="Times New Roman" w:eastAsia="宋体"/>
          <w:sz w:val="24"/>
        </w:rPr>
        <w:t>For most of our history, the Court has rightly left the re­ moval question primarily to its coequal branches. Today’s majority, however, decides that it knows better: better than members of the founding generation who created agencies, like the Sinking Fund Commission and the Bank of the United States, free from unfettered Presidential control;</w:t>
      </w:r>
    </w:p>
    <w:p>
      <w:pPr>
        <w:pStyle w:val="DocBody"/>
      </w:pPr>
      <w:r>
        <w:rPr>
          <w:rFonts w:ascii="Times New Roman" w:hAnsi="Times New Roman" w:eastAsia="宋体"/>
          <w:sz w:val="24"/>
        </w:rPr>
        <w:t>better than a century and a half of Congresses and Presi­ dents, starting with Grover Cleveland and continuing into the 21st century, who created agencies in the FTC’s mold;</w:t>
      </w:r>
    </w:p>
    <w:p>
      <w:pPr>
        <w:pStyle w:val="DocBody"/>
      </w:pPr>
      <w:r>
        <w:rPr>
          <w:rFonts w:ascii="Times New Roman" w:hAnsi="Times New Roman" w:eastAsia="宋体"/>
          <w:sz w:val="24"/>
        </w:rPr>
        <w:t>better than even Hamilton, Story, Webster, Holmes, Brandeis, Frankfurter, and Rehnquist.  These great states­ men and Justices knew something that today’s majority ap­ parently does not: that fealty to the Constitution means</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respecting not just what it says, but what it does not say and by its silence leaves to others to decide.  It also means respecting precedent—not as a wooden exercise, but out of a recognition that, whatever our confidence in the theories of the present moment, the wisdom of our founding docu­ ment does not belong to today’s Justices alone. Because the Court ignores these foundational tenets, and in doing so up­ ends rather than upholds the separation of powers, I re­ spectfully dissent.</w:t>
      </w:r>
    </w:p>
    <w:p>
      <w:pPr>
        <w:pStyle w:val="DocBody"/>
      </w:pPr>
      <w:r>
        <w:rPr>
          <w:rFonts w:ascii="Times New Roman" w:hAnsi="Times New Roman" w:eastAsia="宋体"/>
          <w:sz w:val="24"/>
        </w:rPr>
        <w:t>I In 1914, Congress enacted the Federal Trade Commis­ sion Act, which established the FTC primarily to prevent “unfair methods of competition in commerce.” 38 Stat. 719, as amended, 15 U. S. C. §41 et seq. Then, as today, the Commission included five Commissioners appointed by the President and confirmed by the Senate; no more than three Commissioners at a given time could be from the same po­ litical party; the Commissioners generally served staggered 7-year terms; and, central here, the Commissioners could be removed by the President only for “inefficiency, neglect of duty, or malfeasance in office.”  38 Stat. 717–718, 15 U. S. C. §41. At the time of enactment, the Commissioners elected their own Chair from among their membership.  38 Stat. 718. Today, the President appoints the Chair. See §41; 16 CFR §0.8 (2025).</w:t>
      </w:r>
    </w:p>
    <w:p>
      <w:pPr>
        <w:pStyle w:val="DocBody"/>
      </w:pPr>
      <w:r>
        <w:rPr>
          <w:rFonts w:ascii="Times New Roman" w:hAnsi="Times New Roman" w:eastAsia="宋体"/>
          <w:sz w:val="24"/>
        </w:rPr>
        <w:t>In 2018, President Trump nominated, and the Senate unanimously confirmed, Democrat Rebecca Slaughter to serve as an FTC Commissioner.  In 2024, Slaughter was re­ confirmed to serve a second term. In January 2025, soon upon assuming office, President Trump exercised his stat­ utory authority to designate Andrew Ferguson as the new FTC Chair, 15 U. S. C. §41, and (as is customary) the for­ mer Chair who had served under President Biden resigned her seat. At that point, the FTC was split down the middle with two Democratic and two Republican Commissioners.</w:t>
      </w:r>
    </w:p>
    <w:p>
      <w:pPr>
        <w:pStyle w:val="DocBody"/>
      </w:pPr>
      <w:r>
        <w:rPr>
          <w:rFonts w:ascii="Times New Roman" w:hAnsi="Times New Roman" w:eastAsia="宋体"/>
          <w:sz w:val="24"/>
        </w:rPr>
        <w:t>TRUMP v. SLAUGHTER SOTOMAYOR, J., dissenting While the nomination of the President’s choice to replace the Chair was pending before the Senate in March 2025, he fired the two remaining Democratic Commissioners, includ­ ing Slaughter, leaving only the two Republican Commis­ sioners. He did not identify any “inefficiency, neglect of duty, or malfeasance in office” on either removed Commis­ sioner’s part. Ibid. Instead, he simply asserted that these Commissioners were removed pursuant to the President’s “authority under Article II of the Constitution.”  App. 28.</w:t>
      </w:r>
    </w:p>
    <w:p>
      <w:pPr>
        <w:pStyle w:val="DocBody"/>
      </w:pPr>
      <w:r>
        <w:rPr>
          <w:rFonts w:ascii="Times New Roman" w:hAnsi="Times New Roman" w:eastAsia="宋体"/>
          <w:sz w:val="24"/>
        </w:rPr>
        <w:t>Slaughter sued, and the District Court granted her mo­ tion for summary judgment, holding that “the law on the removal of FTC Commissioners is clear” under Humphrey’s and prohibits Slaughter’s removal without cause.</w:t>
      </w:r>
    </w:p>
    <w:p>
      <w:pPr>
        <w:pStyle w:val="DocBody"/>
      </w:pPr>
      <w:r>
        <w:rPr>
          <w:rFonts w:ascii="Times New Roman" w:hAnsi="Times New Roman" w:eastAsia="宋体"/>
          <w:sz w:val="24"/>
        </w:rPr>
        <w:t>F. Supp. 3d 1, 6 (DC 2025).  The Court of Appeals denied the Government’s request for a stay, holding it “highly un­ likely to succeed on appeal because th[e] exact question”</w:t>
      </w:r>
    </w:p>
    <w:p>
      <w:pPr>
        <w:pStyle w:val="DocBody"/>
      </w:pPr>
      <w:r>
        <w:rPr>
          <w:rFonts w:ascii="Times New Roman" w:hAnsi="Times New Roman" w:eastAsia="宋体"/>
          <w:sz w:val="24"/>
        </w:rPr>
        <w:t>presented in this case “was already asked and unanimously answered by the Supreme Court adversely to the govern­ ment’s position 90 years ago in Humphrey’s Executor.”  2025 WL 2551247, *2 (CADC, Sept. 2, 2025). This Court, how­ ever, granted a stay and then certiorari before judgment, permitting Slaughter’s removal.  606 U. S. 1051 (2025).  To­ day, the FTC has only two remaining Commissioners.</w:t>
      </w:r>
    </w:p>
    <w:p>
      <w:pPr>
        <w:pStyle w:val="DocBody"/>
      </w:pPr>
      <w:r>
        <w:rPr>
          <w:rFonts w:ascii="Times New Roman" w:hAnsi="Times New Roman" w:eastAsia="宋体"/>
          <w:sz w:val="24"/>
        </w:rPr>
        <w:t>II Six years ago, this Court announced that the President generally must be able to fire executive officials “at will”</w:t>
      </w:r>
    </w:p>
    <w:p>
      <w:pPr>
        <w:pStyle w:val="DocBody"/>
      </w:pPr>
      <w:r>
        <w:rPr>
          <w:rFonts w:ascii="Times New Roman" w:hAnsi="Times New Roman" w:eastAsia="宋体"/>
          <w:sz w:val="24"/>
        </w:rPr>
        <w:t>(that is, for any reason or even no reason at all).  Seila Law LLC v. Consumer Financial Protection Bureau, 591 U. S.</w:t>
      </w:r>
    </w:p>
    <w:p>
      <w:pPr>
        <w:pStyle w:val="DocBody"/>
      </w:pPr>
      <w:r>
        <w:rPr>
          <w:rFonts w:ascii="Times New Roman" w:hAnsi="Times New Roman" w:eastAsia="宋体"/>
          <w:sz w:val="24"/>
        </w:rPr>
        <w:t>197, 204–205 (2020).  In so holding, the Court recognized “two exceptions” to that “general rule” of “unrestricted re­ moval power,” id., at 215: one for inferior officers and one that allowed Congress to “create expert agencies led by a group of principal officers removable by the President only for good cause,” id., at 204 (emphasis deleted). Today, the Court doubles back on the second exception for agencies like</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the FTC, and doubles down on its “general rule” that the President’s removal power cannot be cabined in any way.</w:t>
      </w:r>
    </w:p>
    <w:p>
      <w:pPr>
        <w:pStyle w:val="DocBody"/>
      </w:pPr>
      <w:r>
        <w:rPr>
          <w:rFonts w:ascii="Times New Roman" w:hAnsi="Times New Roman" w:eastAsia="宋体"/>
          <w:sz w:val="24"/>
        </w:rPr>
        <w:t>Its decision is grievously wrong.</w:t>
      </w:r>
    </w:p>
    <w:p>
      <w:pPr>
        <w:pStyle w:val="DocBody"/>
      </w:pPr>
      <w:r>
        <w:rPr>
          <w:rFonts w:ascii="Times New Roman" w:hAnsi="Times New Roman" w:eastAsia="宋体"/>
          <w:sz w:val="24"/>
        </w:rPr>
        <w:t>A This case should have begun and ended with this Court’s unanimous decision from almost a century ago: Humphrey’s Executor v. United States, 295 U. S. 602.  Humphrey’s ad­ dressed the very statute at issue here, which allows the President to remove FTC Commissioners only “‘for ineffi­ ciency, neglect of duty, or malfeasance in office,’” and up­ held its constitutionality against the very same challenge levied in this case. Id., at 620; see id., at 629, 631–632.</w:t>
      </w:r>
    </w:p>
    <w:p>
      <w:pPr>
        <w:pStyle w:val="DocBody"/>
      </w:pPr>
      <w:r>
        <w:rPr>
          <w:rFonts w:ascii="Times New Roman" w:hAnsi="Times New Roman" w:eastAsia="宋体"/>
          <w:sz w:val="24"/>
        </w:rPr>
        <w:t>In reaching that conclusion, the Court focused on the FTC’s “character.”  Id., at 629, 631. The FTC, the Court explained, is a “body of experts” tasked with “carry[ing] into effect legislative policies embodied in the [FTC Act] in ac­ cordance with the legislative standard therein prescribed,”</w:t>
      </w:r>
    </w:p>
    <w:p>
      <w:pPr>
        <w:pStyle w:val="DocBody"/>
      </w:pPr>
      <w:r>
        <w:rPr>
          <w:rFonts w:ascii="Times New Roman" w:hAnsi="Times New Roman" w:eastAsia="宋体"/>
          <w:sz w:val="24"/>
        </w:rPr>
        <w:t>including by determining what constitutes “ ‘unfair meth­ ods of competition.’”  Id., at 624, 628.  The agency thus was not purely executive; instead, it “act[ed] in part quasi-legis­ latively and in part quasi-judicially” by “filling in and ad­ ministering the details embodied [in the law’s] general standard.” Id., at 628. “[F]rom the very nature of its du­ ties,” it was clear that the FTC “must . . . act with entire impartiality,” as “[i]t is charged with the enforcement of no policy except the policy of the law.” Id., at 624; see id., at 625 (relying on legislative history emphasizing the “ad­ vantage” to be found in the FTC’s “independence” and im­ munity from “suspicion of partisan direction”).</w:t>
      </w:r>
    </w:p>
    <w:p>
      <w:pPr>
        <w:pStyle w:val="DocBody"/>
      </w:pPr>
      <w:r>
        <w:rPr>
          <w:rFonts w:ascii="Times New Roman" w:hAnsi="Times New Roman" w:eastAsia="宋体"/>
          <w:sz w:val="24"/>
        </w:rPr>
        <w:t>For an agency of this “character,” the Court held that Congress permissibly could forbid Presidential “removal ex­ cept for cause.”  Id., at 631–632. Given the FTC’s role in “carrying into operation” Congress’s legislative goals, it needed some independence from Presidential domination.</w:t>
      </w:r>
    </w:p>
    <w:p>
      <w:pPr>
        <w:pStyle w:val="DocBody"/>
      </w:pPr>
      <w:r>
        <w:rPr>
          <w:rFonts w:ascii="Times New Roman" w:hAnsi="Times New Roman" w:eastAsia="宋体"/>
          <w:sz w:val="24"/>
        </w:rPr>
        <w:t>TRUMP v. SLAUGHTER SOTOMAYOR, J., dissenting Id., at 630. It was “quite evident” to the Court, moreover, “that one who holds his office only during the pleasure of another . . . cannot be depended upon to maintain an atti­ tude of independence against the latter’s will.”  Id., at 629.</w:t>
      </w:r>
    </w:p>
    <w:p>
      <w:pPr>
        <w:pStyle w:val="DocBody"/>
      </w:pPr>
      <w:r>
        <w:rPr>
          <w:rFonts w:ascii="Times New Roman" w:hAnsi="Times New Roman" w:eastAsia="宋体"/>
          <w:sz w:val="24"/>
        </w:rPr>
        <w:t>Indeed, the Court explained, James Madison had suggested much the same thing when discussing the office of the Comptroller of the Treasury in 1789.  See id., at 631 (citing 1 Annals of Cong. 611–612 (1789)). For executive officers whose duties “partak[e] strongly of the judicial character,”</w:t>
      </w:r>
    </w:p>
    <w:p>
      <w:pPr>
        <w:pStyle w:val="DocBody"/>
      </w:pPr>
      <w:r>
        <w:rPr>
          <w:rFonts w:ascii="Times New Roman" w:hAnsi="Times New Roman" w:eastAsia="宋体"/>
          <w:sz w:val="24"/>
        </w:rPr>
        <w:t>Madison explained, “there may be strong reasons why an officer of this kind should not hold his office at the pleasure of the Executive branch.” 1 Annals of Cong. 612.  For the FTC too, the Court held, removal protections complied with the Constitution. Humphrey’s, 295 U. S., at 631–632.</w:t>
      </w:r>
    </w:p>
    <w:p>
      <w:pPr>
        <w:pStyle w:val="DocBody"/>
      </w:pPr>
      <w:r>
        <w:rPr>
          <w:rFonts w:ascii="Times New Roman" w:hAnsi="Times New Roman" w:eastAsia="宋体"/>
          <w:sz w:val="24"/>
        </w:rPr>
        <w:t>As Congress constructed a variety of agencies to serve the public’s needs over the decades that followed, see infra, at 10–11, this Court repeatedly applied and expanded the rule announced in Humphrey’s. In Youngstown Sheet &amp; Tube Co. v. Sawyer, 343 U. S. 579 (1952), Humphrey’s was the only example Justice Jackson provided of a case in which the President’s “power [wa]s at its lowest ebb” and the President was thus prevented from “tak[ing] measures incompatible with the expressed or implied will of Con­ gress.” 343 U. S., at 637–638, and n. 4 (concurring opinion).</w:t>
      </w:r>
    </w:p>
    <w:p>
      <w:pPr>
        <w:pStyle w:val="DocBody"/>
      </w:pPr>
      <w:r>
        <w:rPr>
          <w:rFonts w:ascii="Times New Roman" w:hAnsi="Times New Roman" w:eastAsia="宋体"/>
          <w:sz w:val="24"/>
        </w:rPr>
        <w:t>Later, in Wiener v. United States, 357 U. S. 349 (1958), Jus­ tice Frankfurter’s opinion for a unanimous Court relied on Humphrey’s (describing it as a “cause célèbre”) to approve removal protections for the War Claims Commission, which settled claims by American prisoners of war and civil in­ ternees who suffered harm during World War II.  357 U. S., at 350, 353, 356. The Court explained that “the essence of the decision in Humphrey’s case” was that certain Govern­ ment officials, depending on their “function,” require and may be given independence “‘to exercise [their] judgment without the leave or hindrance of any other official.’”  Id., at 353 (quoting Humphrey’s, 295 U. S., at 625–626).</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In later decades, the Court reaffirmed Humphrey’s rule that certain executive officers may enjoy for-cause protec­ tions. In Morrison v. Olson, 487 U. S. 654 (1988), Chief Jus­ tice Rehnquist, writing for a 7-to-1 Court, applied and ex­ panded Humphrey’s in a new context, approving removal protections for an independent counsel tasked with investi­ gating allegations of crime by high executive officers.  487 U. S., at 688–691.  Rejecting the idea that the only officers who could permissibly be granted removal protections were those who exercised “‘quasi-legislative’” or “‘quasi-judicial’</w:t>
      </w:r>
    </w:p>
    <w:p>
      <w:pPr>
        <w:pStyle w:val="DocBody"/>
      </w:pPr>
      <w:r>
        <w:rPr>
          <w:rFonts w:ascii="Times New Roman" w:hAnsi="Times New Roman" w:eastAsia="宋体"/>
          <w:sz w:val="24"/>
        </w:rPr>
        <w:t>powers,” the Court held that the more fundamental ques­ tion was whether removal protections unduly “interfere[d] with the President’s exercise of the ‘executive power.’”  Id., at 688–690. Still, the Court explained, Humphrey’s “analy­ sis of the functions served by the officials at issue” remains “[r]elevant” to answering that question.  487 U. S., at 691.</w:t>
      </w:r>
    </w:p>
    <w:p>
      <w:pPr>
        <w:pStyle w:val="DocBody"/>
      </w:pPr>
      <w:r>
        <w:rPr>
          <w:rFonts w:ascii="Times New Roman" w:hAnsi="Times New Roman" w:eastAsia="宋体"/>
          <w:sz w:val="24"/>
        </w:rPr>
        <w:t>Considering the “functions of the” independent counsel, alongside the President’s remaining ability to exercise con­ trol over the office, the Court held that the for-cause re­ moval statute at issue was constitutional.  Id., at 691–692.</w:t>
      </w:r>
    </w:p>
    <w:p>
      <w:pPr>
        <w:pStyle w:val="DocBody"/>
      </w:pPr>
      <w:r>
        <w:rPr>
          <w:rFonts w:ascii="Times New Roman" w:hAnsi="Times New Roman" w:eastAsia="宋体"/>
          <w:sz w:val="24"/>
        </w:rPr>
        <w:t>Even in more recent cases in which the Court has de­ clined to “extend Humphrey’s to a ‘new situation,’” ante, at 20, the Court has underscored that Humphrey’s remains good law in its core application to multimember bodies like the FTC, see Seila Law, 591 U. S., at 215–218; Free Enter­ prise Fund v. Public Company Accounting Oversight Bd., 561 U. S. 477, 483 (2010).  In Seila Law, for instance, the Court held that removal protections were incompatible with an agency headed by a single director (rather than a multi- member commission).  591 U. S., at 218–219.  Even so, the principal opinion explicitly suggested that Congress could fix that problem by “converting” the single-headed Con­ sumer Financial Protection Bureau, with all of the powers it possessed, “into a multimember agency” just like the FTC that Humphrey’s had addressed.  591 U. S., at 237 (opinion of ROBERTS, C. J., joined by ALITO and KAVANAUGH, JJ.).</w:t>
      </w:r>
    </w:p>
    <w:p>
      <w:pPr>
        <w:pStyle w:val="DocBody"/>
      </w:pPr>
      <w:r>
        <w:rPr>
          <w:rFonts w:ascii="Times New Roman" w:hAnsi="Times New Roman" w:eastAsia="宋体"/>
          <w:sz w:val="24"/>
        </w:rPr>
        <w:t>TRUMP v. SLAUGHTER SOTOMAYOR, J., dissenting Searching for a distinction, the Government (echoed by the majority) contends that Humphrey’s should not control as to the present-day FTC because the FTC’s powers have expanded over the years since Humphrey’s was decided.</w:t>
      </w:r>
    </w:p>
    <w:p>
      <w:pPr>
        <w:pStyle w:val="DocBody"/>
      </w:pPr>
      <w:r>
        <w:rPr>
          <w:rFonts w:ascii="Times New Roman" w:hAnsi="Times New Roman" w:eastAsia="宋体"/>
          <w:sz w:val="24"/>
        </w:rPr>
        <w:t>See Brief for Petitioners 25–28; ante, at 25–27. The premise that the FTC has fundamentally changed, however, is un­ true: Contrary to the Government’s assertions, the FTC of 1935, like today’s FTC, had the power to conduct investiga­ tions, make rules, and bring enforcement actions.  See Fed­ eral Trade Commission Act, 38 Stat. 719–723.1  To the ex­ tent the FTC has gained power since 1914 (for example, the Government cites its ability to seek civil penalties, see Brief for Petitioners 25–26), those changes at the margins do not so transform the “character of the office” as to bring the agency outside of Humphrey’s rule.  295 U. S., at 631.  If, it was true that the political branches went too far in assign­ ing certain powers to the FTC over the years, moreover, it is unclear why the appropriate remedy at this point would not be to sever these additional, objectionable powers.  Cf.</w:t>
      </w:r>
    </w:p>
    <w:p>
      <w:pPr>
        <w:pStyle w:val="DocBody"/>
      </w:pPr>
      <w:r>
        <w:rPr>
          <w:rFonts w:ascii="Times New Roman" w:hAnsi="Times New Roman" w:eastAsia="宋体"/>
          <w:sz w:val="24"/>
        </w:rPr>
        <w:t>United States v. Arthrex, Inc., 594 U. S. 1, 24–25 (2021)</w:t>
      </w:r>
    </w:p>
    <w:p>
      <w:pPr>
        <w:pStyle w:val="DocBody"/>
      </w:pPr>
      <w:r>
        <w:rPr>
          <w:rFonts w:ascii="Times New Roman" w:hAnsi="Times New Roman" w:eastAsia="宋体"/>
          <w:sz w:val="24"/>
        </w:rPr>
        <w:t>(opinion of ROBERTS, C. J.) (remedying Appointments Clause violation by altering the officers’ powers); see also id., at 44 (Breyer, J., concurring in judgment in part and —————— 1 Humphrey’s did not explicitly identify each power, but the idea that “a court including Charles Evans Hughes, Louis Brandeis, Benjamin Cardozo, and Harlan Stone somehow misunderstood [the FTC’s] powers lacks all plausibility.”  Seila Law LLC v. Consumer Financial Protection Bureau, 591 U. S. 197, 287, n. 10 (2020) (KAGAN, J., concurring in judg­ ment with respect to severability and dissenting in part) (citation omit­ ted). It is also true that, despite these powers existing at the time, Humphrey’s described the FTC as sharing “no part of the executive power.”  295 U. S., at 625, 628; see ante, at 18–19, 21, 33–34 (highlighting this point). For decades, however, this Court has recognized that even for agencies exercising powers that “would at the present time be consid­ ered ‘executive,’ ” Humphrey’s rule applies. Morrison v. Olson, 487 U. S.</w:t>
      </w:r>
    </w:p>
    <w:p>
      <w:pPr>
        <w:pStyle w:val="DocBody"/>
      </w:pPr>
      <w:r>
        <w:rPr>
          <w:rFonts w:ascii="Times New Roman" w:hAnsi="Times New Roman" w:eastAsia="宋体"/>
          <w:sz w:val="24"/>
        </w:rPr>
        <w:t>654, 689–690, and n. 28 (1988).  Congress, even before Morrison, exten­ sively legislated, creating many agencies like the FTC, based on that un­ derstanding. See infra, at 10–11, 35–38.</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dissenting in part) (joining this remedial holding). There then would be no need to adopt a sweeping new rule that will transform the balance of power across the Federal Gov­ ernment and deprive the public of Government impartiality in serving the public’s needs. See infra, at 35–38.</w:t>
      </w:r>
    </w:p>
    <w:p>
      <w:pPr>
        <w:pStyle w:val="DocBody"/>
      </w:pPr>
      <w:r>
        <w:rPr>
          <w:rFonts w:ascii="Times New Roman" w:hAnsi="Times New Roman" w:eastAsia="宋体"/>
          <w:sz w:val="24"/>
        </w:rPr>
        <w:t>Far from the minimal impact that the majority imagines Humphrey’s to have had, ante, at 18–21, Humphrey’s has sat at the center of this Court’s separation-of-powers juris­ prudence for nearly a century. If precedent were any guide, this case would be open and shut: The FTC’s removal pro­ tections, as the Court has long held and repeatedly recog­ nized, are constitutional.2 Humphrey’s is not just a longstanding precedent of this Court. It also reflects a “deeply rooted tradition” embraced by all three branches of Government and the American peo­ ple. PHH Corp. v. Consumer Financial Protection Bureau, 881 F. 3d 75, 177 (CADC 2018) (Kavanaugh, J., dissenting).</w:t>
      </w:r>
    </w:p>
    <w:p>
      <w:pPr>
        <w:pStyle w:val="DocBody"/>
      </w:pPr>
      <w:r>
        <w:rPr>
          <w:rFonts w:ascii="Times New Roman" w:hAnsi="Times New Roman" w:eastAsia="宋体"/>
          <w:sz w:val="24"/>
        </w:rPr>
        <w:t>Such “longstanding practice” is entitled to “‘great weight’” in separation-of-powers cases like this one.  Trump v. Mazars USA, LLP, 591 U. S. 848, 862 (2020).  On “doubt­ ful question[s]” regarding the meaning of the Constitution, historical practice, when “deliberately established” through “legislative acts,” can “put at rest” the Constitution’s mean­ ing. McCulloch v. Maryland, 4 Wheat. 316, 401 (1819); see ante, at 9. That is so even for practices that “began after the founding era.” NLRB v. Noel Canning, 573 U. S. 513, 525 (2014).3 As Justice Scalia explained, constitutional —————— 2The majority also attacks Humphrey’s reasoning and compatibility with later decisions. See ante, at 16–21.  These arguments, flawed as they are, may be relevant to the stare decisis analysis, see infra, at 34– 47, but they cannot change the fact that, until now, Humphrey’s squarely controlled.</w:t>
      </w:r>
    </w:p>
    <w:p>
      <w:pPr>
        <w:pStyle w:val="DocBody"/>
      </w:pPr>
      <w:r>
        <w:rPr>
          <w:rFonts w:ascii="Times New Roman" w:hAnsi="Times New Roman" w:eastAsia="宋体"/>
          <w:sz w:val="24"/>
        </w:rPr>
        <w:t>3See, e.g., Noel Canning, 573 U. S., at 528–529 (relying on practices beginning after the Civil War); Mistretta v. United States, 488 U. S. 361,</w:t>
      </w:r>
    </w:p>
    <w:p>
      <w:pPr>
        <w:pStyle w:val="DocBody"/>
      </w:pPr>
      <w:r>
        <w:rPr>
          <w:rFonts w:ascii="Times New Roman" w:hAnsi="Times New Roman" w:eastAsia="宋体"/>
          <w:sz w:val="24"/>
        </w:rPr>
        <w:t>TRUMP v. SLAUGHTER SOTOMAYOR, J., dissenting interpretation should reflect “the principles adhered to, over time, by the American people, rather than those fa­ vored by the personal (and necessarily shifting) philosophi­ cal dispositions of a majority of this Court.” Rutan v. Re­ publican Party of Ill., 497 U. S. 62, 96 (1990) (dissenting opinion). Like a “more democratic” form of stare decisis, re­ specting historical practice “promotes . . . stability, equal­ ity, and predictability.”  M. McConnell, Time, Institutions, and Interpretation, 95 B. U. L. Rev. 1745, 1776 (2015).</w:t>
      </w:r>
    </w:p>
    <w:p>
      <w:pPr>
        <w:pStyle w:val="DocBody"/>
      </w:pPr>
      <w:r>
        <w:rPr>
          <w:rFonts w:ascii="Times New Roman" w:hAnsi="Times New Roman" w:eastAsia="宋体"/>
          <w:sz w:val="24"/>
        </w:rPr>
        <w:t>These principles apply with full force here.  Today’s deci­ sion addresses one of the oldest, most vigorously debated questions in constitutional law. See infra, at 18–24. Fifty years before Humphrey’s was decided, Congress and the President began to reach a settled answer to that question, at least as to multimember agencies like the FTC.  In 1887, as the railroads grew in strength across the American econ­ omy, Congress responded by creating the Interstate Com­ merce Commission (ICC), a powerful new agency with five Commissioners, appointed by the President by and with the consent of the Senate, who were removable only “for ineffi­ ciency, neglect of duty, or malfeasance in office.” Act of Feb.</w:t>
      </w:r>
    </w:p>
    <w:p>
      <w:pPr>
        <w:pStyle w:val="DocBody"/>
      </w:pPr>
      <w:r>
        <w:rPr>
          <w:rFonts w:ascii="Times New Roman" w:hAnsi="Times New Roman" w:eastAsia="宋体"/>
          <w:sz w:val="24"/>
        </w:rPr>
        <w:t>4, 1887, 24 Stat. 383.  Three years later, Congress estab­ lished the nine-member Board of General Appraisers to reg­ ulate American customs and granted it the same form of removal protection. Act of June 10, 1890, 26 Stat. 136; see A. Bamzai, Taft, Frankfurter, and the First Presidential For-Cause Removal, 52 U. Rich. L. Rev. 691, 694–695 (2018) (describing this Board as “one of the most powerful entities within the federal government” at the time). The —————— 390 (1989) (relying on “more than a century” of experience); Ex parte Grossman, 267 U. S. 87, 118 (1925) (relying on “long practice” since 1841); see also United States v. Curtiss-Wright Export Corp., 299 U. S.</w:t>
      </w:r>
    </w:p>
    <w:p>
      <w:pPr>
        <w:pStyle w:val="DocBody"/>
      </w:pPr>
      <w:r>
        <w:rPr>
          <w:rFonts w:ascii="Times New Roman" w:hAnsi="Times New Roman" w:eastAsia="宋体"/>
          <w:sz w:val="24"/>
        </w:rPr>
        <w:t>304, 327–328 (1936) (explaining that “[a] legislative practice . . . marked by the movement of a steady stream for a century and a half of time goes a long way in the direction of proving the presence of an unassailable ground for the constitutionality of the practice”).</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Federal Reserve Board followed with similar removal pro­ tections in 1913. Act of Dec. 23, 1913, 38 Stat. 260–261.</w:t>
      </w:r>
    </w:p>
    <w:p>
      <w:pPr>
        <w:pStyle w:val="DocBody"/>
      </w:pPr>
      <w:r>
        <w:rPr>
          <w:rFonts w:ascii="Times New Roman" w:hAnsi="Times New Roman" w:eastAsia="宋体"/>
          <w:sz w:val="24"/>
        </w:rPr>
        <w:t>The next year, Congress created the FTC with removal pro­ tections aimed at ensuring “a continuous policy,” “free from the effect of . . . changing [White House] incumbency.”  51 Cong. Rec. 10376 (1914).</w:t>
      </w:r>
    </w:p>
    <w:p>
      <w:pPr>
        <w:pStyle w:val="DocBody"/>
      </w:pPr>
      <w:r>
        <w:rPr>
          <w:rFonts w:ascii="Times New Roman" w:hAnsi="Times New Roman" w:eastAsia="宋体"/>
          <w:sz w:val="24"/>
        </w:rPr>
        <w:t>From here, “many more . . . for-cause removal provisions followed.” Seila Law, 591 U. S., at 275–276 (opinion of KAGAN, J.).  Today, dozens of agencies are headed by com­ missioners or board members removable only for cause. Id., at 276; see J. Manners &amp; L. Menand, The Three Permis­ sions: Presidential Removal and the Statutory Limits of Agency Independence, 121 Colum. L. Rev. 1, 74–79 (2021)</w:t>
      </w:r>
    </w:p>
    <w:p>
      <w:pPr>
        <w:pStyle w:val="DocBody"/>
      </w:pPr>
      <w:r>
        <w:rPr>
          <w:rFonts w:ascii="Times New Roman" w:hAnsi="Times New Roman" w:eastAsia="宋体"/>
          <w:sz w:val="24"/>
        </w:rPr>
        <w:t>(Manners &amp; Menand) (collecting additional agencies).</w:t>
      </w:r>
    </w:p>
    <w:p>
      <w:pPr>
        <w:pStyle w:val="DocBody"/>
      </w:pPr>
      <w:r>
        <w:rPr>
          <w:rFonts w:ascii="Times New Roman" w:hAnsi="Times New Roman" w:eastAsia="宋体"/>
          <w:sz w:val="24"/>
        </w:rPr>
        <w:t>Thus, unlike in other recent cases, in which the Court con­ sidered agencies that it deemed “historical anomal[ies]”</w:t>
      </w:r>
    </w:p>
    <w:p>
      <w:pPr>
        <w:pStyle w:val="DocBody"/>
      </w:pPr>
      <w:r>
        <w:rPr>
          <w:rFonts w:ascii="Times New Roman" w:hAnsi="Times New Roman" w:eastAsia="宋体"/>
          <w:sz w:val="24"/>
        </w:rPr>
        <w:t>with “no foothold in history or tradition,” here history and tradition point in the opposite direction.  Seila Law, 591 U. S., at 222; see Free Enterprise Fund, 561 U. S., at 505.</w:t>
      </w:r>
    </w:p>
    <w:p>
      <w:pPr>
        <w:pStyle w:val="DocBody"/>
      </w:pPr>
      <w:r>
        <w:rPr>
          <w:rFonts w:ascii="Times New Roman" w:hAnsi="Times New Roman" w:eastAsia="宋体"/>
          <w:sz w:val="24"/>
        </w:rPr>
        <w:t>Congress, moreover, has taken this action not only with the Executive Branch’s “acquiesce[nce],” but also with the active participation of Presidents across the ideological spectrum. Zivotofsky v. Kerry, 576 U. S. 1, 23 (2015); see also, e.g., United States v. Midwest Oil Co., 236 U. S. 459, 473 (1915) (endorsing the “wise and quieting rule that in determining . . . the existence of a power, weight shall be given to the usage itself—even when the validity of the practice is the subject of investigation”). President Lincoln, even before the creation of the ICC in 1887, “asked Con­ gress to establish” a Comptroller of the Currency and then signed the bill enacting that office into law even though it restricted the President’s power to remove the Comptroller.</w:t>
      </w:r>
    </w:p>
    <w:p>
      <w:pPr>
        <w:pStyle w:val="DocBody"/>
      </w:pPr>
      <w:r>
        <w:rPr>
          <w:rFonts w:ascii="Times New Roman" w:hAnsi="Times New Roman" w:eastAsia="宋体"/>
          <w:sz w:val="24"/>
        </w:rPr>
        <w:t>TRUMP v. SLAUGHTER SOTOMAYOR, J., dissenting Seila Law, 591 U. S., at 274 (opinion of KAGAN, J.).4  In fact, other than Humphrey’s own removal, the Government struggles to find any Presidential objections to, let alone re­ pudiations of, for-cause removal protections like the FTC’s since they came into existence in the late 1800s. See Reply Brief 10–11 (noting one Presidential signing statement “questioning” removal protections but still signing them into law). Even if Humphrey’s had never been decided, this longstanding practice, jointly undertaken by Congresses and Presidents, should be entitled to significant weight.</w:t>
      </w:r>
    </w:p>
    <w:p>
      <w:pPr>
        <w:pStyle w:val="DocBody"/>
      </w:pPr>
      <w:r>
        <w:rPr>
          <w:rFonts w:ascii="Times New Roman" w:hAnsi="Times New Roman" w:eastAsia="宋体"/>
          <w:sz w:val="24"/>
        </w:rPr>
        <w:t>The majority’s only response is INS v. Chadha, 462 U. S.</w:t>
      </w:r>
    </w:p>
    <w:p>
      <w:pPr>
        <w:pStyle w:val="DocBody"/>
      </w:pPr>
      <w:r>
        <w:rPr>
          <w:rFonts w:ascii="Times New Roman" w:hAnsi="Times New Roman" w:eastAsia="宋体"/>
          <w:sz w:val="24"/>
        </w:rPr>
        <w:t>919 (1983), which held unconstitutional a 50-year-old pro­ cedure by which a single House of Congress could override an executive action. See ante, at 33.  Chadha, however, is no model for today’s decision.  For one thing, Chadha did not involve a practice that had been repeatedly approved by this Court for nearly a century.  Moreover, Chadha rested on “[e]xplicit and unambiguous provisions of the Constitu­ tion” (specifically, Article I’s bicameralism and present­ ment requirements) in disapproving the challenged prac­ tice. 462 U. S., at 945.  The majority here, by contrast, identifies no constitutional provision referencing or requir­ ing an unfettered removal power.  See infra, at 14–18.  In­ stead, it rests heavily on structural inferences, legislative inaction, congressional debates, legal commentary, and pri­ vate correspondence.  See ante, at 9–13.</w:t>
      </w:r>
    </w:p>
    <w:p>
      <w:pPr>
        <w:pStyle w:val="DocBody"/>
      </w:pPr>
      <w:r>
        <w:rPr>
          <w:rFonts w:ascii="Times New Roman" w:hAnsi="Times New Roman" w:eastAsia="宋体"/>
          <w:sz w:val="24"/>
        </w:rPr>
        <w:t>Thus, unlike Chadha, this case does not ask whether 50 years of practice can overcome plain constitutional text. It asks whether the Constitution privileges the majority’s flawed historical ac­ count as the final word on the subject, impervious to more than a century of later historical development.</w:t>
      </w:r>
    </w:p>
    <w:p>
      <w:pPr>
        <w:pStyle w:val="DocBody"/>
      </w:pPr>
      <w:r>
        <w:rPr>
          <w:rFonts w:ascii="Times New Roman" w:hAnsi="Times New Roman" w:eastAsia="宋体"/>
          <w:sz w:val="24"/>
        </w:rPr>
        <w:t>—————— 4The majority suggests that it is unlikely that President Lincoln would have supported a bill limiting his own removal power, see ante, at 32, n. 8, but that flies in the face of the fact that he did sign this bill into law without objection.  Nor does the fact that Congress later repealed this law erase the historical record of Lincoln’s actions.  Ibid.</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The answer is no.  Although the majority suggests that its view reflects a settled construction of the Constitution, the opposite is true. For more than a century, the Nation has firmly rejected the majority’s view and has recognized that Congress, not this Court, has primary say over whether multimember commissions like the FTC should have some insulation from direct Presidential control.  It is thus the majority, not Humphrey’s or the FTC, that improp­ erly “transform[s] the ‘established practice’ of the political branches.” Mazars, 591 U. S., at 867.</w:t>
      </w:r>
    </w:p>
    <w:p>
      <w:pPr>
        <w:pStyle w:val="DocBody"/>
      </w:pPr>
      <w:r>
        <w:rPr>
          <w:rFonts w:ascii="Times New Roman" w:hAnsi="Times New Roman" w:eastAsia="宋体"/>
          <w:sz w:val="24"/>
        </w:rPr>
        <w:t>B Ninety years of precedent and 140 years of consistent po­ litical practice should have been more than enough to re­ solve this case.  They are not enough, however, for the ma­ jority. Instead, the majority disregards “a venerable and accepted tradition” after placing it “on the examining table”</w:t>
      </w:r>
    </w:p>
    <w:p>
      <w:pPr>
        <w:pStyle w:val="DocBody"/>
      </w:pPr>
      <w:r>
        <w:rPr>
          <w:rFonts w:ascii="Times New Roman" w:hAnsi="Times New Roman" w:eastAsia="宋体"/>
          <w:sz w:val="24"/>
        </w:rPr>
        <w:t>and “scrutiniz[ing] its conformity to” the majority’s own “ab­ stract” theory of unitary executive control.  Rutan, 497 U. S.</w:t>
      </w:r>
    </w:p>
    <w:p>
      <w:pPr>
        <w:pStyle w:val="DocBody"/>
      </w:pPr>
      <w:r>
        <w:rPr>
          <w:rFonts w:ascii="Times New Roman" w:hAnsi="Times New Roman" w:eastAsia="宋体"/>
          <w:sz w:val="24"/>
        </w:rPr>
        <w:t>62, at 95–96 (Scalia, J., dissenting).</w:t>
      </w:r>
    </w:p>
    <w:p>
      <w:pPr>
        <w:pStyle w:val="DocBody"/>
      </w:pPr>
      <w:r>
        <w:rPr>
          <w:rFonts w:ascii="Times New Roman" w:hAnsi="Times New Roman" w:eastAsia="宋体"/>
          <w:sz w:val="24"/>
        </w:rPr>
        <w:t>There is no need for this renewed analysis, but even if we must return to fundamentals, the majority remains deeply wrong. Until 2010, this Court had generally allowed Con­ gress to impose reasonable limits on the President’s default power to remove Executive Branch officials if doing so did not impair his ability to perform his constitutional duties.</w:t>
      </w:r>
    </w:p>
    <w:p>
      <w:pPr>
        <w:pStyle w:val="DocBody"/>
      </w:pPr>
      <w:r>
        <w:rPr>
          <w:rFonts w:ascii="Times New Roman" w:hAnsi="Times New Roman" w:eastAsia="宋体"/>
          <w:sz w:val="24"/>
        </w:rPr>
        <w:t>See Free Enterprise Fund, 561 U. S., at 515–516, 532–533 (Breyer, J., dissenting). Recently, however, the Court has seized the issue from the political branches by fashioning a “general rule” of mandatory, illimitable at-will Presidential removal. Seila Law, 591 U. S., at 215. From the start, the majority’s theory rested on shaky ground.  Over time, its arguments have grown weaker still, as historical evidence has undermined key pillars of its theory.  Today, the Court faced a choice: plow ahead, or acknowledge that the foun­ dations on which the “general rule” of illimitable removal</w:t>
      </w:r>
    </w:p>
    <w:p>
      <w:pPr>
        <w:pStyle w:val="DocBody"/>
      </w:pPr>
      <w:r>
        <w:rPr>
          <w:rFonts w:ascii="Times New Roman" w:hAnsi="Times New Roman" w:eastAsia="宋体"/>
          <w:sz w:val="24"/>
        </w:rPr>
        <w:t>TRUMP v. SLAUGHTER SOTOMAYOR, J., dissenting power rests are less stable than the Court has previously asserted. Unfortunately, the Court repeats and expands upon several prior errors that require correction.</w:t>
      </w:r>
    </w:p>
    <w:p>
      <w:pPr>
        <w:pStyle w:val="DocBody"/>
      </w:pPr>
      <w:r>
        <w:rPr>
          <w:rFonts w:ascii="Times New Roman" w:hAnsi="Times New Roman" w:eastAsia="宋体"/>
          <w:sz w:val="24"/>
        </w:rPr>
        <w:t>Beginning at the founding, there is no evidence that those who shaped or ratified the Constitution adopted the major­ ity’s general rule of at-will removal. Indeed, the Court has long noted that, for the most part, “[t]he Constitution is si­ lent with respect to the power of removal from office, where the tenure is not fixed.” Ex parte Hennen, 13 Pet. 230, 258 (1839). The one exception, and only explicit removal power granted in the Constitution, is for impeachment of the “President, Vice President, and all Civil Officers,” a power placed in Congress’s hands, not the President’s. See Art. I, §3, cls. 6–7; Art. II, §4.</w:t>
      </w:r>
    </w:p>
    <w:p>
      <w:pPr>
        <w:pStyle w:val="DocBody"/>
      </w:pPr>
      <w:r>
        <w:rPr>
          <w:rFonts w:ascii="Times New Roman" w:hAnsi="Times New Roman" w:eastAsia="宋体"/>
          <w:sz w:val="24"/>
        </w:rPr>
        <w:t>Still, the majority begins by claiming that its theory of Presidential removal comes from Article II’s “vest[ing of] ‘[t]he executive Power’” in the President. Ante, at 1, 4 (quot­ ing Art. II, §1, cl. 1). That assertion begs the question. Does the “executive Power,” in fact, contain an illimitable re­ moval power beyond Congress’s power to “establis[h] by Law” certain offices, as “necessary and proper” to structure the Executive Branch?  Art. I, §8, cl. 18; Art. II, §2, cl. 2.</w:t>
      </w:r>
    </w:p>
    <w:p>
      <w:pPr>
        <w:pStyle w:val="DocBody"/>
      </w:pPr>
      <w:r>
        <w:rPr>
          <w:rFonts w:ascii="Times New Roman" w:hAnsi="Times New Roman" w:eastAsia="宋体"/>
          <w:sz w:val="24"/>
        </w:rPr>
        <w:t>After all, agencies like the FTC would not even exist if not for Congress’s exercise of its Article I power to create them.</w:t>
      </w:r>
    </w:p>
    <w:p>
      <w:pPr>
        <w:pStyle w:val="DocBody"/>
      </w:pPr>
      <w:r>
        <w:rPr>
          <w:rFonts w:ascii="Times New Roman" w:hAnsi="Times New Roman" w:eastAsia="宋体"/>
          <w:sz w:val="24"/>
        </w:rPr>
        <w:t>There is little to suggest that “executive Power,” as un­ derstood at the time of the founding, was as capacious as the Court today asserts. The powers held by the English Crown and state governors before ratification did not in­ clude a removal power that the legislature could not modify.</w:t>
      </w:r>
    </w:p>
    <w:p>
      <w:pPr>
        <w:pStyle w:val="DocBody"/>
      </w:pPr>
      <w:r>
        <w:rPr>
          <w:rFonts w:ascii="Times New Roman" w:hAnsi="Times New Roman" w:eastAsia="宋体"/>
          <w:sz w:val="24"/>
        </w:rPr>
        <w:t>Instead, Parliament often restricted the Crown’s ability to remove even high-level royal officers, and States with vest­ ing clauses like the Constitution’s similarly allowed for lim­ its on gubernatorial removal powers. See Seila Law, 591</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U. S., at 267–268 (opinion of KAGAN, J.).  Recent, post-Seila Law scholarship overwhelmingly confirms this point.5 Nor is there evidence that the Constitution was intended to give the President more expansive removal powers than those enjoyed by the Crown. For good reason: Doing so would have been inconsistent with the Constitution’s very foundation. The Framers “never intended” to give the Pres­ ident “the complete set of powers” that the English Crown held, let alone more. C. Chabot, Interring the Unitary Ex­ ecutive, 98 Notre Dame L. Rev. 129, 140 (2022) (Chabot).</w:t>
      </w:r>
    </w:p>
    <w:p>
      <w:pPr>
        <w:pStyle w:val="DocBody"/>
      </w:pPr>
      <w:r>
        <w:rPr>
          <w:rFonts w:ascii="Times New Roman" w:hAnsi="Times New Roman" w:eastAsia="宋体"/>
          <w:sz w:val="24"/>
        </w:rPr>
        <w:t>They carefully parsed the “‘royal prerogative[s]’” and as­ signed many, including the power of office creation, to Con­ gress. Ibid.; see G. Lawson, Command and Control: Oper­ ationalizing the Unitary Executive, 92 Ford. L. Rev. 441, 442–443 (2023) (Lawson) (explaining that the Constitu­ tion’s vesting of the power to create offices in Congress was a “monumental change from English practice”).</w:t>
      </w:r>
    </w:p>
    <w:p>
      <w:pPr>
        <w:pStyle w:val="DocBody"/>
      </w:pPr>
      <w:r>
        <w:rPr>
          <w:rFonts w:ascii="Times New Roman" w:hAnsi="Times New Roman" w:eastAsia="宋体"/>
          <w:sz w:val="24"/>
        </w:rPr>
        <w:t>Removal also “was not discussed in the Constitutional Convention,” Myers v. United States, 272 U. S. 52, 109–110 (1926), making an expansion of preratification executive power unlikely. Alexander Hamilton, then writing to sup­ port the States’ ratification of the Constitution, explained that because the power to remove traditionally followed the power to appoint, “[t]he consent of [the Senate] would be necessary to displace as well as to appoint.”  The Federalist No. 77, p. 458 (C. Rossiter &amp; C. Kesler eds. 1999).  This was a selling point for the Constitution, as it meant that “[a] change of the [President] would not occasion so violent or so —————— 5See, e.g., A. Bamzai &amp; S. Prakash, The Executive Power of Removal, 136 Harv. L. Rev. 1756, 1790 (2023) (acknowledging that “parliamentary laws [could] nullify the common backdrop of at-pleasure removal”); Man­ ners &amp; Menand 18–21 (collecting English and early American removal limits); J. Shugerman, Venality: A Strangely Practical History of Unre­ movable Offices and Limited Executive Power, 100 Notre Dame L. Rev.</w:t>
      </w:r>
    </w:p>
    <w:p>
      <w:pPr>
        <w:pStyle w:val="DocBody"/>
      </w:pPr>
      <w:r>
        <w:rPr>
          <w:rFonts w:ascii="Times New Roman" w:hAnsi="Times New Roman" w:eastAsia="宋体"/>
          <w:sz w:val="24"/>
        </w:rPr>
        <w:t>213, 216–218 (2024) (In England, “many high offices, and even ‘great of­ fices,’ department heads, and cabinet-level offices were unremovable” by the Crown).</w:t>
      </w:r>
    </w:p>
    <w:p>
      <w:pPr>
        <w:pStyle w:val="DocBody"/>
      </w:pPr>
      <w:r>
        <w:rPr>
          <w:rFonts w:ascii="Times New Roman" w:hAnsi="Times New Roman" w:eastAsia="宋体"/>
          <w:sz w:val="24"/>
        </w:rPr>
        <w:t>TRUMP v. SLAUGHTER SOTOMAYOR, J., dissenting general a revolution in the officers of the government as might be expected if he were the sole disposer of offices.”</w:t>
      </w:r>
    </w:p>
    <w:p>
      <w:pPr>
        <w:pStyle w:val="DocBody"/>
      </w:pPr>
      <w:r>
        <w:rPr>
          <w:rFonts w:ascii="Times New Roman" w:hAnsi="Times New Roman" w:eastAsia="宋体"/>
          <w:sz w:val="24"/>
        </w:rPr>
        <w:t>Ibid.6 Madison also explained that “[t]he tenure of the min­ isterial offices, generally, will be a subject of legal regula­ tion, conformably to the reason of the case and the example of the State constitutions.” Id., No. 39, at 238.</w:t>
      </w:r>
    </w:p>
    <w:p>
      <w:pPr>
        <w:pStyle w:val="DocBody"/>
      </w:pPr>
      <w:r>
        <w:rPr>
          <w:rFonts w:ascii="Times New Roman" w:hAnsi="Times New Roman" w:eastAsia="宋体"/>
          <w:sz w:val="24"/>
        </w:rPr>
        <w:t>The Constitution may have been intended, as the major­ ity argues at length, to “forg[e] a new path,” in contrast to some state governments at the time, by “opting for one President” and not a “‘committee-style’” Presidency.  See ante, at 1–2, 4–9.  This new path, however, does not lead where the majority wishes to go.  Whether executive power vests in a single President or a council, the question re­ mains whether the Vesting Clause forecloses any limita­ tions on that person’s (or body’s) power to remove subordi­ nate officials.  For proof, look no further than Hamilton, who certainly agreed that executive power ought to be “placed in a ‘single hand.’”</w:t>
      </w:r>
    </w:p>
    <w:p>
      <w:pPr>
        <w:pStyle w:val="DocBody"/>
      </w:pPr>
      <w:r>
        <w:rPr>
          <w:rFonts w:ascii="Times New Roman" w:hAnsi="Times New Roman" w:eastAsia="宋体"/>
          <w:sz w:val="24"/>
        </w:rPr>
        <w:t>Ante, at 6 (quoting The —————— 6Far from a “passing commen[t]” by Hamilton that the majority ima­ gines this to have been, ante, at 29, Joseph Story later wrote that Feder­ alist No. 77 “den[ied] the existence of the [unlimited presidential re­ moval] power” and, in doing so, “had a most material tendency to quiet the just alarms of the overwhelming influence, and arbitrary exercise of this prerogative of the executive, which might prove fatal to the personal independence, and freedom of opinion of public officers, as well as to the public liberties of the country.”  3 Commentaries on the Constitution of the United States §§1533–1534, pp. 390, 392 (1833) (Story).  When the political branches ultimately concluded that, contrary to Hamilton, the President did have authority to remove officials without the Senate’s con­ sent, James Kent marveled at the “striking fact” that they did so based “upon inference merely” and “in opposition to the high authority of the Federalist.” 1 Commentaries on American Law 290 (1826) (Kent).  The majority’s suggestion that Hamilton might have meant something en­ tirely different in Federalist No. 77, ante, at 29, is also doubtful given Story’s and Kent’s understandings. Moreover, to the extent the majority identifies other later statements by Hamilton arguably in tension with his initial view in The Federalist, see ante, at 29–30, “changing minds and inconstant opinions don’t usually prove the existence of constitu­ tional rules.”  Seila Law, 591 U. S., at 270, n. 4 (opinion of KAGAN, J.).</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Federalist No. 70, p. 424 (C. Rossiter ed. 1961)).  Yet Ham­ ilton also saw this choice as entirely compatible with his view that “[t]he consent of ” the Senate would be necessary “to displace as well as to appoint” officers.  The Federalist No. 77, at 458 (Rossiter &amp; Kessler eds. 1999).  He plainly did not view “the power to remove at will [a]s a necessary corollary of the Constitution’s design,” ante, at 8, and the majority is wrong to assume that a unitary Presidency im­ plies an unlimited removal power.</w:t>
      </w:r>
    </w:p>
    <w:p>
      <w:pPr>
        <w:pStyle w:val="DocBody"/>
      </w:pPr>
      <w:r>
        <w:rPr>
          <w:rFonts w:ascii="Times New Roman" w:hAnsi="Times New Roman" w:eastAsia="宋体"/>
          <w:sz w:val="24"/>
        </w:rPr>
        <w:t>The majority relatedly places undue weight on the notion that “‘[t]he power of appointing and removing executive of­ ficers [is] inherent in [the] Executive.’”  Ibid.  Under the Constitution, the President does not have unlimited ap­ pointment powers either. His power is to “nominate”; only “by and with the Advice and Consent of the Senate” may he “appoint” the “Officers of the United States.” Art. II, §2, cl. 2. What is more, the President can appoint officers only to offices “established by Law”—that is, by Congress.  Ibid.</w:t>
      </w:r>
    </w:p>
    <w:p>
      <w:pPr>
        <w:pStyle w:val="DocBody"/>
      </w:pPr>
      <w:r>
        <w:rPr>
          <w:rFonts w:ascii="Times New Roman" w:hAnsi="Times New Roman" w:eastAsia="宋体"/>
          <w:sz w:val="24"/>
        </w:rPr>
        <w:t>Any link between appointment and removal thus under­ mines the existence of any inherent illimitable executive re­ moval power. See, e.g., Lawson 452–453. Given that the Constitution did not grant the President alone an illimita­ ble power to appoint, it is all the less likely that it silently vested in the President an unbounded power to remove.</w:t>
      </w:r>
    </w:p>
    <w:p>
      <w:pPr>
        <w:pStyle w:val="DocBody"/>
      </w:pPr>
      <w:r>
        <w:rPr>
          <w:rFonts w:ascii="Times New Roman" w:hAnsi="Times New Roman" w:eastAsia="宋体"/>
          <w:sz w:val="24"/>
        </w:rPr>
        <w:t>Nor does the Take Care Clause serve as a plausible source for the expansive removal power the majority posits.</w:t>
      </w:r>
    </w:p>
    <w:p>
      <w:pPr>
        <w:pStyle w:val="DocBody"/>
      </w:pPr>
      <w:r>
        <w:rPr>
          <w:rFonts w:ascii="Times New Roman" w:hAnsi="Times New Roman" w:eastAsia="宋体"/>
          <w:sz w:val="24"/>
        </w:rPr>
        <w:t>Contra, ante, at 4. “[T]he provision—‘he shall take Care that the Laws be faithfully executed’—speaks of duty, not power.” Seila Law, 591 U. S., at 268 (opinion of KAGAN, J.)</w:t>
      </w:r>
    </w:p>
    <w:p>
      <w:pPr>
        <w:pStyle w:val="DocBody"/>
      </w:pPr>
      <w:r>
        <w:rPr>
          <w:rFonts w:ascii="Times New Roman" w:hAnsi="Times New Roman" w:eastAsia="宋体"/>
          <w:sz w:val="24"/>
        </w:rPr>
        <w:t>(quoting Art. II, §3).  As recent scholarship has explained, “‘[f]aithful execution’ was proto-fiduciary legal language from centuries of English law that limited the discretion of executive officials” and did “not expan[d] their power.”  J.</w:t>
      </w:r>
    </w:p>
    <w:p>
      <w:pPr>
        <w:pStyle w:val="DocBody"/>
      </w:pPr>
      <w:r>
        <w:rPr>
          <w:rFonts w:ascii="Times New Roman" w:hAnsi="Times New Roman" w:eastAsia="宋体"/>
          <w:sz w:val="24"/>
        </w:rPr>
        <w:t>Shugerman, The Misuse of Ratification-Era Sources by Unitary Executive Theorists, 58 U. Mich. J. L. Reform 591, 603–604 (2025); see A. Kent, E. Leib, &amp; J. Shugerman,</w:t>
      </w:r>
    </w:p>
    <w:p>
      <w:pPr>
        <w:pStyle w:val="DocBody"/>
      </w:pPr>
      <w:r>
        <w:rPr>
          <w:rFonts w:ascii="Times New Roman" w:hAnsi="Times New Roman" w:eastAsia="宋体"/>
          <w:sz w:val="24"/>
        </w:rPr>
        <w:t>TRUMP v. SLAUGHTER SOTOMAYOR, J., dissenting Faithful Execution and Article II, 132 Harv. L. Rev. 2111, 2120 (2019) (explaining that the original public meaning of the Take Care Clause “supports readings of Article II that tend to subordinate presidential power to congressional di­ rection”). At-will removal might be one good way of ful­ filling those duties. There is no evidence, however, that an­ yone understood the Take Care Clause at or near the founding to imply a mandatory, inflexible rule of at-will re­ moval that Congress could never modify.</w:t>
      </w:r>
    </w:p>
    <w:p>
      <w:pPr>
        <w:pStyle w:val="DocBody"/>
      </w:pPr>
      <w:r>
        <w:rPr>
          <w:rFonts w:ascii="Times New Roman" w:hAnsi="Times New Roman" w:eastAsia="宋体"/>
          <w:sz w:val="24"/>
        </w:rPr>
        <w:t>In sum, nothing in the text of the Constitution, as under­ stood at the time of the founding by those who ratified it, suggests the illimitable removal power the Court today en­ dorses. The majority can shut its eyes to this evidence and point back to its past mistakes as support for the new ones of today. See ante, at 20 (citing Seila Law and Free Enter­ prise Fund). To the extent “‘[o]riginal history’” is seen as “generally dispositive,” however, see United States v.</w:t>
      </w:r>
    </w:p>
    <w:p>
      <w:pPr>
        <w:pStyle w:val="DocBody"/>
      </w:pPr>
      <w:r>
        <w:rPr>
          <w:rFonts w:ascii="Times New Roman" w:hAnsi="Times New Roman" w:eastAsia="宋体"/>
          <w:sz w:val="24"/>
        </w:rPr>
        <w:t>Rahimi, 602 U. S. 680, 738 (2024) (BARRETT, J., concur­ ring), this background should have prevented the Court from continuing to build on the uncertain foundation of a general rule of illimitable Presidential removal.</w:t>
      </w:r>
    </w:p>
    <w:p>
      <w:pPr>
        <w:pStyle w:val="DocBody"/>
      </w:pPr>
      <w:r>
        <w:rPr>
          <w:rFonts w:ascii="Times New Roman" w:hAnsi="Times New Roman" w:eastAsia="宋体"/>
          <w:sz w:val="24"/>
        </w:rPr>
        <w:t>The majority quibbles with some of the evidence dis­ cussed above, but in the end cites nothing from the ratifica­ tion debates or the Constitution’s text endorsing its view of unbounded removal power.  Instead, the majority rests mostly on postratification commentary and congressional inaction. On this score, though, the majority also comes up short. Presidential removal has long evoked strong, con­ flicting views from American political leaders, but the avail­ able evidence from 1789 through the end of the 19th cen­ tury reflects that the political branches have long believed, and acted upon the belief, that Congress has the power to set limits on the President’s removal authority and that the President was not free to flout such limits when enacted.</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a Starting where the majority starts, the debates of the First Congress over the removal process for early depart­ ment heads (which culminated in the “Decision of 1789”) in no way resolve the question presented here. See ante, at 9–</w:t>
      </w:r>
    </w:p>
    <w:p>
      <w:pPr>
        <w:pStyle w:val="DocBody"/>
        <w:ind w:left="765"/>
      </w:pPr>
      <w:r>
        <w:rPr>
          <w:rFonts w:ascii="Times New Roman" w:hAnsi="Times New Roman" w:eastAsia="宋体"/>
          <w:sz w:val="24"/>
        </w:rPr>
        <w:t>To begin, the majority’s own theory is inconsistent. If “[t]ext and structure” already “taught that the President had to be able to remove” all of his inferiors in order to “‘be personally responsible for everything’” within the Executive Branch, ante, at 9, then it is unclear what was left for the First Congress to “decide,” much less spend days debating.</w:t>
      </w:r>
    </w:p>
    <w:p>
      <w:pPr>
        <w:pStyle w:val="DocBody"/>
      </w:pPr>
      <w:r>
        <w:rPr>
          <w:rFonts w:ascii="Times New Roman" w:hAnsi="Times New Roman" w:eastAsia="宋体"/>
          <w:sz w:val="24"/>
        </w:rPr>
        <w:t>The very need for a Decision of 1789 suggests that the re­ moval question was still unanswered by 1789.</w:t>
      </w:r>
    </w:p>
    <w:p>
      <w:pPr>
        <w:pStyle w:val="DocBody"/>
      </w:pPr>
      <w:r>
        <w:rPr>
          <w:rFonts w:ascii="Times New Roman" w:hAnsi="Times New Roman" w:eastAsia="宋体"/>
          <w:sz w:val="24"/>
        </w:rPr>
        <w:t>In any event, the debates from 1789 do not support the majority’s understanding of executive power. The House in 1789 did not address whether Congress could place limits on the President’s power to remove; it debated whether the President could remove officers at all without Senate con­ sent. “[T]he great question” in 1789 “was whether the re­ moval was to be by the President alone, or with the concur­ rence of the Senate.” Hennen, 13 Pet., at 259. Some, as the majority explains, believed (as Hamilton did) that the Con­ stitution required Senate consent for all removals; another group believed that Congress could choose whether to give the Senate a say; and a third believed the Constitution pro­ hibited all Senate involvement in the removal process (out­ side of impeachment). Ante, at 9–10.7 The one “‘[d]ecision’” that emerged from this debate was that “a congressional role in the removal process was re­ jected.” Bowsher v. Synar, 478 U. S. 714, 723 (1986).  To be clear on this, given the majority’s elliptical treatment of what took place in the summer of 1789, here is what —————— 7A fourth, smaller group believed that impeachment alone, without re­ served power to the President, was the only way to remove an executive officer. See, e.g., 1 Annals of Cong. 456–457 (1789) (Rep. Smith).</w:t>
      </w:r>
    </w:p>
    <w:p>
      <w:pPr>
        <w:pStyle w:val="DocBody"/>
      </w:pPr>
      <w:r>
        <w:rPr>
          <w:rFonts w:ascii="Times New Roman" w:hAnsi="Times New Roman" w:eastAsia="宋体"/>
          <w:sz w:val="24"/>
        </w:rPr>
        <w:t>TRUMP v. SLAUGHTER SOTOMAYOR, J., dissenting actually happened: The bill the House initially debated pro­ vided that the head of the Department of Foreign Affairs would “be removable by the President.”  1 Annals of Cong.</w:t>
      </w:r>
    </w:p>
    <w:p>
      <w:pPr>
        <w:pStyle w:val="DocBody"/>
      </w:pPr>
      <w:r>
        <w:rPr>
          <w:rFonts w:ascii="Times New Roman" w:hAnsi="Times New Roman" w:eastAsia="宋体"/>
          <w:sz w:val="24"/>
        </w:rPr>
        <w:t>370–371. Madison and his allies at first argued that this language should be “retain[ed] . . . in the bill” because it was “explanatory of the meaning of the Constitution” (that is, they thought it confirmed the President’s power to re­ move), id., at 464 (Madison), while the other camps opposed this language. Several days later, however, Madison and his allies “reversed course,” arguing that the language they originally favored might wrongly suggest that the President lacked any removal power unless Congress provided for it by statute. J. Shugerman, The Indecisions of 1789: Incon­ stant Originalism and Strategic Ambiguity, 171 U. Pa.</w:t>
      </w:r>
    </w:p>
    <w:p>
      <w:pPr>
        <w:pStyle w:val="DocBody"/>
      </w:pPr>
      <w:r>
        <w:rPr>
          <w:rFonts w:ascii="Times New Roman" w:hAnsi="Times New Roman" w:eastAsia="宋体"/>
          <w:sz w:val="24"/>
        </w:rPr>
        <w:t>L. Rev. 753, 760 (2023); 1 Annals of Cong. 578 (Madison’s ally, Egbert Benson, moving to amend the bill for these rea­ sons). Ultimately, the House settled on a vague clause de­ tailing who would have custody of certain books and records “whenever the said principal officer shall be removed from office by the President.”  Act of July 27, 1789, 1 Stat. 29.</w:t>
      </w:r>
    </w:p>
    <w:p>
      <w:pPr>
        <w:pStyle w:val="DocBody"/>
      </w:pPr>
      <w:r>
        <w:rPr>
          <w:rFonts w:ascii="Times New Roman" w:hAnsi="Times New Roman" w:eastAsia="宋体"/>
          <w:sz w:val="24"/>
        </w:rPr>
        <w:t>This language assumes that the President can remove of­ ficers without an express grant from Congress and without Senate involvement. No version of the bill debated or voted upon, however, suggested that Congress was prohibited en­ tirely from limiting the causes for such removal.</w:t>
      </w:r>
    </w:p>
    <w:p>
      <w:pPr>
        <w:pStyle w:val="DocBody"/>
      </w:pPr>
      <w:r>
        <w:rPr>
          <w:rFonts w:ascii="Times New Roman" w:hAnsi="Times New Roman" w:eastAsia="宋体"/>
          <w:sz w:val="24"/>
        </w:rPr>
        <w:t>As a result, nearly every scholar to have studied this ep­ isode, even those broadly supportive of the majority’s view, has come to agree that “the Decision of 1789 did not endorse the view that Congress lacked authority to modify the Con­ stitution’s grant of removal power to the President.”  S. Pra­ kash, New Light on the Decision of 1789, 91 Cornell L. Rev.</w:t>
      </w:r>
    </w:p>
    <w:p>
      <w:pPr>
        <w:pStyle w:val="DocBody"/>
      </w:pPr>
      <w:r>
        <w:rPr>
          <w:rFonts w:ascii="Times New Roman" w:hAnsi="Times New Roman" w:eastAsia="宋体"/>
          <w:sz w:val="24"/>
        </w:rPr>
        <w:t>1021, 1073 (2006); see J. Manning, Separation of Powers as Ordinary Interpretation, 124 Harv. L. Rev. 1939, 1964– 1965, n. 135 (2011); see also Shugerman, 171 U. Pa. L. Rev., at 759–762. Instead, Congress in 1789 left that question to later generations.</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Fumbling for a response, the majority asserts that there is no constitutional difference between a rule against con­ gressional participation in removals, on the one hand, and a rule against tenure protections, on the other.  See ante, at 30 (arguing that these are “one and the same”).  That is not how the Court has understood matters.  The Court has long distinguished between impermissible efforts by Con­ gress to “reserve for itself the power of removal of an officer charged with the execution of the laws except by impeach­ ment” (the issue decided in 1789), and the permissible “power of Congress to limit the President’s powers of re­ moval of a” principal officer.  Bowsher, 478 U. S., at 724–</w:t>
      </w:r>
    </w:p>
    <w:p>
      <w:pPr>
        <w:pStyle w:val="DocBody"/>
        <w:ind w:left="765"/>
      </w:pPr>
      <w:r>
        <w:rPr>
          <w:rFonts w:ascii="Times New Roman" w:hAnsi="Times New Roman" w:eastAsia="宋体"/>
          <w:sz w:val="24"/>
        </w:rPr>
        <w:t>“Madison’s position ultimately prevailed” in “urg[ing] rejection of a congressional role in the removal of Executive Branch officers,” id., at 723, but Humphrey’s “involved an issue not presented” by that triumph, 478 U. S., at 724.</w:t>
      </w:r>
    </w:p>
    <w:p>
      <w:pPr>
        <w:pStyle w:val="DocBody"/>
      </w:pPr>
      <w:r>
        <w:rPr>
          <w:rFonts w:ascii="Times New Roman" w:hAnsi="Times New Roman" w:eastAsia="宋体"/>
          <w:sz w:val="24"/>
        </w:rPr>
        <w:t>The majority also compares the President’s removal power to the pardon and veto powers, suggesting that once Congress rejected the Senate’s role in removals, that power became “as much outside Congress’s control as” these other powers and so now “‘cannot be modified, abridged, or dimin­ ished by the Congress.’”  Ante, at 30 (quoting Schick v.</w:t>
      </w:r>
    </w:p>
    <w:p>
      <w:pPr>
        <w:pStyle w:val="DocBody"/>
      </w:pPr>
      <w:r>
        <w:rPr>
          <w:rFonts w:ascii="Times New Roman" w:hAnsi="Times New Roman" w:eastAsia="宋体"/>
          <w:sz w:val="24"/>
        </w:rPr>
        <w:t>Reed, 419 U. S. 256, 266 (1974)).  The comparison is inapt.</w:t>
      </w:r>
    </w:p>
    <w:p>
      <w:pPr>
        <w:pStyle w:val="DocBody"/>
      </w:pPr>
      <w:r>
        <w:rPr>
          <w:rFonts w:ascii="Times New Roman" w:hAnsi="Times New Roman" w:eastAsia="宋体"/>
          <w:sz w:val="24"/>
        </w:rPr>
        <w:t>Schick’s conclusion that the pardon power is not subject to modification by Congress rested on the “history of the Eng­ lish pardoning power,” the text of the Constitution, and “un­ broken practice since 1790.” 419 U. S., at 266.  As explained throughout this opinion, the majority’s version of the re­ moval power, by contrast, draws no support from any of those sources. The majority’s rule breaks from English practice; it derives from no constitutional text speaking of a Presidential removal power (instead, it is Congress that has power over office creation); and it is inconsistent with the bulk of the American historical tradition.</w:t>
      </w:r>
    </w:p>
    <w:p>
      <w:pPr>
        <w:pStyle w:val="DocBody"/>
      </w:pPr>
      <w:r>
        <w:rPr>
          <w:rFonts w:ascii="Times New Roman" w:hAnsi="Times New Roman" w:eastAsia="宋体"/>
          <w:sz w:val="24"/>
        </w:rPr>
        <w:t>TRUMP v. SLAUGHTER SOTOMAYOR, J., dissenting b The majority attempts to shore up its view of the Decision of 1789 with commentary from the years that followed, but several of its own sources show its errors.  The first slew of citations shows only that Senate consent was unnecessary for removal. See ante, at 11–12. The debate that was, in James Kent’s words, “firmly and definitively settled” in 1789, was not whether at-will removal was constitutionally required, as the majority suggests; it was whether “partici­ pation in [the removal] authority by the senate” was neces­ sary or permitted. 1 Kent 289–290.  Joseph Story confirmed that the decision in which “[t]he public . . . acquiesced” was Congress’s “affirm[ance] of the power of removal in the [P]resident, without any co-operation of the [S]enate.”  3 Story §§1536–1537, at 394–395.  Daniel Webster, too, de­ cried the Decision of 1789 as wrongly allowing the Presi­ dent to remove independently, rather than “concurrently”</w:t>
      </w:r>
    </w:p>
    <w:p>
      <w:pPr>
        <w:pStyle w:val="DocBody"/>
      </w:pPr>
      <w:r>
        <w:rPr>
          <w:rFonts w:ascii="Times New Roman" w:hAnsi="Times New Roman" w:eastAsia="宋体"/>
          <w:sz w:val="24"/>
        </w:rPr>
        <w:t>with the Senate.  11 Cong. Deb. 466 (1835) (1835 Debates).</w:t>
      </w:r>
    </w:p>
    <w:p>
      <w:pPr>
        <w:pStyle w:val="DocBody"/>
      </w:pPr>
      <w:r>
        <w:rPr>
          <w:rFonts w:ascii="Times New Roman" w:hAnsi="Times New Roman" w:eastAsia="宋体"/>
          <w:sz w:val="24"/>
        </w:rPr>
        <w:t>Contrary to the majority, even by 1835, Webster still “be- lieve[d] it to be within the just power of Congress to reverse the decision of 1789.”  Id., at 468.</w:t>
      </w:r>
    </w:p>
    <w:p>
      <w:pPr>
        <w:pStyle w:val="DocBody"/>
      </w:pPr>
      <w:r>
        <w:rPr>
          <w:rFonts w:ascii="Times New Roman" w:hAnsi="Times New Roman" w:eastAsia="宋体"/>
          <w:sz w:val="24"/>
        </w:rPr>
        <w:t>The power of the President to remove without Senate con­ sent does not, however, mean that Congress was forbidden from placing any restraints on that power. Even Madison seems to have agreed.  In 1789, he argued that for officers who “partak[e] strongly of the judicial character,” “there may be strong reasons why an officer of this kind should not hold his office at the pleasure of the Executive [B]ranch.”  1 Annals of Cong. 611–612; see Humphrey’s, 295 U. S., at 631 (describing Madison’s view).</w:t>
      </w:r>
    </w:p>
    <w:p>
      <w:pPr>
        <w:pStyle w:val="DocBody"/>
      </w:pPr>
      <w:r>
        <w:rPr>
          <w:rFonts w:ascii="Times New Roman" w:hAnsi="Times New Roman" w:eastAsia="宋体"/>
          <w:sz w:val="24"/>
        </w:rPr>
        <w:t>Others thought similarly.</w:t>
      </w:r>
    </w:p>
    <w:p>
      <w:pPr>
        <w:pStyle w:val="DocBody"/>
      </w:pPr>
      <w:r>
        <w:rPr>
          <w:rFonts w:ascii="Times New Roman" w:hAnsi="Times New Roman" w:eastAsia="宋体"/>
          <w:sz w:val="24"/>
        </w:rPr>
        <w:t>Asked by President Monroe whether at-will removal was permitted without explicit statutory authorization, Attor­ ney General William Wirt answered in the affirmative, but only because “[w]henever Congress intend[s] a more perma­ nent tenure . . . they take care to express that intention clearly and explicitly.” 1 Op. Atty. Gen. 212, 213 (1818).</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This shows both that Monroe did not assume an at-will re­ moval power and that Wirt believed it could be curtailed.</w:t>
      </w:r>
    </w:p>
    <w:p>
      <w:pPr>
        <w:pStyle w:val="DocBody"/>
      </w:pPr>
      <w:r>
        <w:rPr>
          <w:rFonts w:ascii="Times New Roman" w:hAnsi="Times New Roman" w:eastAsia="宋体"/>
          <w:sz w:val="24"/>
        </w:rPr>
        <w:t>Story did note, in 1833, that Congress had until then gen­ erally left the President free to remove officers at will. It is unclear, however, if he believed Congress could provide more durable tenures of office.  As the majority observes, Story suggested in a footnote that the vote in 1789 “seems to have expressed the sense of the legislature, that the power of removal by the executive could not be abridged by the legislature.” 3 Story §1531, at 390, n. 1.  On the prior page, though, Story identified, as an open question, “whether congress can give any duration of office . . . not subject to the exercise of this power of removal.”  Id., §1531, at 389. Given Story’s view that the “vote finally taken” in 1789 was merely “affirmative of the power of removal in the president, without any co-operation of the senate,” id., §1536, at 394, it is most likely that the “sense of the legis­ lature” described in his footnote was the view that Congress could not insert itself into removal decisions by requiring Senate consent. The majority thus mischaracterizes Story when it attempts to enlist his equivocal presentation of the issues as an authoritative endorsement of its position.8 Webster was much clearer. In 1835, “proceed[ing] upon the admission that [the President’s power to remove with­ out Senate consent] does at present exist,” he urged that Congress nonetheless retained the authority to “regulat[e] . . . the tenure of office.” 1835 Debates 468. In his view, “no one could doubt [the] constitutional validity” of a law “de­ claring that district attorneys, or collectors of customs,”</w:t>
      </w:r>
    </w:p>
    <w:p>
      <w:pPr>
        <w:pStyle w:val="DocBody"/>
      </w:pPr>
      <w:r>
        <w:rPr>
          <w:rFonts w:ascii="Times New Roman" w:hAnsi="Times New Roman" w:eastAsia="宋体"/>
          <w:sz w:val="24"/>
        </w:rPr>
        <w:t>could be “removed [only] on conviction for misbehaviour,” or even of an “unwise” law imposing a similar removal re­ striction on “the Attorney General, or the Secretary of —————— 8Story, after all, was no enthusiast of a muscular executive removal power. See supra, at 16, n. 6 (detailing the “ ‘just alarms’ ” raised over the prospect of such power); infra, at 31, 48 (similar).</w:t>
      </w:r>
    </w:p>
    <w:p>
      <w:pPr>
        <w:pStyle w:val="DocBody"/>
      </w:pPr>
      <w:r>
        <w:rPr>
          <w:rFonts w:ascii="Times New Roman" w:hAnsi="Times New Roman" w:eastAsia="宋体"/>
          <w:sz w:val="24"/>
        </w:rPr>
        <w:t>TRUMP v. SLAUGHTER SOTOMAYOR, J., dissenting State.” Id., at 468–469.  He was not alone.  Henry Clay and John C. Calhoun, often rivals to each other and to Webster, also agreed: Clay argued at length that “the legislative au­ thority is competent to regulate the exercise of the power of dismission” (that is, removal), id., at 524, and Calhoun con­ fessed that, although he had once believed the issue settled in favor of the President’s power to remove, he had changed his mind and was “forced to conclude that the power of dis­ missing is not lodged in the President, but is subject to be controlled and regulated by Congress,” id., at 554–555.9 Far from “settled” in 1789, these continuing discussions show that the removal issue remained an open, contested question long after the founding.  See, e.g., Hennen, 13 Pet., at 259 (describing the “power of removal” as “a subject much disputed, and upon which a great diversity of opinion was entertained in the early history of this government”).</w:t>
      </w:r>
    </w:p>
    <w:p>
      <w:pPr>
        <w:pStyle w:val="DocBody"/>
      </w:pPr>
      <w:r>
        <w:rPr>
          <w:rFonts w:ascii="Times New Roman" w:hAnsi="Times New Roman" w:eastAsia="宋体"/>
          <w:sz w:val="24"/>
        </w:rPr>
        <w:t>c Even as the President’s ability to remove executive offic­ ers was the subject of spirited debate in the early republic, limitations on Presidential removal nevertheless were en­ acted. The majority is correct that Presidents generally “utilized their removal power” when not limited by law, see ante, at 13, but the 19th-century history of Presidential re­ moval is not as absolute as the majority suggests.</w:t>
      </w:r>
    </w:p>
    <w:p>
      <w:pPr>
        <w:pStyle w:val="DocBody"/>
      </w:pPr>
      <w:r>
        <w:rPr>
          <w:rFonts w:ascii="Times New Roman" w:hAnsi="Times New Roman" w:eastAsia="宋体"/>
          <w:sz w:val="24"/>
        </w:rPr>
        <w:t>To start, the First Congress itself created administrative bodies that, although not identical to agencies like the FTC, enjoyed significant independence in ways that undermine the majority’s simplistic history of uniform at-will removal.</w:t>
      </w:r>
    </w:p>
    <w:p>
      <w:pPr>
        <w:pStyle w:val="DocBody"/>
      </w:pPr>
      <w:r>
        <w:rPr>
          <w:rFonts w:ascii="Times New Roman" w:hAnsi="Times New Roman" w:eastAsia="宋体"/>
          <w:sz w:val="24"/>
        </w:rPr>
        <w:t>For instance, in 1790 Congress enacted (and President —————— 9The majority has no response regarding Clay and Calhoun, but notes that Webster, in 1850, may have come around to the majority’s view of the Decision of 1789. See ante, at 13. If the majority’s case depends on the shifting views of individual Senators between 1835 and 1850, it is unclear why Congress similarly was not free, a mere 37 years later in 1887, to change course again and impose modest limitations on the Pres­ ident’s removal power like those at issue in this case.  See infra, at 27.</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Washington signed) a law creating the Sinking Fund Com­ mission, a five-member agency responsible for stabilizing the Nation’s debt. See Act of Aug. 12, 1790, 1 Stat. 186;</w:t>
      </w:r>
    </w:p>
    <w:p>
      <w:pPr>
        <w:pStyle w:val="DocBody"/>
      </w:pPr>
      <w:r>
        <w:rPr>
          <w:rFonts w:ascii="Times New Roman" w:hAnsi="Times New Roman" w:eastAsia="宋体"/>
          <w:sz w:val="24"/>
        </w:rPr>
        <w:t>Chabot 172–173. Three Cabinet Secretaries, the Vice Pres­ ident, and the Chief Justice headed the Commission, and the latter two could not be removed by the President—mak­ ing the body at least semi-independent.10  It is true that the other three members were removable at will, see ante, at 32, but the independence of some members meant that Presidential control of the fund was not complete. This structure did not stand alone: In 1790, Congress included the Chief Justice as a member of the Mint Board, again al­ lowing an independent individual to carry out important Treasury functions and partake in the exercise of executive power. See Act of Apr. 2, 1792, 1 Stat. 250.</w:t>
      </w:r>
    </w:p>
    <w:p>
      <w:pPr>
        <w:pStyle w:val="DocBody"/>
      </w:pPr>
      <w:r>
        <w:rPr>
          <w:rFonts w:ascii="Times New Roman" w:hAnsi="Times New Roman" w:eastAsia="宋体"/>
          <w:sz w:val="24"/>
        </w:rPr>
        <w:t>Nor was this the only way in which the First Congress legislated to achieve agency independence.  It also estab­ lished the Revolutionary War Debt Commission: a board of “three commissioners” created “to settle the accounts be­ tween the United States, and the individual states,” whose decisions would be “final and conclusive” without further review. Act of Aug. 5, 1790, ch. 38, 1 Stat. 178.  Hamilton would later describe the Commission as made up of “dis­ tinct and Independant Officers.”  16 Papers of Alexander Hamilton 145 (H. Syrett ed. 1972).  The majority correctly notes that the statute did not expressly speak of removal.</w:t>
      </w:r>
    </w:p>
    <w:p>
      <w:pPr>
        <w:pStyle w:val="DocBody"/>
      </w:pPr>
      <w:r>
        <w:rPr>
          <w:rFonts w:ascii="Times New Roman" w:hAnsi="Times New Roman" w:eastAsia="宋体"/>
          <w:sz w:val="24"/>
        </w:rPr>
        <w:t>See ante, at 31–32. It did, however, specify that the Com­ missioners would “continue” in office “until the first day of July [1792].” 1 Stat. 179.  Scholarship has recently shown, —————— 10The majority hypothesizes that the President, though he could not fire the Chief Justice or Vice President from their principal jobs, could remove them from their positions on the Commission.  Ante, at 32.  There is no evidence of this ever occurring, however; and even if it could have happened, that would have just left the Commission down a member, since the President could not add a new Vice President or Chief Justice on his own.</w:t>
      </w:r>
    </w:p>
    <w:p>
      <w:pPr>
        <w:pStyle w:val="DocBody"/>
      </w:pPr>
      <w:r>
        <w:rPr>
          <w:rFonts w:ascii="Times New Roman" w:hAnsi="Times New Roman" w:eastAsia="宋体"/>
          <w:sz w:val="24"/>
        </w:rPr>
        <w:t>TRUMP v. SLAUGHTER SOTOMAYOR, J., dissenting consistent with precedent, infra, at 27–28, that at the founding, such fixed-term tenures were broadly understood to preclude removal “before the end of th[e] ter[m].”  Man­ ners &amp; Menand 5.  On this understanding, the Commission­ ers truly were, as Hamilton claimed, independent.11 As the years went by, Congress continued to implement forms of tenure protection. In 1791 and then 1816, it cre­ ated the First and Second Banks of the United States, the former run by directors accountable only to private stock­ holders and the latter with only 5 (out of 25 total) removable directors. See Act of Feb. 25, 1791, 1 Stat. 192–193 (First Bank); Act of Apr. 10, 1816, 3 Stat. 269–270 (Second Bank);</w:t>
      </w:r>
    </w:p>
    <w:p>
      <w:pPr>
        <w:pStyle w:val="DocBody"/>
      </w:pPr>
      <w:r>
        <w:rPr>
          <w:rFonts w:ascii="Times New Roman" w:hAnsi="Times New Roman" w:eastAsia="宋体"/>
          <w:sz w:val="24"/>
        </w:rPr>
        <w:t xml:space="preserve">see Trump v. Cook, 609 U. S. ___, </w:t>
      </w:r>
      <w:r>
        <w:rPr>
          <w:rFonts w:ascii="Times New Roman" w:hAnsi="Times New Roman" w:eastAsia="宋体"/>
          <w:b/>
          <w:i/>
          <w:sz w:val="24"/>
        </w:rPr>
        <w:t>–</w:t>
      </w:r>
      <w:r>
        <w:rPr>
          <w:rFonts w:ascii="Times New Roman" w:hAnsi="Times New Roman" w:eastAsia="宋体"/>
          <w:sz w:val="24"/>
        </w:rPr>
        <w:t xml:space="preserve">, </w:t>
      </w:r>
      <w:r>
        <w:rPr>
          <w:rFonts w:ascii="Times New Roman" w:hAnsi="Times New Roman" w:eastAsia="宋体"/>
          <w:b/>
          <w:i/>
          <w:sz w:val="24"/>
        </w:rPr>
        <w:t>–</w:t>
      </w:r>
      <w:r>
        <w:rPr>
          <w:rFonts w:ascii="Times New Roman" w:hAnsi="Times New Roman" w:eastAsia="宋体"/>
          <w:sz w:val="24"/>
        </w:rPr>
        <w:t xml:space="preserve"> (2026)</w:t>
      </w:r>
    </w:p>
    <w:p>
      <w:pPr>
        <w:pStyle w:val="DocBody"/>
      </w:pPr>
      <w:r>
        <w:rPr>
          <w:rFonts w:ascii="Times New Roman" w:hAnsi="Times New Roman" w:eastAsia="宋体"/>
          <w:sz w:val="24"/>
        </w:rPr>
        <w:t>(slip op., at 3–4, 22–23) (charting development of the Banks of the United States and emphasizing the importance of their “independence”). In 1820, it passed a law making clear that a wide swath of executive officials “shall be ap­ pointed for the term of four years, but shall be removable from office at pleasure”—with the use of “but” suggesting that the 4-year fixed-term appointment otherwise would not have permitted at-will removal. Act of May 15, 1820, ch. 102, 3 Stat. 582.  In 1867, Congress enacted the Tenure of Office Act, which (most recognize today) overstepped by —————— 11Other executive officers, who may not have been given formal re­ moval protections, nevertheless enjoyed forms of independence from Presidential control.  JUSTICE KAGAN has explained, for example, how the Comptroller of the Treasury, also created by the First Congress, was un­ derstood to “exercis[e] independent judgment.”  Seila Law, 591 U. S., at 272.  Thomas Jefferson, while President, declared that he had “ ‘no right to interfere in the least’ ” with the Comptroller’s activities within the Treasury, explaining that the Comptroller “‘would no more receive a direction from me’ than would ‘one of the judges of the supreme court.’ ”</w:t>
      </w:r>
    </w:p>
    <w:p>
      <w:pPr>
        <w:pStyle w:val="DocBody"/>
      </w:pPr>
      <w:r>
        <w:rPr>
          <w:rFonts w:ascii="Times New Roman" w:hAnsi="Times New Roman" w:eastAsia="宋体"/>
          <w:sz w:val="24"/>
        </w:rPr>
        <w:t>Ibid., n. 5 (quoting Letter from T. Jefferson to B. Latrobe (June 2, 1808), in Thomas Jefferson and the National Capital 429, 431 (S. Padover ed.</w:t>
      </w:r>
    </w:p>
    <w:p>
      <w:pPr>
        <w:pStyle w:val="DocBody"/>
      </w:pPr>
      <w:r>
        <w:rPr>
          <w:rFonts w:ascii="Times New Roman" w:hAnsi="Times New Roman" w:eastAsia="宋体"/>
          <w:sz w:val="24"/>
        </w:rPr>
        <w:t>1946)); see also Brief for Professor Victoria Nourse et al. as Amici Curiae 25–36 (collecting other agencies and offices created by Presidents John Adams and Jefferson that in practice enjoyed significant independence from Presidential control).</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requiring Senate consent to the removals of many officers until its repeal in 1887. See Act of Mar. 2, 1867, ch. 154, 14 Stat. 430. Even so, “the two-decade-long existence of the Tenure of Office Act reveals the 19th-century political sys­ tem’s comfort with expansive restrictions on presidential removal.” Seila Law, 591 U. S., at 275, n. 6 (opinion of KAGAN, J.).</w:t>
      </w:r>
    </w:p>
    <w:p>
      <w:pPr>
        <w:pStyle w:val="DocBody"/>
      </w:pPr>
      <w:r>
        <w:rPr>
          <w:rFonts w:ascii="Times New Roman" w:hAnsi="Times New Roman" w:eastAsia="宋体"/>
          <w:sz w:val="24"/>
        </w:rPr>
        <w:t>Finally, in 1887, Congress created the ICC with removal protections that would later serve as the template for those of many other agencies, including the Federal Reserve and the FTC. See supra, at 10–11.  For the next century and a half, that model would go on to be embraced by Congress and Presidents alike, quickly built upon, and ultimately ratified by this Court’s decision in Humphrey’s.</w:t>
      </w:r>
    </w:p>
    <w:p>
      <w:pPr>
        <w:pStyle w:val="DocBody"/>
      </w:pPr>
      <w:r>
        <w:rPr>
          <w:rFonts w:ascii="Times New Roman" w:hAnsi="Times New Roman" w:eastAsia="宋体"/>
          <w:sz w:val="24"/>
        </w:rPr>
        <w:t>Against this backdrop, the majority at most can point to the paucity of many removal protections enacted during most of the 19th century.  The majority’s view thus appears to be that Congress’s inaction, in declining to impose provi­ sions identical to the FTC’s until 1887, forfeited its ability ever to do so in the future. If that is how the majority sees things, then it is the majority that endorses an unsup­ ported, use-it-or-lose-it “adverse possession” theory of con­ stitutional powers. Ante, at 24.</w:t>
      </w:r>
    </w:p>
    <w:p>
      <w:pPr>
        <w:pStyle w:val="DocBody"/>
      </w:pPr>
      <w:r>
        <w:rPr>
          <w:rFonts w:ascii="Times New Roman" w:hAnsi="Times New Roman" w:eastAsia="宋体"/>
          <w:sz w:val="24"/>
        </w:rPr>
        <w:t>Even before Humphrey’s, the Court’s precedents likewise made clear that it is the majority’s radical theory of unitary executive power, not the sustained practice of the political branches over the centuries, that is out of step with tradi­ tional notions of separation of powers in this country.</w:t>
      </w:r>
    </w:p>
    <w:p>
      <w:pPr>
        <w:pStyle w:val="DocBody"/>
      </w:pPr>
      <w:r>
        <w:rPr>
          <w:rFonts w:ascii="Times New Roman" w:hAnsi="Times New Roman" w:eastAsia="宋体"/>
          <w:sz w:val="24"/>
        </w:rPr>
        <w:t>No case before the turn of the 20th century suggested that the President’s removal power was not regulable by Congress. In Marbury v. Madison, 1 Cranch 137 (1803), Chief Justice Marshall approvingly recognized that an of­ fice with a 5-year fixed-term tenure was “not removable at the will of the executive” and thus was “independent of the</w:t>
      </w:r>
    </w:p>
    <w:p>
      <w:pPr>
        <w:pStyle w:val="DocBody"/>
      </w:pPr>
      <w:r>
        <w:rPr>
          <w:rFonts w:ascii="Times New Roman" w:hAnsi="Times New Roman" w:eastAsia="宋体"/>
          <w:sz w:val="24"/>
        </w:rPr>
        <w:t>TRUMP v. SLAUGHTER SOTOMAYOR, J., dissenting executive.” Id., at 162, 172.  That protection meant that, “having once made [a fixed-term] appointment, [the Presi­ dent’s] power over the office [was] terminated in all cases.”</w:t>
      </w:r>
    </w:p>
    <w:p>
      <w:pPr>
        <w:pStyle w:val="DocBody"/>
      </w:pPr>
      <w:r>
        <w:rPr>
          <w:rFonts w:ascii="Times New Roman" w:hAnsi="Times New Roman" w:eastAsia="宋体"/>
          <w:sz w:val="24"/>
        </w:rPr>
        <w:t>Id., at 162.  Indeed, the historic dispute in that case, over whether Marbury had been commissioned to his office as a justice of the peace, would have been academic if President Jefferson could have removed Marbury at pleasure once commissioned.  It mattered only if Marbury, at that point, was safe from removal.12 The majority cites Hennen, 13 Pet. 230, which in 1839 ad­ dressed a territorial court’s power to remove a clerk of that court. Id., at 258. In discussing background removal prin­ ciples supporting such power, Hennen recognized that the power to remove Presidential appointees was generally “vested in the President alone,” i.e., “the concurrence of the Senate” was not required.  Id., at 259.  It also made clear, however, that the tenure of offices could vary if “limited by law.” Ibid.  A case the majority ignores, United States v.</w:t>
      </w:r>
    </w:p>
    <w:p>
      <w:pPr>
        <w:pStyle w:val="DocBody"/>
      </w:pPr>
      <w:r>
        <w:rPr>
          <w:rFonts w:ascii="Times New Roman" w:hAnsi="Times New Roman" w:eastAsia="宋体"/>
          <w:sz w:val="24"/>
        </w:rPr>
        <w:t>Perkins, 116 U. S. 483 (1886), held that Congress “‘no doubt’” may “‘limit and restrict the power of removal’” as to inferior officers and expressly left open the question whether Congress may do the same as to principal officers.</w:t>
      </w:r>
    </w:p>
    <w:p>
      <w:pPr>
        <w:pStyle w:val="DocBody"/>
      </w:pPr>
      <w:r>
        <w:rPr>
          <w:rFonts w:ascii="Times New Roman" w:hAnsi="Times New Roman" w:eastAsia="宋体"/>
          <w:sz w:val="24"/>
        </w:rPr>
        <w:t>Id., at 484–485. The majority also cites Parsons v. United States, 167 U. S. 324 (1897), which addressed whether Con­ gress had, in fact, granted a district attorney an unremov­ able tenure in office. Id., at 342–343.  Parsons carries little weight here because the Court there construed the statute at issue “to concede to the President the power of removal,”</w:t>
      </w:r>
    </w:p>
    <w:p>
      <w:pPr>
        <w:pStyle w:val="DocBody"/>
      </w:pPr>
      <w:r>
        <w:rPr>
          <w:rFonts w:ascii="Times New Roman" w:hAnsi="Times New Roman" w:eastAsia="宋体"/>
          <w:sz w:val="24"/>
        </w:rPr>
        <w:t>id., at 343, making it “unnecessary” to decide any “question of constitutional power” regarding removals, id., at 335.  In short, the 19th century closed with no judicial endorsement of an illimitable removal power.</w:t>
      </w:r>
    </w:p>
    <w:p>
      <w:pPr>
        <w:pStyle w:val="DocBody"/>
      </w:pPr>
      <w:r>
        <w:rPr>
          <w:rFonts w:ascii="Times New Roman" w:hAnsi="Times New Roman" w:eastAsia="宋体"/>
          <w:sz w:val="24"/>
        </w:rPr>
        <w:t>—————— 12The majority argues that the office at issue in Marbury (a justice of the peace) may not have exercised executive power at all, ante, at 33, n. 9, but even assuming that assertion is correct, nothing in Marbury’s reasoning relied upon the distinctions the majority draws.</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That brings us to Myers, authored by former-President and then-Chief Justice Taft. If Myers is the “best” support for the majority’s position, ante, at 16, its theory is a castle built on sand. For one thing, as the majority admits, Myers did not address for-cause removal protection; the chal­ lenged statute instead required Senate consent to removal.</w:t>
      </w:r>
    </w:p>
    <w:p>
      <w:pPr>
        <w:pStyle w:val="DocBody"/>
      </w:pPr>
      <w:r>
        <w:rPr>
          <w:rFonts w:ascii="Times New Roman" w:hAnsi="Times New Roman" w:eastAsia="宋体"/>
          <w:sz w:val="24"/>
        </w:rPr>
        <w:t>See ante, at 14.  Thus, despite the grand pretentions of the opinion, it decided no more than that the President could “remove a postmaster of the first class, without the advice and consent of the Senate.” Humphrey’s, 295 U. S., at 626.</w:t>
      </w:r>
    </w:p>
    <w:p>
      <w:pPr>
        <w:pStyle w:val="DocBody"/>
      </w:pPr>
      <w:r>
        <w:rPr>
          <w:rFonts w:ascii="Times New Roman" w:hAnsi="Times New Roman" w:eastAsia="宋体"/>
          <w:sz w:val="24"/>
        </w:rPr>
        <w:t>Even in doing so, Myers managed to get a great many things wrong. Its expansive reading of Article II lacked any mooring in text or preratification history, conceding the lack of any “express provision respecting removals in the Constitution” or “discuss[ion] in the Constitutional Conven­ tion” and instead leaping to the Decision of 1789.  272 U. S., at 109–111. Further, “[m]ost contemporary scholars agree that Taft’s account of the Decision of 1789 is tendentious and historically inaccurate”; in Myers’s own time, moreover, “scholars and jurists attacked its historical arguments.” A.</w:t>
      </w:r>
    </w:p>
    <w:p>
      <w:pPr>
        <w:pStyle w:val="DocBody"/>
      </w:pPr>
      <w:r>
        <w:rPr>
          <w:rFonts w:ascii="Times New Roman" w:hAnsi="Times New Roman" w:eastAsia="宋体"/>
          <w:sz w:val="24"/>
        </w:rPr>
        <w:t>Katz &amp; N. Rosenblum, Becoming the Administrator-in- Chief, 123 Colum. L. Rev. 2153, 2239, and nn. 642–643 (2023) (collecting sources). In addition, Myers’s claim that there was “no act of Congress . . . at variance” with its view of an illimitable removal power for the Nation’s first 74 years, see 272 U. S., at 163, is at best incomplete, see supra, at 24–27. That is not to mention the Myers dissenters (Jus­ tices Holmes, Brandeis, and McReynolds), who demon­ strated at great length the majority’s many other errors.</w:t>
      </w:r>
    </w:p>
    <w:p>
      <w:pPr>
        <w:pStyle w:val="DocBody"/>
      </w:pPr>
      <w:r>
        <w:rPr>
          <w:rFonts w:ascii="Times New Roman" w:hAnsi="Times New Roman" w:eastAsia="宋体"/>
          <w:sz w:val="24"/>
        </w:rPr>
        <w:t>See 272 U. S., at 177–295.</w:t>
      </w:r>
    </w:p>
    <w:p>
      <w:pPr>
        <w:pStyle w:val="DocBody"/>
      </w:pPr>
      <w:r>
        <w:rPr>
          <w:rFonts w:ascii="Times New Roman" w:hAnsi="Times New Roman" w:eastAsia="宋体"/>
          <w:sz w:val="24"/>
        </w:rPr>
        <w:t>Perhaps for those reasons, and despite the majority’s con­ trary presentation, it is Myers that had little impact when it was decided and has only waned in influence since.</w:t>
      </w:r>
    </w:p>
    <w:p>
      <w:pPr>
        <w:pStyle w:val="DocBody"/>
      </w:pPr>
      <w:r>
        <w:rPr>
          <w:rFonts w:ascii="Times New Roman" w:hAnsi="Times New Roman" w:eastAsia="宋体"/>
          <w:sz w:val="24"/>
        </w:rPr>
        <w:t>Within a decade, and with four Justices from the Myers ma­ jority still on the Court, the Court in Humphrey’s “reex­ amined the precedents referred to in the Myers case, and</w:t>
      </w:r>
    </w:p>
    <w:p>
      <w:pPr>
        <w:pStyle w:val="DocBody"/>
      </w:pPr>
      <w:r>
        <w:rPr>
          <w:rFonts w:ascii="Times New Roman" w:hAnsi="Times New Roman" w:eastAsia="宋体"/>
          <w:sz w:val="24"/>
        </w:rPr>
        <w:t>TRUMP v. SLAUGHTER SOTOMAYOR, J., dissenting f[ou]nd nothing in them to justify a conclusion contrary to”</w:t>
      </w:r>
    </w:p>
    <w:p>
      <w:pPr>
        <w:pStyle w:val="DocBody"/>
      </w:pPr>
      <w:r>
        <w:rPr>
          <w:rFonts w:ascii="Times New Roman" w:hAnsi="Times New Roman" w:eastAsia="宋体"/>
          <w:sz w:val="24"/>
        </w:rPr>
        <w:t>the one it reached as to the FTC. 295 U. S., at 630.  The Court unanimously abandoned Myers’s expansive dicta, ap­ proving only “the narrow point actually decided” on the re­ movability of postmasters “without the advice and consent of the Senate.” 295 U. S., at 626.  All other statements “out of harmony” with Humphrey’s were “disapproved.” Ibid.</w:t>
      </w:r>
    </w:p>
    <w:p>
      <w:pPr>
        <w:pStyle w:val="DocBody"/>
      </w:pPr>
      <w:r>
        <w:rPr>
          <w:rFonts w:ascii="Times New Roman" w:hAnsi="Times New Roman" w:eastAsia="宋体"/>
          <w:sz w:val="24"/>
        </w:rPr>
        <w:t>For decades after that, the Court continued to cabin My­ ers to its “essence,” explaining that it stands only for the proposition that “Congress [may not] ‘dra[w] to itself ’” the power to remove, Morrison, 487 U. S., at 686, and says nothing about provisions merely “limit[ing] the President’s powers of removal,” Bowsher, 478 U. S., at 724.  As Justice Frankfurter put it in Wiener, Myers’s “assumption” of “the President’s inherent constitutional power to remove offi­ cials, no matter what the relation of the executive to the discharge of their duties and no matter what restrictions Congress may have imposed regarding the nature of their tenure,” was “short-lived.”  357 U. S., at 352. The majority is thus free to complain about the “shabby treatment” Myers has received, ante, at 34, but it has decades of precedent to blame for that, not this dissent.  From Humphrey’s to Wie­ ner to Bowsher to Morrison, Myers had been left on the side­ lines long before today, at least until the Court reinvigor­ ated a maximalist view of Presidential power a few years ago. Humphrey’s approval of removal protections for agen­ cies like the FTC, to the contrary, has supplied the rule that governed the creation of the modern state over the course of the following century.  See supra, at 6–7.</w:t>
      </w:r>
    </w:p>
    <w:p>
      <w:pPr>
        <w:pStyle w:val="DocBody"/>
      </w:pPr>
      <w:r>
        <w:rPr>
          <w:rFonts w:ascii="Times New Roman" w:hAnsi="Times New Roman" w:eastAsia="宋体"/>
          <w:sz w:val="24"/>
        </w:rPr>
        <w:t>The majority thus has very little support in text, history, or precedent. What it does have is a theory.  As the majority sees things, “the buck stops” with the President, ante, at 4, who holds all executive power and thus can be “‘blame[d]’”</w:t>
      </w:r>
    </w:p>
    <w:p>
      <w:pPr>
        <w:pStyle w:val="DocBody"/>
      </w:pPr>
      <w:r>
        <w:rPr>
          <w:rFonts w:ascii="Times New Roman" w:hAnsi="Times New Roman" w:eastAsia="宋体"/>
          <w:sz w:val="24"/>
        </w:rPr>
        <w:t>or held “‘responsib[le]’” for all executive conduct, ante, at</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1–2. Yet the President cannot “execute the laws alone and unaided.” Ante, at 4. To ensure that the President can carry out his job and remain responsible for all exercises of executive power, the majority says, his inferiors must “re­ main accountable to [him].” Ibid. The only way for that accountability to exist, according to the majority, is for “those officers [to] be removable by the President” at will, for any reason or no reason at all.  Ibid.</w:t>
      </w:r>
    </w:p>
    <w:p>
      <w:pPr>
        <w:pStyle w:val="DocBody"/>
      </w:pPr>
      <w:r>
        <w:rPr>
          <w:rFonts w:ascii="Times New Roman" w:hAnsi="Times New Roman" w:eastAsia="宋体"/>
          <w:sz w:val="24"/>
        </w:rPr>
        <w:t>Responsiveness and responsibility are certainly valuable, but they are not the only values countenanced by our Con­ stitution. Others are the continuity and stability of Gov­ ernment, see, e.g., The Federalist No. 77, at 458 (explaining that limitations on removal would prevent the “violent or . . . general . . . revolution in the officers of the govern­ ment” at every election), and the impartiality and fair ad­ ministration of justice, see, e.g., 1 Annals of Cong. 612 (Madison) (arguing that some executive officials with judi­ cial functions “ought to hold . . . office by such a tenure as will make him responsible to the public generally,” not just the President). Depending on the situation, one value or another may be more or less important.  Today, the major­ ity places accountability to the President above all else.</w:t>
      </w:r>
    </w:p>
    <w:p>
      <w:pPr>
        <w:pStyle w:val="DocBody"/>
      </w:pPr>
      <w:r>
        <w:rPr>
          <w:rFonts w:ascii="Times New Roman" w:hAnsi="Times New Roman" w:eastAsia="宋体"/>
          <w:sz w:val="24"/>
        </w:rPr>
        <w:t>Yet the accountability prized by the majority is not an unalloyed good. From the start, Americans distrusted the “arbitrary authority” that could result from a broad re­ moval power, citing the “baleful influence of the royal pre­ rogative when officers h[e]ld their commission during the pleasure of the Crown.”  Id., at 488 (Jackson). Story saw unchecked removal authority as carrying a “monarchical and arbitrary” danger, risking the “conver[sion of] all the officers of the country into the mere tools and creatures of the president.” 3 Story §1533, at 391. He also feared that unrestrained Presidential removal would “deter [those] of high and honourable minds from engaging in the public ser­ vice.” Ibid. Webster, too, observed the “obvious” risk that such a power would breed “complaisance,” “indiscriminate</w:t>
      </w:r>
    </w:p>
    <w:p>
      <w:pPr>
        <w:pStyle w:val="DocBody"/>
      </w:pPr>
      <w:r>
        <w:rPr>
          <w:rFonts w:ascii="Times New Roman" w:hAnsi="Times New Roman" w:eastAsia="宋体"/>
          <w:sz w:val="24"/>
        </w:rPr>
        <w:t>TRUMP v. SLAUGHTER SOTOMAYOR, J., dissenting support of executive measures,” “pliant subserviancy, and gross adulation” in place of “patriotic labors,” “toils for the public good,” “independence, and public spirit.”  1835 De­ bates 459; see also Cook, 609 U. S., at ___ (KAVANAUGH, J., concurring) (slip op., at 2) (arguing that “political influ­ ences” can “jeopardize” administrative “efficacy”).</w:t>
      </w:r>
    </w:p>
    <w:p>
      <w:pPr>
        <w:pStyle w:val="DocBody"/>
      </w:pPr>
      <w:r>
        <w:rPr>
          <w:rFonts w:ascii="Times New Roman" w:hAnsi="Times New Roman" w:eastAsia="宋体"/>
          <w:sz w:val="24"/>
        </w:rPr>
        <w:t>Balancing all these concerns, and the tradeoffs they en­ tail, has historically fallen to those who know the most about them: the political branches. This Court, on the other hand, has proven itself time and again to be the least com­ petent branch to make these judgments.  Consider just one (highly salient) example: the Court’s fixation on removal.</w:t>
      </w:r>
    </w:p>
    <w:p>
      <w:pPr>
        <w:pStyle w:val="DocBody"/>
      </w:pPr>
      <w:r>
        <w:rPr>
          <w:rFonts w:ascii="Times New Roman" w:hAnsi="Times New Roman" w:eastAsia="宋体"/>
          <w:sz w:val="24"/>
        </w:rPr>
        <w:t>As others have explained, a “wealth of features” other than at-will removal in fact determines an agency’s responsive­ ness to the President.  Seila Law, 591 U. S., at 283 (opinion of KAGAN, J.); see Free Enterprise Fund, 561 U. S., at 524 (Breyer, J., dissenting). The President often names the Chair. See, e.g., §41. He also, through the White House Office of Management and Budget, can “frequently” use the budget process to “ ‘influence [agencies’] policies.’”  Seila Law, 591 U. S., at 226; see also Brief for Bipartisan Former Chairs of the Federal Trade Commission as Amici Curiae 14–22 (discussing additional mechanisms). Even with the removal protections the Court today holds unconstitutional, the President can still remove an FTC Commissioner who fails to perform her duties adequately or commits malfea­ sance in office.</w:t>
      </w:r>
    </w:p>
    <w:p>
      <w:pPr>
        <w:pStyle w:val="DocBody"/>
      </w:pPr>
      <w:r>
        <w:rPr>
          <w:rFonts w:ascii="Times New Roman" w:hAnsi="Times New Roman" w:eastAsia="宋体"/>
          <w:sz w:val="24"/>
        </w:rPr>
        <w:t>In sum, agencies like the FTC do enjoy some measure of independence by virtue of removal protections, but they also remain accountable in other ways.  No one can seri­ ously doubt, for instance, that the FTC’s priorities shifted between the Bush, Obama, Trump, and Biden administra­ tions. See, e.g., K. Rozga &amp; D. Gossett, Major Leadership and Policy Changes at the FTC, Davis Wright Tremaine LLP (July 14, 2021), https://www.dwt.com/insights/2021/ 07/biden-ftc-archive-antitrust-initiatives (archived at https:</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//perma.cc/E24P-48DF) (detailing “potential sea change”</w:t>
      </w:r>
    </w:p>
    <w:p>
      <w:pPr>
        <w:pStyle w:val="DocBody"/>
      </w:pPr>
      <w:r>
        <w:rPr>
          <w:rFonts w:ascii="Times New Roman" w:hAnsi="Times New Roman" w:eastAsia="宋体"/>
          <w:sz w:val="24"/>
        </w:rPr>
        <w:t>and “major policy shifts” at the FTC between administra­ tions). There are also a variety of ways in which the Presi­ dent (and Congress) remain accountable for the conduct of executive officials, even without at-will removal.  See, e.g., Arthrex, 594 U. S., at 12 (explaining that the Appointments Clause “guarantees accountability” for poorly performing officers). In no way, then, does the FTC’s structure, in pur­ pose or effect, do away completely with Presidential influ­ ence. Instead, Congress’s design (approved by many Presi­ dents over decades) balances that influence with other values equally cognizable under the Constitution. The ma­ jority’s rigid, inflexible rule goes badly astray by declaring one side of this balance constitutionally irrelevant.13 —————— 13The Government argues, in the alternative, that even if Humphrey’s remains enforceable, the courts still lack power to provide effective relief by reinstating Slaughter to her position.  That is incorrect.  If the Con­ stitution permits Congress to adopt modest removal protections like the FTC’s, there is no additional Article II barrier to courts enforcing them.</w:t>
      </w:r>
    </w:p>
    <w:p>
      <w:pPr>
        <w:pStyle w:val="DocBody"/>
      </w:pPr>
      <w:r>
        <w:rPr>
          <w:rFonts w:ascii="Times New Roman" w:hAnsi="Times New Roman" w:eastAsia="宋体"/>
          <w:sz w:val="24"/>
        </w:rPr>
        <w:t>The Government also argues that, at common law, equitable relief like an injunction was unavailable to provide reinstatement.  That argument neglects that a “critical reason” for that rule was that “nonequitable rem­ edies,” like mandamus and declaratory relief, were available “to vindi­ cate the rights at issue.”  S. Bray, Remedies in the Officer Removal Cases, 17 J. Legal Analysis 236, and n. 2, 246, 255 (2025); see 3 W. Black­ stone, Commentaries on the Laws of England 110 (1768); see also Trump v. Cook, 609 U. S. ___, ___ (2026) (slip op., at 15) (explaining that, at common law, “a court of law could settle” title to public office “by quo warranto or mandamus”).  In any event, this Court also has long affirmed “injunction[s] requiring [an executive officer’s] reinstatement.”  Vitarelli v. Seaton, 359 U. S. 535, 537, 546 (1959).  The District Court here cor­ rectly found each form of relief appropriate.</w:t>
      </w:r>
    </w:p>
    <w:p>
      <w:pPr>
        <w:pStyle w:val="DocBody"/>
      </w:pPr>
      <w:r>
        <w:rPr>
          <w:rFonts w:ascii="Times New Roman" w:hAnsi="Times New Roman" w:eastAsia="宋体"/>
          <w:sz w:val="24"/>
        </w:rPr>
        <w:t>Finally, the Government argues that Congress displaced any remedy here by enacting the Civil Service Reform Act (CSRA).  That is quite a claim, given that the CSRA explicitly “does not apply to” principal offic­ ers like Slaughter. 5 U. S. C. §§7511(b)(1), (3).  In any event, this novel theory is not properly before this Court, as the Government failed to raise it in any proceedings below or even in its initial application here.</w:t>
      </w:r>
    </w:p>
    <w:p>
      <w:pPr>
        <w:pStyle w:val="DocBody"/>
      </w:pPr>
      <w:r>
        <w:rPr>
          <w:rFonts w:ascii="Times New Roman" w:hAnsi="Times New Roman" w:eastAsia="宋体"/>
          <w:sz w:val="24"/>
        </w:rPr>
        <w:t>TRUMP v. SLAUGHTER SOTOMAYOR, J., dissenting III Nothing in the text, history, or values of the Constitution shows that Humphrey’s was wrong or that FTC Commis­ sioners cannot enjoy for-cause removal protection.  Yet even if the majority were right about all of that, it still would not be enough to justify today’s destabilizing decision.</w:t>
      </w:r>
    </w:p>
    <w:p>
      <w:pPr>
        <w:pStyle w:val="DocBody"/>
      </w:pPr>
      <w:r>
        <w:rPr>
          <w:rFonts w:ascii="Times New Roman" w:hAnsi="Times New Roman" w:eastAsia="宋体"/>
          <w:sz w:val="24"/>
        </w:rPr>
        <w:t>The reason, of course, is stare decisis, which the majority all but disregards. Faithful “[a]dherence to precedent is a ‘foundation stone of the rule of law.’”  Kisor v. Wilkie, 588 U. S. 558, 586 (2019). Stare decisis “contributes to the ac­ tual and perceived integrity of the judicial process” by pro­ moting “the evenhanded, predictable, and consistent devel­ opment of legal principles,” Payne v. Tennessee, 501 U. S.</w:t>
      </w:r>
    </w:p>
    <w:p>
      <w:pPr>
        <w:pStyle w:val="DocBody"/>
      </w:pPr>
      <w:r>
        <w:rPr>
          <w:rFonts w:ascii="Times New Roman" w:hAnsi="Times New Roman" w:eastAsia="宋体"/>
          <w:sz w:val="24"/>
        </w:rPr>
        <w:t>808, 827 (1991), and ensuring that decisions are “founded in the law rather than in the proclivities of individuals,”</w:t>
      </w:r>
    </w:p>
    <w:p>
      <w:pPr>
        <w:pStyle w:val="DocBody"/>
      </w:pPr>
      <w:r>
        <w:rPr>
          <w:rFonts w:ascii="Times New Roman" w:hAnsi="Times New Roman" w:eastAsia="宋体"/>
          <w:sz w:val="24"/>
        </w:rPr>
        <w:t>Vasquez v. Hillery, 474 U. S. 254, 265 (1986).  At bottom, this doctrine recognizes that, even if today’s Justices might decide an issue differently than their predecessors did, greater institutional values usually counsel “sticking to some wrong decisions.”  Kimble v. Marvel Entertainment, LLC, 576 U. S. 446, 455 (2015).</w:t>
      </w:r>
    </w:p>
    <w:p>
      <w:pPr>
        <w:pStyle w:val="DocBody"/>
      </w:pPr>
      <w:r>
        <w:rPr>
          <w:rFonts w:ascii="Times New Roman" w:hAnsi="Times New Roman" w:eastAsia="宋体"/>
          <w:sz w:val="24"/>
        </w:rPr>
        <w:t>Along every metric that the Court usually considers in this context, Humphrey’s should have survived. Humph­ rey’s is not wrong, let alone egregiously so.  The majority hardly “even acknowledge[s] the important reliance inter­ ests that [Humphrey’s] ha[s] generated.”  Students for Fair Admissions, Inc. v. President and Fellows of Harvard Col­ lege, 600 U. S. 181, 376 (2023) (SOTOMAYOR, J., dissenting).</w:t>
      </w:r>
    </w:p>
    <w:p>
      <w:pPr>
        <w:pStyle w:val="DocBody"/>
      </w:pPr>
      <w:r>
        <w:rPr>
          <w:rFonts w:ascii="Times New Roman" w:hAnsi="Times New Roman" w:eastAsia="宋体"/>
          <w:sz w:val="24"/>
        </w:rPr>
        <w:t>It “discards a known, workable, and predictable standard in favor of something novel and probably far more compli­ cated,” with revolutionary consequences for our Govern­ ment. Dobbs v. Jackson Women’s Health Organization, 597 U. S. 215, 394 (2022) (joint opinion of Breyer, SOTOMAYOR, and KAGAN, JJ., dissenting).  In the end, it is the majority’s rule, not Humphrey’s, that “short-circuit[s] the democratic process” by eliminating an option for the political branches</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that has existed at least since Humphrey’s was decided in 1935. 597 U. S., at 269 (majority opinion).</w:t>
      </w:r>
    </w:p>
    <w:p>
      <w:pPr>
        <w:pStyle w:val="DocBody"/>
      </w:pPr>
      <w:r>
        <w:rPr>
          <w:rFonts w:ascii="Times New Roman" w:hAnsi="Times New Roman" w:eastAsia="宋体"/>
          <w:sz w:val="24"/>
        </w:rPr>
        <w:t>A Begin with a consideration the majority all but ignores:</w:t>
      </w:r>
    </w:p>
    <w:p>
      <w:pPr>
        <w:pStyle w:val="DocBody"/>
      </w:pPr>
      <w:r>
        <w:rPr>
          <w:rFonts w:ascii="Times New Roman" w:hAnsi="Times New Roman" w:eastAsia="宋体"/>
          <w:sz w:val="24"/>
        </w:rPr>
        <w:t>the tremendous reliance interests engendered by Humph­ rey’s. “Stare decisis has added force when the legislature, in the public sphere, and citizens, in the private realm, have acted in reliance upon a previous decision.” Hilton v. South Carolina Public Railways Comm’n, 502 U. S. 197, 202 (1991). When overruling a prior decision would “require an extensive legislative response” or “dislodge settled rights and expectations,” ibid., the force of stare decisis is “at [its] acme,” Payne, 501 U. S., at 828.</w:t>
      </w:r>
    </w:p>
    <w:p>
      <w:pPr>
        <w:pStyle w:val="DocBody"/>
      </w:pPr>
      <w:r>
        <w:rPr>
          <w:rFonts w:ascii="Times New Roman" w:hAnsi="Times New Roman" w:eastAsia="宋体"/>
          <w:sz w:val="24"/>
        </w:rPr>
        <w:t>Few cases implicate these concerns to a greater degree than Humphrey’s.  For the better part of the last century, Humphrey’s has guided Congress in constructing the mod­ ern system of Government, including dozens of independent agencies that remain central to protecting the Nation’s economy, health, safety, and more.  At times, Congress has done so in express reliance upon the rule stated in Humph­ rey’s. Within weeks of Humphrey’s being decided, for in­ stance, the House amended the bill establishing the Na­ tional Labor Relations Board (NLRB) to include removal protections, with the express aim of “provid[ing] that the decision of the Supreme Court in the recent Humphreys case shall be embodied in the statute.”  H. R. Rep. No. 1147, 74th Cong., 1st Sess., 14 (1935). Similarly, after Myers, Congress was reconsidering removal protections for the Federal Reserve Board of Governors.  After first being ad­ vised to await the decision in Humphrey’s, but then assured by witnesses that Humphrey’s “provide[d] ample legal grounds for the incorporation” of removal protections, Con­ gress promptly reaffirmed for-cause removal protections for the Federal Reserve Governors. Hearings on S. 1715 before the Subcommittee on Monetary Policy, Banking, and</w:t>
      </w:r>
    </w:p>
    <w:p>
      <w:pPr>
        <w:pStyle w:val="DocBody"/>
      </w:pPr>
      <w:r>
        <w:rPr>
          <w:rFonts w:ascii="Times New Roman" w:hAnsi="Times New Roman" w:eastAsia="宋体"/>
          <w:sz w:val="24"/>
        </w:rPr>
        <w:t>TRUMP v. SLAUGHTER SOTOMAYOR, J., dissenting Deposit Insurance of the Senate Committee on Banking and Currency, 74th Cong., 1st Sess., pt. 2, pp. 397, 998 (1935) (Hearings on S. 1715); see Banking Act of 1935, 49 Stat. 704–705.  Although not always in terms quite so ex­ press, over the decades that followed, Congress would go on to enact dozens of laws creating similar independent agen­ cies premised on the validity of the FTC structure that this Court blessed in Humphrey’s. See supra, at 10–11.</w:t>
      </w:r>
    </w:p>
    <w:p>
      <w:pPr>
        <w:pStyle w:val="DocBody"/>
      </w:pPr>
      <w:r>
        <w:rPr>
          <w:rFonts w:ascii="Times New Roman" w:hAnsi="Times New Roman" w:eastAsia="宋体"/>
          <w:sz w:val="24"/>
        </w:rPr>
        <w:t>Independence was centrally important to Congress in cre­ ating these agencies. “[I]t was essential that the[se] com­ mission[s]” were not “open to the suspicion of partisan di­ rection” and thus possessed the independence “necessary to the effective and fair administration of the law.” Humph­ rey’s, 295 U. S., at 624–625.  In creating and empowering administrative agencies throughout the late-19th and 20th centuries, Congress recognized not only the need for effi­ cient and effective regulation of the increasingly complex American economy, but also the risks of concentrating such power in the hands of the President with no check against the influence of partisan control. For the FTC, “[t]he two ideas, a commission and independence for the commission, were inextricably bound together.  At no point was it pro­ posed that a commission ought to be set up unless it be in­ dependent.”</w:t>
      </w:r>
    </w:p>
    <w:p>
      <w:pPr>
        <w:pStyle w:val="DocBody"/>
      </w:pPr>
      <w:r>
        <w:rPr>
          <w:rFonts w:ascii="Times New Roman" w:hAnsi="Times New Roman" w:eastAsia="宋体"/>
          <w:sz w:val="24"/>
        </w:rPr>
        <w:t>R. Cushman, The Independent Regulatory Commissions 188 (1941). For the NLRB, which was pat­ terned expressly on the FTC, “complete independence was necessary to insure complete impartiality.” Id., at 363. In hearings considering new powers to be granted to the Fed­ eral Reserve Board, witnesses emphasized the need for “protective safeguards of the strongest character” against “‘political control’” and the “danger[s]” of allowing the Fed­ eral Reserve to become “a political instrumentality of the party in power.”  Hearings on S. 1715, at 687, 998; see Cook, 609 U. S., at ___ (slip op., at 14) (explaining that “[n]ot only the fact of independence but also the appearance of inde­ pendence is key to the Federal Reserve’s design”).</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The checks the political branches devised—bipartisan membership requirements, the multimember structure, lengthy fixed terms, and for-cause removal protections— struck an essential balance in this respect.  Creating these agencies under the President gave the Executive Branch the tools needed to execute the law and accomplish the mod­ ern work of Government, preserving “ample authority” for the President to ensure the “competen[t] perform[ance]” of the officers leading the agency. Morrison, 487 U. S., at 692.</w:t>
      </w:r>
    </w:p>
    <w:p>
      <w:pPr>
        <w:pStyle w:val="DocBody"/>
      </w:pPr>
      <w:r>
        <w:rPr>
          <w:rFonts w:ascii="Times New Roman" w:hAnsi="Times New Roman" w:eastAsia="宋体"/>
          <w:sz w:val="24"/>
        </w:rPr>
        <w:t>At the same time, ensuring expertise, bipartisanship, and limiting the causes of removal guarded against these new agencies becoming mere political instruments, which could be turned against political enemies with one hand and used to grant favors to allies with the other.</w:t>
      </w:r>
    </w:p>
    <w:p>
      <w:pPr>
        <w:pStyle w:val="DocBody"/>
      </w:pPr>
      <w:r>
        <w:rPr>
          <w:rFonts w:ascii="Times New Roman" w:hAnsi="Times New Roman" w:eastAsia="宋体"/>
          <w:sz w:val="24"/>
        </w:rPr>
        <w:t>Indeed, without removal protections, many of the other features of these agencies’ structures risk losing their force.</w:t>
      </w:r>
    </w:p>
    <w:p>
      <w:pPr>
        <w:pStyle w:val="DocBody"/>
      </w:pPr>
      <w:r>
        <w:rPr>
          <w:rFonts w:ascii="Times New Roman" w:hAnsi="Times New Roman" w:eastAsia="宋体"/>
          <w:sz w:val="24"/>
        </w:rPr>
        <w:t>Bipartisan-appointment requirements can easily be evaded simply by firing all Commissioners of the opposite party.</w:t>
      </w:r>
    </w:p>
    <w:p>
      <w:pPr>
        <w:pStyle w:val="DocBody"/>
      </w:pPr>
      <w:r>
        <w:rPr>
          <w:rFonts w:ascii="Times New Roman" w:hAnsi="Times New Roman" w:eastAsia="宋体"/>
          <w:sz w:val="24"/>
        </w:rPr>
        <w:t>Just look at the FTC today. See supra, at 3–4.  Lengthy fixed terms, aimed at ensuring stability, continuity, and the development of expertise within an agency, can also be cut short at the President’s will. Again, look at today’s FTC.</w:t>
      </w:r>
    </w:p>
    <w:p>
      <w:pPr>
        <w:pStyle w:val="DocBody"/>
      </w:pPr>
      <w:r>
        <w:rPr>
          <w:rFonts w:ascii="Times New Roman" w:hAnsi="Times New Roman" w:eastAsia="宋体"/>
          <w:sz w:val="24"/>
        </w:rPr>
        <w:t>Ibid. With the most extreme exercises of at-will removal, the multimember structure itself could be eliminated, by executive fiat, with sufficient arbitrary firings to winnow a commission down to a sole remaining chair.  Cf. Cook, 609 U. S., at ___ (opinion of KAVANAUGH, J.) (slip op., at 2) (not­ ing the “upheaval” that could result from “[e]ven temporary uncertainty” about agency independence in the wake of such firings). The very existence of independent commis­ sions like the FTC thus depended on (and Congress’s deci­ sion to create the agencies relied upon) the premise that these agencies would exist at some remove from partisan politics and enjoy the removal protections necessary to achieve that goal.</w:t>
      </w:r>
    </w:p>
    <w:p>
      <w:pPr>
        <w:pStyle w:val="DocBody"/>
      </w:pPr>
      <w:r>
        <w:rPr>
          <w:rFonts w:ascii="Times New Roman" w:hAnsi="Times New Roman" w:eastAsia="宋体"/>
          <w:sz w:val="24"/>
        </w:rPr>
        <w:t>TRUMP v. SLAUGHTER SOTOMAYOR, J., dissenting Today’s decision profoundly undermines this reliance and, as a result, undercuts one side of the balance that the political branches struck.  Put simply, today the majority reshapes our Government.  Dozens of independent commis­ sions are now likely to become purely executive agencies, shifting tremendous power over broad swaths of American life into the President’s hands: the Federal Energy Regula­ tory Commission, with responsibility for managing the Na­ tion’s energy supply, see 42 U. S. C. §7171(b)(1); the Con­ sumer Product Safety Commission, which protects Americans against harms caused by dangerous goods, see 15 U. S. C. §2053(a); the Chemical Safety Board, tasked with investigating chemical disasters, see 42 U. S. C.</w:t>
      </w:r>
    </w:p>
    <w:p>
      <w:pPr>
        <w:pStyle w:val="DocBody"/>
      </w:pPr>
      <w:r>
        <w:rPr>
          <w:rFonts w:ascii="Times New Roman" w:hAnsi="Times New Roman" w:eastAsia="宋体"/>
          <w:sz w:val="24"/>
        </w:rPr>
        <w:t>§7412(r)(6)(B); the Nuclear Regulatory Commission, re­ sponsible for the regulation of nuclear power, see 42 U. S. C. §§5841(a), (c), (e); and the Merit Systems Protec­ tion Board (MSPB), charged with ensuring the integrity of the civil service, see 5 U. S. C. §1202.  The list of agencies potentially modified by today’s decision goes on.</w:t>
      </w:r>
    </w:p>
    <w:p>
      <w:pPr>
        <w:pStyle w:val="DocBody"/>
      </w:pPr>
      <w:r>
        <w:rPr>
          <w:rFonts w:ascii="Times New Roman" w:hAnsi="Times New Roman" w:eastAsia="宋体"/>
          <w:sz w:val="24"/>
        </w:rPr>
        <w:t>Seldom, if ever, has this Court worked such a profound bait and switch on a coequal branch: For more than 90 years, Congress believed, with this Court’s express ap­ proval, that it was allowed to create a workable Govern­ ment, including by granting certain agencies tasked with certain responsibilities some independence from Presiden­ tial control. In rejecting that project, after decades of prom­ ising the political branches that structures like the FTC’s were permissible, the Court creates an Executive Branch that Congress never dreamed of establishing and that it now has little hope of ever reining in. Cf. Learning Re­ sources, Inc. v. Trump, 607 U. S. 229, 244–245 (2026) (opin­ ion of ROBERTS, C. J.) (emphasizing Congress’s difficulty in paring back executive power once granted, given the need for a veto-proof supermajority).  The concurrence acknowl­ edges the “real risks” implicated by the Court’s abandon­ ment of Humphrey’s. Ante, at 13 (opinion of GORSUCH, J.).</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The majority’s responses fail across the board. It first as­ serts that congressional reliance “is relevant only in the context of severability,” ante, at 24, n. 3, but this Court has been clear that “[s]tare decisis has added force when the leg­ islature, in the public sphere, . . . ha[s] acted in reliance upon a previous decision,” Hilton, 502 U. S., at 202; see Payne, 501 U. S., at 828.  None of the majority’s severability cases overruled any precedent, see ante, at 24, n. 3, and so say nothing about the role of congressional reliance in the stare decisis analysis. The majority also suggests that Con­ gress’s reliance interests are somehow not “‘legitimate’”</w:t>
      </w:r>
    </w:p>
    <w:p>
      <w:pPr>
        <w:pStyle w:val="DocBody"/>
      </w:pPr>
      <w:r>
        <w:rPr>
          <w:rFonts w:ascii="Times New Roman" w:hAnsi="Times New Roman" w:eastAsia="宋体"/>
          <w:sz w:val="24"/>
        </w:rPr>
        <w:t>here because Humphrey’s recognized congressional power at the President’s expense. Ante, at 24. This assertion is perplexing. Humphrey’s endorsed Congress’s authority to create agencies “to carry into effect legislative policies em­ bodied in the statute,” with “independence against [the President’s] will.” 295 U. S., at 628–629.  It was that hold­ ing on which Congress has reasonably relied.  If the major­ ity means to say that this reliance was improper because Humphrey’s was wrong, it gets stare decisis backwards.</w:t>
      </w:r>
    </w:p>
    <w:p>
      <w:pPr>
        <w:pStyle w:val="DocBody"/>
      </w:pPr>
      <w:r>
        <w:rPr>
          <w:rFonts w:ascii="Times New Roman" w:hAnsi="Times New Roman" w:eastAsia="宋体"/>
          <w:sz w:val="24"/>
        </w:rPr>
        <w:t>The doctrine’s entire point is to recognize that greater insti­ tutional values can support adhering to past decisions, even if a later majority might think them mistaken.</w:t>
      </w:r>
    </w:p>
    <w:p>
      <w:pPr>
        <w:pStyle w:val="DocBody"/>
      </w:pPr>
      <w:r>
        <w:rPr>
          <w:rFonts w:ascii="Times New Roman" w:hAnsi="Times New Roman" w:eastAsia="宋体"/>
          <w:sz w:val="24"/>
        </w:rPr>
        <w:t>Finally, and equally important, the reliance interests here are not limited to Congress.  Ordinary Americans and regulated firms alike have organized their affairs under­ standing that some Government decisions will depend not on political favoritism or partisan advantage (or at least not only on those considerations), but on expertise, adherence to law, judgment, and the public good. See, e.g., Cook, 609 U. S., at ___ (opinion of KAVANAUGH, J.) (slip op., at 2) (ar­ guing that uncertainty about agency independence would “risk destabilizing the U. S. economy”). America’s economy works in large part due to the “stability” and predictability fostered by such expectations. Id., at ___ (slip op., at 3).</w:t>
      </w:r>
    </w:p>
    <w:p>
      <w:pPr>
        <w:pStyle w:val="DocBody"/>
      </w:pPr>
      <w:r>
        <w:rPr>
          <w:rFonts w:ascii="Times New Roman" w:hAnsi="Times New Roman" w:eastAsia="宋体"/>
          <w:sz w:val="24"/>
        </w:rPr>
        <w:t>Today, by demanding unmediated, unmitigated</w:t>
      </w:r>
    </w:p>
    <w:p>
      <w:pPr>
        <w:pStyle w:val="DocBody"/>
      </w:pPr>
      <w:r>
        <w:rPr>
          <w:rFonts w:ascii="Times New Roman" w:hAnsi="Times New Roman" w:eastAsia="宋体"/>
          <w:sz w:val="24"/>
        </w:rPr>
        <w:t>TRUMP v. SLAUGHTER SOTOMAYOR, J., dissenting Presidential control of agency decisionmaking, the majority upends all of that.  The majority responds by announcing, in short, that it knows best and that its abrupt destruction of a century and a half of precedent is broadly supportive of “‘constitutionally promised liberties.’”  Ante, at 24–25.</w:t>
      </w:r>
    </w:p>
    <w:p>
      <w:pPr>
        <w:pStyle w:val="DocBody"/>
      </w:pPr>
      <w:r>
        <w:rPr>
          <w:rFonts w:ascii="Times New Roman" w:hAnsi="Times New Roman" w:eastAsia="宋体"/>
          <w:sz w:val="24"/>
        </w:rPr>
        <w:t>Never mind that the elected officials representing the American people (including over a dozen Presidents) have consistently understood the people to be best served, includ­ ing in their liberty interests, by agencies that are not en­ tirely subject to Presidential whim.  Because today’s major­ ity has come to believe that the American people are better off without independent agencies, it does not matter how much anyone has relied on that arrangement.</w:t>
      </w:r>
    </w:p>
    <w:p>
      <w:pPr>
        <w:pStyle w:val="DocBody"/>
      </w:pPr>
      <w:r>
        <w:rPr>
          <w:rFonts w:ascii="Times New Roman" w:hAnsi="Times New Roman" w:eastAsia="宋体"/>
          <w:sz w:val="24"/>
        </w:rPr>
        <w:t>B The majority’s assertion that Humphrey’s has proved un­ workable also blinks reality.  Ante, at 22–23. As just shown, for over 90 years Congress has legislated, and the Govern­ ment ably functioned, against the “commonly understood”</w:t>
      </w:r>
    </w:p>
    <w:p>
      <w:pPr>
        <w:pStyle w:val="DocBody"/>
      </w:pPr>
      <w:r>
        <w:rPr>
          <w:rFonts w:ascii="Times New Roman" w:hAnsi="Times New Roman" w:eastAsia="宋体"/>
          <w:sz w:val="24"/>
        </w:rPr>
        <w:t>rule that heads of certain multimember agencies can enjoy modest tenure protections from at-will Presidential re­ moval. Free Enterprise Fund v. Public Co. Accounting Over­ sight Bd., 537 F. 3d 667, 695 (CADC 2008) (Kavanaugh, J., dissenting). These agencies, in short, have become ubiqui­ tous over the last century and a half.</w:t>
      </w:r>
    </w:p>
    <w:p>
      <w:pPr>
        <w:pStyle w:val="DocBody"/>
      </w:pPr>
      <w:r>
        <w:rPr>
          <w:rFonts w:ascii="Times New Roman" w:hAnsi="Times New Roman" w:eastAsia="宋体"/>
          <w:sz w:val="24"/>
        </w:rPr>
        <w:t>To be sure, independent agencies are not carbon copies of one another, and there is some variation among their struc­ tures. Given the sensitive regulatory interests at stake and Congress’s general flexibility in designing federal offices, that nuance should come as no surprise.  By and large, how­ ever, these agencies follow a remarkably consistent pattern:</w:t>
      </w:r>
    </w:p>
    <w:p>
      <w:pPr>
        <w:pStyle w:val="DocBody"/>
      </w:pPr>
      <w:r>
        <w:rPr>
          <w:rFonts w:ascii="Times New Roman" w:hAnsi="Times New Roman" w:eastAsia="宋体"/>
          <w:sz w:val="24"/>
        </w:rPr>
        <w:t>multimember commissions, with a chair selected by the President, often with bipartisan membership require­ ments, sometimes with a background-expertise require­ ment, and, often, with a restriction permitting removal only</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“for cause” or for specified causes.  So too do these agencies generally carry out functions like the FTC’s: rulemaking, in-house adjudications, investigations, and occasional en­ forcement actions in court. In establishing agencies like the FTC, Congress has thus shown little difficulty applying the rule the majority today finds too murky.14 Nor has this Court had trouble applying Humphrey’s over the course of the past century.  It is true that, at times over those decades, disputes have arisen over the principles at play in Humphrey’s. That is to be expected for any legal doctrine. If anything, however, those disputes have been remarkably few and far between.  As to multimember com­ missions, this Court has returned to the issue only once, making clear that “[t]he philosophy of Humphrey’s” plainly supported protections for members of the War Claims Com­ mission. Wiener, 357 U. S., at 356.  The majority claims that this paucity of cases marks a “retrea[t] from Humph­ rey’s.”  Ante, at 22. The reality, however, is that the Court has seldom needed to address these issues because disputes have seldom arisen. That is so even though Congress all the while, and with minimal objection (and no vetoes) from over a dozen Presidents, has constructed the Executive Branch in reliance upon Humphrey’s and its progeny.  See supra, at 10–11, 35–38.</w:t>
      </w:r>
    </w:p>
    <w:p>
      <w:pPr>
        <w:pStyle w:val="DocBody"/>
      </w:pPr>
      <w:r>
        <w:rPr>
          <w:rFonts w:ascii="Times New Roman" w:hAnsi="Times New Roman" w:eastAsia="宋体"/>
          <w:sz w:val="24"/>
        </w:rPr>
        <w:t>—————— 14The majority suggests that its rule is necessary because, without it, Humphrey’s might permit Congress to turn the Environmental Protec­ tion Agency into a multimember commission with removal protections.</w:t>
      </w:r>
    </w:p>
    <w:p>
      <w:pPr>
        <w:pStyle w:val="DocBody"/>
      </w:pPr>
      <w:r>
        <w:rPr>
          <w:rFonts w:ascii="Times New Roman" w:hAnsi="Times New Roman" w:eastAsia="宋体"/>
          <w:sz w:val="24"/>
        </w:rPr>
        <w:t>Ante, at 35. Humphrey’s, however, has been the law for nearly 100 years and this (apparently intolerable) result has not come to pass. In any event, the Constitution does not prohibit every unwise policy choice, even when it comes to structural questions. If, moreover, Congress at some point did pass a law preventing the President from “carrying out his own constitutionally assigned functions in areas like war or foreign affairs,”</w:t>
      </w:r>
    </w:p>
    <w:p>
      <w:pPr>
        <w:pStyle w:val="DocBody"/>
      </w:pPr>
      <w:r>
        <w:rPr>
          <w:rFonts w:ascii="Times New Roman" w:hAnsi="Times New Roman" w:eastAsia="宋体"/>
          <w:sz w:val="24"/>
        </w:rPr>
        <w:t>Seila Law, 591 U. S., at 275, n. 6 (opinion of KAGAN, J.), nothing in Humphrey’s would stop the Court from ensuring that the President can “accomplish his constitutional role,” Morrison, 487 U. S., at 690.</w:t>
      </w:r>
    </w:p>
    <w:p>
      <w:pPr>
        <w:pStyle w:val="DocBody"/>
      </w:pPr>
      <w:r>
        <w:rPr>
          <w:rFonts w:ascii="Times New Roman" w:hAnsi="Times New Roman" w:eastAsia="宋体"/>
          <w:sz w:val="24"/>
        </w:rPr>
        <w:t>TRUMP v. SLAUGHTER SOTOMAYOR, J., dissenting No other decisions of this Court, as to other agency struc­ tures, suggest any inability to police the bounds established by Humphrey’s. Contra, ante, at 19–20.  In fact, they show the opposite. Morrison accepted and broadened Humph­ rey’s functionalist approach, clarifying only that the exer­ cise is not meant to “define rigid categories” of officials who exercise executive power or perform executive functions, “but to ensure that Congress does not interfere with the President’s” constitutional duties. Morrison, 487 U. S., at 689–690. As to the officer at issue in Morrison, the Court held that the removal protections left the President with “ample” control. Id., at 692. Free Enterprise Fund recog­ nized Humphrey’s rule, accepted it as to the Securities and Exchange Commission (SEC), and held that a second layer of protection for a subsidiary Board (a “novel structure”</w:t>
      </w:r>
    </w:p>
    <w:p>
      <w:pPr>
        <w:pStyle w:val="DocBody"/>
      </w:pPr>
      <w:r>
        <w:rPr>
          <w:rFonts w:ascii="Times New Roman" w:hAnsi="Times New Roman" w:eastAsia="宋体"/>
          <w:sz w:val="24"/>
        </w:rPr>
        <w:t>never considered before) was unconstitutional.  561 U. S., at 496; see id., at 487. Seila Law also took Humphrey’s as a given and held that a different structure (a single-director agency head) was an “almost wholly unprecedented” “his­ torical anomaly” that fell outside Humphrey’s scope. 591 U. S., at 217, 220–223.  These conclusions were, to be sure, subject to vigorous disagreement at the time.  See, e.g., id., at 269–296 (opinion of KAGAN, J.).  Far from showing Humphrey’s to be unworkable, however, those cases show how legal precedents work: They extend to some situations, but not to others, and Justices sometimes disagree about where to draw the lines.  Whatever its outer limits, Humph­ rey’s core holding as to the FTC and multimember bodies like it has never proven too difficult for courts to apply.</w:t>
      </w:r>
    </w:p>
    <w:p>
      <w:pPr>
        <w:pStyle w:val="DocBody"/>
      </w:pPr>
      <w:r>
        <w:rPr>
          <w:rFonts w:ascii="Times New Roman" w:hAnsi="Times New Roman" w:eastAsia="宋体"/>
          <w:sz w:val="24"/>
        </w:rPr>
        <w:t>The majority points to a handful of recent lower court de­ cisions from the past year or so that purportedly show that “no one knows how to apply Humphrey’s in practice.”  Ante, at 22–23. That tumult, though, is more fairly attributed to the Court’s recent emergency-docket abandonment of Humphrey’s.</w:t>
      </w:r>
    </w:p>
    <w:p>
      <w:pPr>
        <w:pStyle w:val="DocBody"/>
      </w:pPr>
      <w:r>
        <w:rPr>
          <w:rFonts w:ascii="Times New Roman" w:hAnsi="Times New Roman" w:eastAsia="宋体"/>
          <w:sz w:val="24"/>
        </w:rPr>
        <w:t>See, e.g., Space Exploration Technologies Corp. v. NLRB, 151 F. 4th 761, 776–777 (CA5 2025); see</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also Trump v. Wilcox, 605 U. S. ___, ___ (2025) (KAGAN, J., dissenting) (slip op., at 2) (criticizing the majority for using the “emergency docket . . . to overrule or revise existing law”). When the Court fails to adhere to its own precedents in a principled manner, it is hard to expect consistency from the lower courts that must keep up with the Court’s rapidly shifting views. For decades before this Court upended the doctrine, however, Humphrey’s was a stable, easily under­ stood precedent of this Court.</w:t>
      </w:r>
    </w:p>
    <w:p>
      <w:pPr>
        <w:pStyle w:val="DocBody"/>
      </w:pPr>
      <w:r>
        <w:rPr>
          <w:rFonts w:ascii="Times New Roman" w:hAnsi="Times New Roman" w:eastAsia="宋体"/>
          <w:sz w:val="24"/>
        </w:rPr>
        <w:t>Last, the majority takes aim at Humphrey’s use of the terms “‘quasi-legislative’” and “‘quasi-judicial.’”  Ante, at</w:t>
      </w:r>
    </w:p>
    <w:p>
      <w:pPr>
        <w:pStyle w:val="DocBody"/>
        <w:ind w:left="765"/>
      </w:pPr>
      <w:r>
        <w:rPr>
          <w:rFonts w:ascii="Times New Roman" w:hAnsi="Times New Roman" w:eastAsia="宋体"/>
          <w:sz w:val="24"/>
        </w:rPr>
        <w:t>Humphrey’s, however, did not draw these terms from thin air. They were “well-established term[s]-of-art,” recog­ nized by figures from Madison to Taft by the time Humph­ rey’s was decided.  See Brief for Legal Historian N. Rosen­ blum et al. as Amici Curiae 14; see id., at 4–5, 13, 20–21.</w:t>
      </w:r>
    </w:p>
    <w:p>
      <w:pPr>
        <w:pStyle w:val="DocBody"/>
      </w:pPr>
      <w:r>
        <w:rPr>
          <w:rFonts w:ascii="Times New Roman" w:hAnsi="Times New Roman" w:eastAsia="宋体"/>
          <w:sz w:val="24"/>
        </w:rPr>
        <w:t>Madison, recall, recognized that even executive officers may “partak[e] strongly of the judicial character” and that such officers raise distinct considerations when it comes to re­ moval. 1 Annals of Cong. 612.  By the early-19th century, courts, too, were using the term “‘quasi-judicial’ to describe the duties of specialist officers whose work bore functional and procedural similarities with that of the judiciary” and the term “quasi-legislative” to refer to functions served by “‘subordinate agencies’” tasked with filling in the details left open by general laws.  Brief for Legal Historian N. Ros­ enblum et al. as Amici Curiae 10, 15; see id., at 9–11, 15– 18 (collecting cases developing these categories); see also B.</w:t>
      </w:r>
    </w:p>
    <w:p>
      <w:pPr>
        <w:pStyle w:val="DocBody"/>
      </w:pPr>
      <w:r>
        <w:rPr>
          <w:rFonts w:ascii="Times New Roman" w:hAnsi="Times New Roman" w:eastAsia="宋体"/>
          <w:sz w:val="24"/>
        </w:rPr>
        <w:t>Baumann &amp; J. Shugerman, Quasi-Judicial: A History and Tradition, 127 Colum. L. Rev. (forthcoming 2026) (manu­ script, at 4) (tracing the “deep historical pedigree” of inde­ pendence for “quasi-judicial” officers).  The majority can feign ignorance and deem these terms devoid of meaning, but it cannot change the historical record: Independence has long been associated with, and accepted as to, executive officers who carry out functions like the FTC’s.</w:t>
      </w:r>
    </w:p>
    <w:p>
      <w:pPr>
        <w:pStyle w:val="DocBody"/>
      </w:pPr>
      <w:r>
        <w:rPr>
          <w:rFonts w:ascii="Times New Roman" w:hAnsi="Times New Roman" w:eastAsia="宋体"/>
          <w:sz w:val="24"/>
        </w:rPr>
        <w:t>TRUMP v. SLAUGHTER SOTOMAYOR, J., dissenting In the end, this Court has not “been forced to clarify the doctrine” in this arena “again and again.” Loper Bright En­ terprises v. Raimondo, 603 U. S. 369, 409 (2024).  Nor has Humphrey’s spurred major “confusion and disagreement” in the lower courts, or “generated a long list of Circuit con­ flicts.” Dobbs, 597 U. S., at 283–284.  Instead, the Humph­ rey’s rule is long established and has been easily applied for decades.</w:t>
      </w:r>
    </w:p>
    <w:p>
      <w:pPr>
        <w:pStyle w:val="DocBody"/>
      </w:pPr>
      <w:r>
        <w:rPr>
          <w:rFonts w:ascii="Times New Roman" w:hAnsi="Times New Roman" w:eastAsia="宋体"/>
          <w:sz w:val="24"/>
        </w:rPr>
        <w:t>The case for retaining Humphrey’s becomes even stronger when compared against the majority’s theory, which itself promises to unleash only chaos. With remarkable stead­ fastness, the majority simply refuses to explain where its theory leads or where it ends.  See, e.g., ante, at 27.  Alt­ hough declining to consider the consequences of its decision might make it easier for the majority to cast Humphrey’s aside, it leaves courts, agencies, and Congress with little guidance, and many new questions, on how they are sup­ posed to assess removal questions going forward.</w:t>
      </w:r>
    </w:p>
    <w:p>
      <w:pPr>
        <w:pStyle w:val="DocBody"/>
      </w:pPr>
      <w:r>
        <w:rPr>
          <w:rFonts w:ascii="Times New Roman" w:hAnsi="Times New Roman" w:eastAsia="宋体"/>
          <w:sz w:val="24"/>
        </w:rPr>
        <w:t>The majority, for example, suggests that its rule might not apply to adjudicatory agencies, including non-Article III courts like the Tax Court. See ante, at 28.  That is welcome news, but why is it so? As the majority explains, it cannot be because such agencies are exercising judicial power.  Ad­ judications by Executive Branch agencies “are exercises of—indeed, under our constitutional structure they must be exercises of—the ‘executive Power.’”  Arlington v. FCC, 569 U. S. 290, 305, n. 4 (2013); see ante, at 19. Nor, after today, is it obvious that such agencies could safely depend on a precedent like Wiener, which did address an adjudicatory agency but rested squarely on “[t]he philosophy of Humph­ rey’s.” 357 U. S., at 356.  Still, the majority says, a narrow exception for non-Article III adjudicators might yet survive.</w:t>
      </w:r>
    </w:p>
    <w:p>
      <w:pPr>
        <w:pStyle w:val="DocBody"/>
      </w:pPr>
      <w:r>
        <w:rPr>
          <w:rFonts w:ascii="Times New Roman" w:hAnsi="Times New Roman" w:eastAsia="宋体"/>
          <w:sz w:val="24"/>
        </w:rPr>
        <w:t>If that is true, questions immediately arise: What, exactly, is the “‘different set of questions’” raised by these agencies?</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Ante, at 28. Do they depend on such entities’ quasi-judicial functions? How should bodies like the MSPB or NLRB, which are mostly adjudicatory but may also possess some other functions, be treated?  See, e.g., Brief for Cathy Harris as Amicus Curiae 3 (distinguishing “legislative courts,” in­ cluding the MSPB, from the FTC); Brief for Gwynne Wilcox as Amicus Curiae 2 (similar for the NLRB). More ques­ tions, which have long been at rest under Humphrey’s, are sure to follow.</w:t>
      </w:r>
    </w:p>
    <w:p>
      <w:pPr>
        <w:pStyle w:val="DocBody"/>
      </w:pPr>
      <w:r>
        <w:rPr>
          <w:rFonts w:ascii="Times New Roman" w:hAnsi="Times New Roman" w:eastAsia="宋体"/>
          <w:sz w:val="24"/>
        </w:rPr>
        <w:t>Today’s decision may also have major implications for in­ ferior officers and civil-service employees, which the major­ ity studiously ignores. The Court’s precedents, to date, con­ tinue to support removal protections for such individuals.</w:t>
      </w:r>
    </w:p>
    <w:p>
      <w:pPr>
        <w:pStyle w:val="DocBody"/>
      </w:pPr>
      <w:r>
        <w:rPr>
          <w:rFonts w:ascii="Times New Roman" w:hAnsi="Times New Roman" w:eastAsia="宋体"/>
          <w:sz w:val="24"/>
        </w:rPr>
        <w:t>See, e.g., Perkins, 116 U. S., at 484–485 (holding, in 1886, that inferior officers appointed by a department head could be protected against at-will removal). Until today, how­ ever, Perkins and Humphrey’s were the “two exceptions to the President’s unrestricted removal power” this Court had recognized. Seila Law, 591 U. S., at 204.  With one of those exceptions now wiped away, the majority’s silence on the other one provides cold comfort. Nor is there much in the majority’s logic that supports drawing a line at principal of­ ficers. Inferior officers (and likely many employees within the civil service) wield some executive power.  Regardless of their rank, if the President cannot have such individuals removed at will, then there is a break in “‘the chain of de­ pendence’” all the same (which, the majority emphasizes, must reach down all the way to the “‘lowest officers’”).</w:t>
      </w:r>
    </w:p>
    <w:p>
      <w:pPr>
        <w:pStyle w:val="DocBody"/>
      </w:pPr>
      <w:r>
        <w:rPr>
          <w:rFonts w:ascii="Times New Roman" w:hAnsi="Times New Roman" w:eastAsia="宋体"/>
          <w:sz w:val="24"/>
        </w:rPr>
        <w:t>Ante, at 10. The Government, at least, has the candor not to deny that the “logic” of its position “extends to inferior officers” and, perhaps, career civil servants, too. Tr. of Oral Arg. 23–24.  The majority, however, at best consigns these issues to years of future uncertainty and at worst risks the end of the employment protections that apply to members of the civil service.</w:t>
      </w:r>
    </w:p>
    <w:p>
      <w:pPr>
        <w:pStyle w:val="DocBody"/>
      </w:pPr>
      <w:r>
        <w:rPr>
          <w:rFonts w:ascii="Times New Roman" w:hAnsi="Times New Roman" w:eastAsia="宋体"/>
          <w:sz w:val="24"/>
        </w:rPr>
        <w:t>TRUMP v. SLAUGHTER SOTOMAYOR, J., dissenting Perhaps most strikingly, the Court today also makes clear that, whatever the logic of its decision, there are some ad hoc historical exceptions to its totalizing view of Article II, at least for the Federal Reserve.  See ante, at 27–28;</w:t>
      </w:r>
    </w:p>
    <w:p>
      <w:pPr>
        <w:pStyle w:val="DocBody"/>
      </w:pPr>
      <w:r>
        <w:rPr>
          <w:rFonts w:ascii="Times New Roman" w:hAnsi="Times New Roman" w:eastAsia="宋体"/>
          <w:sz w:val="24"/>
        </w:rPr>
        <w:t xml:space="preserve">Cook, 609 U. S., at </w:t>
      </w:r>
      <w:r>
        <w:rPr>
          <w:rFonts w:ascii="Times New Roman" w:hAnsi="Times New Roman" w:eastAsia="宋体"/>
          <w:b/>
          <w:i/>
          <w:sz w:val="24"/>
        </w:rPr>
        <w:t>–</w:t>
      </w:r>
      <w:r>
        <w:rPr>
          <w:rFonts w:ascii="Times New Roman" w:hAnsi="Times New Roman" w:eastAsia="宋体"/>
          <w:sz w:val="24"/>
        </w:rPr>
        <w:t xml:space="preserve"> (slip op., at 22–23).  For most agencies, the majority here says, removal protections like the FTC’s make the President’s job “‘impossible’” and so are unlawful. Ante, at 2. For agencies that follow in the “line­ age” of the First and Second Banks of the United States, however, the Court recognizes that the Founders were acutely aware “of the calamities that could arise from even the ‘suspicion’ of political manipulation of monetary policy”</w:t>
      </w:r>
    </w:p>
    <w:p>
      <w:pPr>
        <w:pStyle w:val="DocBody"/>
      </w:pPr>
      <w:r>
        <w:rPr>
          <w:rFonts w:ascii="Times New Roman" w:hAnsi="Times New Roman" w:eastAsia="宋体"/>
          <w:sz w:val="24"/>
        </w:rPr>
        <w:t>and that they therefore “guaranteed [such agencies] inde­ pendence from Presidential control.” Cook, 609 U. S., at ___ (slip op., at 22).  As a result, the Court holds, removal pro­ tections remain permissible (perhaps even indispensable)</w:t>
      </w:r>
    </w:p>
    <w:p>
      <w:pPr>
        <w:pStyle w:val="DocBody"/>
      </w:pPr>
      <w:r>
        <w:rPr>
          <w:rFonts w:ascii="Times New Roman" w:hAnsi="Times New Roman" w:eastAsia="宋体"/>
          <w:sz w:val="24"/>
        </w:rPr>
        <w:t>for agencies, including the Federal Reserve, that follow in “this tradition.”  Ibid.</w:t>
      </w:r>
    </w:p>
    <w:p>
      <w:pPr>
        <w:pStyle w:val="DocBody"/>
      </w:pPr>
      <w:r>
        <w:rPr>
          <w:rFonts w:ascii="Times New Roman" w:hAnsi="Times New Roman" w:eastAsia="宋体"/>
          <w:sz w:val="24"/>
        </w:rPr>
        <w:t xml:space="preserve">As discussed above, this is all partly right. Yes, the Founders did “kn[ow] from experience” that some Govern­ ment functions “should not be subject to political interfer­ ence.” Id., at </w:t>
      </w:r>
      <w:r>
        <w:rPr>
          <w:rFonts w:ascii="Times New Roman" w:hAnsi="Times New Roman" w:eastAsia="宋体"/>
          <w:b/>
          <w:i/>
          <w:sz w:val="24"/>
        </w:rPr>
        <w:t>–</w:t>
      </w:r>
      <w:r>
        <w:rPr>
          <w:rFonts w:ascii="Times New Roman" w:hAnsi="Times New Roman" w:eastAsia="宋体"/>
          <w:sz w:val="24"/>
        </w:rPr>
        <w:t xml:space="preserve"> (slip op., at 22–23); see supra, at 24–</w:t>
      </w:r>
    </w:p>
    <w:p>
      <w:pPr>
        <w:pStyle w:val="DocBody"/>
        <w:ind w:left="765"/>
      </w:pPr>
      <w:r>
        <w:rPr>
          <w:rFonts w:ascii="Times New Roman" w:hAnsi="Times New Roman" w:eastAsia="宋体"/>
          <w:sz w:val="24"/>
        </w:rPr>
        <w:t>Yes, this tradition need not remain “‘trapped in amber’”</w:t>
      </w:r>
    </w:p>
    <w:p>
      <w:pPr>
        <w:pStyle w:val="DocBody"/>
      </w:pPr>
      <w:r>
        <w:rPr>
          <w:rFonts w:ascii="Times New Roman" w:hAnsi="Times New Roman" w:eastAsia="宋体"/>
          <w:sz w:val="24"/>
        </w:rPr>
        <w:t xml:space="preserve">while Congress continues to devise new agencies and struc­ tures to “manag[e] a vastly more complex economy in a vastly more complex world.” Cook, 609 U. S., at </w:t>
      </w:r>
      <w:r>
        <w:rPr>
          <w:rFonts w:ascii="Times New Roman" w:hAnsi="Times New Roman" w:eastAsia="宋体"/>
          <w:b/>
          <w:i/>
          <w:sz w:val="24"/>
        </w:rPr>
        <w:t>–</w:t>
      </w:r>
      <w:r>
        <w:rPr>
          <w:rFonts w:ascii="Times New Roman" w:hAnsi="Times New Roman" w:eastAsia="宋体"/>
          <w:sz w:val="24"/>
        </w:rPr>
        <w:t xml:space="preserve"> (slip op., at 22); see supra, at 26–27. What is unclear is why these principles should be limited only to agencies, like the Federal Reserve, that in some respects influence “monetary policy.” Ante, at 28.</w:t>
      </w:r>
    </w:p>
    <w:p>
      <w:pPr>
        <w:pStyle w:val="DocBody"/>
      </w:pPr>
      <w:r>
        <w:rPr>
          <w:rFonts w:ascii="Times New Roman" w:hAnsi="Times New Roman" w:eastAsia="宋体"/>
          <w:sz w:val="24"/>
        </w:rPr>
        <w:t>Even assuming the majority is right that the Federal Re­ serve’s historical pedigree gives it a special place in the con­ stitutional structure, that just leaves the majority with yet additional workability problems. How close is close enough for a historical analogue of this kind?  Does any agency that “influence[s] monetary policy” qualify? Ibid.  Is it relevant</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that the modern agency, like the Bank of the United States, is “quasi-private”? Wilcox, 605 U. S., at ___ (slip op., at 2).</w:t>
      </w:r>
    </w:p>
    <w:p>
      <w:pPr>
        <w:pStyle w:val="DocBody"/>
      </w:pPr>
      <w:r>
        <w:rPr>
          <w:rFonts w:ascii="Times New Roman" w:hAnsi="Times New Roman" w:eastAsia="宋体"/>
          <w:sz w:val="24"/>
        </w:rPr>
        <w:t>What happens if Congress adds new functions beyond the historical baseline? See, e.g., 12 U. S. C. §504 (granting the Federal Reserve authority to secure civil penalties of up to $1 million per day); see also A. Bamzai &amp; A. Nielson, Article II and the Federal Reserve, 109 Cornell L. Rev. 843, 863, 887 (2024) (describing executive powers of the Federal Re­ serve). In short: When, exactly is our law “‘trapped in am­ ber,’” and when is it not?  See Cook, 609 U. S., at ___ (slip op., at 22).</w:t>
      </w:r>
    </w:p>
    <w:p>
      <w:pPr>
        <w:pStyle w:val="DocBody"/>
      </w:pPr>
      <w:r>
        <w:rPr>
          <w:rFonts w:ascii="Times New Roman" w:hAnsi="Times New Roman" w:eastAsia="宋体"/>
          <w:sz w:val="24"/>
        </w:rPr>
        <w:t>These line-drawing problems are the inevitable result of the majority’s ruling, yet never arose under Humphrey’s.</w:t>
      </w:r>
    </w:p>
    <w:p>
      <w:pPr>
        <w:pStyle w:val="DocBody"/>
      </w:pPr>
      <w:r>
        <w:rPr>
          <w:rFonts w:ascii="Times New Roman" w:hAnsi="Times New Roman" w:eastAsia="宋体"/>
          <w:sz w:val="24"/>
        </w:rPr>
        <w:t>Today, the majority replaces 90 years of proven, workable practice with a half-baked theory of executive power that is simultaneously all encompassing yet also subject to neces­ sary but undefined exceptions. The one thing that does ap­ pear to be clear going forward is that chaos will follow.</w:t>
      </w:r>
    </w:p>
    <w:p>
      <w:pPr>
        <w:pStyle w:val="DocBody"/>
      </w:pPr>
      <w:r>
        <w:rPr>
          <w:rFonts w:ascii="Times New Roman" w:hAnsi="Times New Roman" w:eastAsia="宋体"/>
          <w:sz w:val="24"/>
        </w:rPr>
        <w:t>C Finally, the majority suggests that Humphrey’s has been “undermined” by later cases. Ante, at 20, 22.  That is incor­ rect.</w:t>
      </w:r>
    </w:p>
    <w:p>
      <w:pPr>
        <w:pStyle w:val="DocBody"/>
      </w:pPr>
      <w:r>
        <w:rPr>
          <w:rFonts w:ascii="Times New Roman" w:hAnsi="Times New Roman" w:eastAsia="宋体"/>
          <w:sz w:val="24"/>
        </w:rPr>
        <w:t>See supra, at 6–7 (collecting cases reaffirming Humphrey’s). Morrison did not “‘repudiat[e]’” Humphrey’s.</w:t>
      </w:r>
    </w:p>
    <w:p>
      <w:pPr>
        <w:pStyle w:val="DocBody"/>
      </w:pPr>
      <w:r>
        <w:rPr>
          <w:rFonts w:ascii="Times New Roman" w:hAnsi="Times New Roman" w:eastAsia="宋体"/>
          <w:sz w:val="24"/>
        </w:rPr>
        <w:t>Ante, at 19.  It extended its holding to uphold removal pro­ tections for a distinct, inferior officer.  Morrison, 487 U. S., at 687–691. The case that Morrison repudiated was Myers.</w:t>
      </w:r>
    </w:p>
    <w:p>
      <w:pPr>
        <w:pStyle w:val="DocBody"/>
      </w:pPr>
      <w:r>
        <w:rPr>
          <w:rFonts w:ascii="Times New Roman" w:hAnsi="Times New Roman" w:eastAsia="宋体"/>
          <w:sz w:val="24"/>
        </w:rPr>
        <w:t>See 487 U. S., at 687 (rejecting “the implication of some dicta in Myers” that “the President’s power to remove . . .</w:t>
      </w:r>
    </w:p>
    <w:p>
      <w:pPr>
        <w:pStyle w:val="DocBody"/>
      </w:pPr>
      <w:r>
        <w:rPr>
          <w:rFonts w:ascii="Times New Roman" w:hAnsi="Times New Roman" w:eastAsia="宋体"/>
          <w:sz w:val="24"/>
        </w:rPr>
        <w:t>was . . . ‘all-inclusive’”). In Free Enterprise Fund, the Court accepted the lawfulness of “one level of good-cause protec­ tion” for the SEC. 561 U. S., at 484.  Although Seila Law criticized Humphrey’s at times, its conclusion was simply that Humphrey’s could not resolve the distinct question at issue. 591 U. S., at 215–216, and n. 2, 229.  Each of these cases left Humphrey’s firmly in place, until today.</w:t>
      </w:r>
    </w:p>
    <w:p>
      <w:pPr>
        <w:pStyle w:val="DocBody"/>
      </w:pPr>
      <w:r>
        <w:rPr>
          <w:rFonts w:ascii="Times New Roman" w:hAnsi="Times New Roman" w:eastAsia="宋体"/>
          <w:sz w:val="24"/>
        </w:rPr>
        <w:t>TRUMP v. SLAUGHTER SOTOMAYOR, J., dissenting IV Not two years ago, I wrote of a “disconcerting trend” in this Court’s cases: “When it comes to the separation of pow­ ers, this Court tells the American public and its coordinate branches that it knows best.” SEC v. Jarkesy, 603 U. S.</w:t>
      </w:r>
    </w:p>
    <w:p>
      <w:pPr>
        <w:pStyle w:val="DocBody"/>
      </w:pPr>
      <w:r>
        <w:rPr>
          <w:rFonts w:ascii="Times New Roman" w:hAnsi="Times New Roman" w:eastAsia="宋体"/>
          <w:sz w:val="24"/>
        </w:rPr>
        <w:t>109, 201 (2024) (dissenting opinion).  Matters that for cen­ turies had been left to the political branches have been sub­ ordinated, one after another, to this recent Court’s rigid theories of how Government should operate.  See id., at 201–202 (collecting cases).</w:t>
      </w:r>
    </w:p>
    <w:p>
      <w:pPr>
        <w:pStyle w:val="DocBody"/>
      </w:pPr>
      <w:r>
        <w:rPr>
          <w:rFonts w:ascii="Times New Roman" w:hAnsi="Times New Roman" w:eastAsia="宋体"/>
          <w:sz w:val="24"/>
        </w:rPr>
        <w:t>The majority’s decision continuing that trend today is egregiously wrong. In this case, the Court takes one of the oldest debates in American history and decides that the six Justices in the majority, alone, ought to be the ones to settle it for all time.  That decision does not just overrule prece­ dent; it all but ignores that precedent exists.  It does not just hamstring the political branches’ ability to respond to new challenges; it rewinds the clock nearly 150 years, hold­ ing that a common agency structure is, and always has been, forbidden.  It is true that today’s decision does not eliminate the FTC or the many other agencies whose struc­ tures are implicated by overruling Humphrey’s. It is unde­ niable, however, that those agencies will be transformed in ways that those who created them never could have ex­ pected and actively sought to avoid, fundamentally recali­ brating the balance of power in this country in the process.</w:t>
      </w:r>
    </w:p>
    <w:p>
      <w:pPr>
        <w:pStyle w:val="DocBody"/>
      </w:pPr>
      <w:r>
        <w:rPr>
          <w:rFonts w:ascii="Times New Roman" w:hAnsi="Times New Roman" w:eastAsia="宋体"/>
          <w:sz w:val="24"/>
        </w:rPr>
        <w:t>Will these transformations yield the benefits, sounding in responsiveness and accountability, that the majority touts?</w:t>
      </w:r>
    </w:p>
    <w:p>
      <w:pPr>
        <w:pStyle w:val="DocBody"/>
      </w:pPr>
      <w:r>
        <w:rPr>
          <w:rFonts w:ascii="Times New Roman" w:hAnsi="Times New Roman" w:eastAsia="宋体"/>
          <w:sz w:val="24"/>
        </w:rPr>
        <w:t>Or will they risk placing “in the hands of a bold and design­ ing man, of high ambition, . . . an instrument of the worst oppression,” which will “sacrific[e] every principle of inde­ pendence to the will of the [President]”?  3 Story §1533, at 390–392. Neither I, nor the majority, knows with certainty.</w:t>
      </w:r>
    </w:p>
    <w:p>
      <w:pPr>
        <w:pStyle w:val="DocBody"/>
      </w:pPr>
      <w:r>
        <w:rPr>
          <w:rFonts w:ascii="Times New Roman" w:hAnsi="Times New Roman" w:eastAsia="宋体"/>
          <w:sz w:val="24"/>
        </w:rPr>
        <w:t>That is exactly why the Constitution leaves decisions like this one, involving sensitive tradeoffs and difficult</w:t>
      </w:r>
    </w:p>
    <w:p>
      <w:pPr>
        <w:pStyle w:val="DocBody"/>
      </w:pPr>
      <w:r>
        <w:rPr>
          <w:rFonts w:ascii="Times New Roman" w:hAnsi="Times New Roman" w:eastAsia="宋体"/>
          <w:sz w:val="24"/>
        </w:rPr>
        <w:t>Cite as: 609 U. S. ____ (2026)</w:t>
      </w:r>
    </w:p>
    <w:p>
      <w:pPr>
        <w:pStyle w:val="DocBody"/>
      </w:pPr>
      <w:r>
        <w:rPr>
          <w:rFonts w:ascii="Times New Roman" w:hAnsi="Times New Roman" w:eastAsia="宋体"/>
          <w:sz w:val="24"/>
        </w:rPr>
        <w:t>SOTOMAYOR, J., dissenting judgment calls, to those best positioned to make them, and then to be held accountable for doing so: the political branches.</w:t>
      </w:r>
    </w:p>
    <w:p>
      <w:pPr>
        <w:pStyle w:val="DocBody"/>
      </w:pPr>
      <w:r>
        <w:rPr>
          <w:rFonts w:ascii="Times New Roman" w:hAnsi="Times New Roman" w:eastAsia="宋体"/>
          <w:sz w:val="24"/>
        </w:rPr>
        <w:t>Today, the Court discards that democratic regime in fa­ vor of one that distorts the structure of Government to fit the majority’s theory of unitary, total executive control.</w:t>
      </w:r>
    </w:p>
    <w:p>
      <w:pPr>
        <w:pStyle w:val="DocBody"/>
      </w:pPr>
      <w:r>
        <w:rPr>
          <w:rFonts w:ascii="Times New Roman" w:hAnsi="Times New Roman" w:eastAsia="宋体"/>
          <w:sz w:val="24"/>
        </w:rPr>
        <w:t>The result is a President who emerges with far greater power than ever before.  It is a power, however, that neither the People, nor Congress, nor the Constitution bestowed upon him.  In granting the President this unbridled author­ ity, the Court upends its precedent, misconstrues our his­ tory, and sheds any pretense of judicial modesty.  I respect­ fully dissent.</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jc w:val="center"/>
      </w:pPr>
      <w:r>
        <w:drawing>
          <wp:inline xmlns:a="http://schemas.openxmlformats.org/drawingml/2006/main" xmlns:pic="http://schemas.openxmlformats.org/drawingml/2006/picture">
            <wp:extent cx="5400000" cy="5400000"/>
            <wp:docPr id="1" name="Picture 1"/>
            <wp:cNvGraphicFramePr>
              <a:graphicFrameLocks noChangeAspect="1"/>
            </wp:cNvGraphicFramePr>
            <a:graphic>
              <a:graphicData uri="http://schemas.openxmlformats.org/drawingml/2006/picture">
                <pic:pic>
                  <pic:nvPicPr>
                    <pic:cNvPr id="0" name="174c56f48c8a480f.jpeg"/>
                    <pic:cNvPicPr/>
                  </pic:nvPicPr>
                  <pic:blipFill>
                    <a:blip r:embed="rId12"/>
                    <a:stretch>
                      <a:fillRect/>
                    </a:stretch>
                  </pic:blipFill>
                  <pic:spPr>
                    <a:xfrm>
                      <a:off x="0" y="0"/>
                      <a:ext cx="5400000" cy="5400000"/>
                    </a:xfrm>
                    <a:prstGeom prst="rect"/>
                  </pic:spPr>
                </pic:pic>
              </a:graphicData>
            </a:graphic>
          </wp:inline>
        </w:drawing>
      </w:r>
    </w:p>
    <w:p>
      <w:pPr>
        <w:pStyle w:val="DocCaption"/>
      </w:pPr>
      <w:r>
        <w:t>图1  J.B.  Branch</w:t>
      </w:r>
    </w:p>
    <w:p>
      <w:pPr>
        <w:pStyle w:val="DocH1"/>
      </w:pPr>
      <w:hyperlink r:id="rId13">
        <w:r>
          <w:rPr>
            <w:rFonts w:ascii="Times New Roman" w:hAnsi="Times New Roman" w:eastAsia="宋体"/>
            <w:color w:val="0563C1"/>
            <w:sz w:val="24"/>
            <w:u w:val="single"/>
          </w:rPr>
          <w:t xml:space="preserve"> J.B. Branch </w:t>
        </w:r>
      </w:hyperlink>
    </w:p>
    <w:p>
      <w:pPr>
        <w:pStyle w:val="DocBody"/>
        <w:ind w:left="1106"/>
      </w:pPr>
      <w:hyperlink r:id="rId14">
        <w:r>
          <w:rPr>
            <w:rFonts w:ascii="Times New Roman" w:hAnsi="Times New Roman" w:eastAsia="宋体"/>
            <w:color w:val="0563C1"/>
            <w:sz w:val="24"/>
            <w:u w:val="single"/>
          </w:rPr>
          <w:t>Meet The Authors</w:t>
        </w:r>
      </w:hyperlink>
    </w:p>
    <w:p>
      <w:pPr>
        <w:pStyle w:val="DocBody"/>
      </w:pPr>
      <w:r>
        <w:rPr>
          <w:rFonts w:ascii="Times New Roman" w:hAnsi="Times New Roman" w:eastAsia="宋体"/>
          <w:sz w:val="24"/>
        </w:rPr>
        <w:t xml:space="preserve">In the days following the Supreme Court’s decision in </w:t>
      </w:r>
      <w:hyperlink r:id="rId15">
        <w:r>
          <w:rPr>
            <w:rFonts w:ascii="Times New Roman" w:hAnsi="Times New Roman" w:eastAsia="宋体"/>
            <w:i/>
            <w:color w:val="0563C1"/>
            <w:sz w:val="24"/>
            <w:u w:val="single"/>
          </w:rPr>
          <w:t>Trump v. Slaughter</w:t>
        </w:r>
      </w:hyperlink>
      <w:r>
        <w:rPr>
          <w:rFonts w:ascii="Times New Roman" w:hAnsi="Times New Roman" w:eastAsia="宋体"/>
          <w:sz w:val="24"/>
        </w:rPr>
        <w:t xml:space="preserve">, the Federal Trade Commission (FTC) released an </w:t>
      </w:r>
      <w:hyperlink r:id="rId16">
        <w:r>
          <w:rPr>
            <w:rFonts w:ascii="Times New Roman" w:hAnsi="Times New Roman" w:eastAsia="宋体"/>
            <w:color w:val="0563C1"/>
            <w:sz w:val="24"/>
            <w:u w:val="single"/>
          </w:rPr>
          <w:t>AI Policy Statement</w:t>
        </w:r>
      </w:hyperlink>
      <w:r>
        <w:rPr>
          <w:rFonts w:ascii="Times New Roman" w:hAnsi="Times New Roman" w:eastAsia="宋体"/>
          <w:sz w:val="24"/>
        </w:rPr>
        <w:t xml:space="preserve"> that may prove significant for reasons extending well beyond artificial intelligence (AI). Among other things, the commission asserted that Section 5 of the </w:t>
      </w:r>
      <w:hyperlink r:id="rId17">
        <w:r>
          <w:rPr>
            <w:rFonts w:ascii="Times New Roman" w:hAnsi="Times New Roman" w:eastAsia="宋体"/>
            <w:color w:val="0563C1"/>
            <w:sz w:val="24"/>
            <w:u w:val="single"/>
          </w:rPr>
          <w:t>Federal Trade Commission Act</w:t>
        </w:r>
      </w:hyperlink>
      <w:r>
        <w:rPr>
          <w:rFonts w:ascii="Times New Roman" w:hAnsi="Times New Roman" w:eastAsia="宋体"/>
          <w:sz w:val="24"/>
        </w:rPr>
        <w:t xml:space="preserve"> could preempt certain state AI laws, even while acknowledging that the FTC Act contains no express preemption provision. The statement also closely tracks the Trump administration’s broader AI agenda, including its </w:t>
      </w:r>
      <w:hyperlink r:id="rId18">
        <w:r>
          <w:rPr>
            <w:rFonts w:ascii="Times New Roman" w:hAnsi="Times New Roman" w:eastAsia="宋体"/>
            <w:color w:val="0563C1"/>
            <w:sz w:val="24"/>
            <w:u w:val="single"/>
          </w:rPr>
          <w:t>AI Action Plan</w:t>
        </w:r>
      </w:hyperlink>
      <w:r>
        <w:rPr>
          <w:rFonts w:ascii="Times New Roman" w:hAnsi="Times New Roman" w:eastAsia="宋体"/>
          <w:sz w:val="24"/>
        </w:rPr>
        <w:t xml:space="preserve"> and executive order on “</w:t>
      </w:r>
      <w:hyperlink r:id="rId19">
        <w:r>
          <w:rPr>
            <w:rFonts w:ascii="Times New Roman" w:hAnsi="Times New Roman" w:eastAsia="宋体"/>
            <w:color w:val="0563C1"/>
            <w:sz w:val="24"/>
            <w:u w:val="single"/>
          </w:rPr>
          <w:t>Preventing Woke AI in the Federal Government</w:t>
        </w:r>
      </w:hyperlink>
      <w:r>
        <w:rPr>
          <w:rFonts w:ascii="Times New Roman" w:hAnsi="Times New Roman" w:eastAsia="宋体"/>
          <w:sz w:val="24"/>
        </w:rPr>
        <w:t>,” both of which seek to establish a more centralized federal approach to AI governance.</w:t>
      </w:r>
    </w:p>
    <w:p>
      <w:pPr>
        <w:pStyle w:val="DocBody"/>
      </w:pPr>
      <w:r>
        <w:rPr>
          <w:rFonts w:ascii="Times New Roman" w:hAnsi="Times New Roman" w:eastAsia="宋体"/>
          <w:sz w:val="24"/>
        </w:rPr>
        <w:t xml:space="preserve">Much of the commentary surrounding </w:t>
      </w:r>
      <w:r>
        <w:rPr>
          <w:rFonts w:ascii="Times New Roman" w:hAnsi="Times New Roman" w:eastAsia="宋体"/>
          <w:i/>
          <w:sz w:val="24"/>
        </w:rPr>
        <w:t>Slaughter</w:t>
      </w:r>
      <w:r>
        <w:rPr>
          <w:rFonts w:ascii="Times New Roman" w:hAnsi="Times New Roman" w:eastAsia="宋体"/>
          <w:sz w:val="24"/>
        </w:rPr>
        <w:t xml:space="preserve"> , including </w:t>
      </w:r>
      <w:hyperlink r:id="rId20">
        <w:r>
          <w:rPr>
            <w:rFonts w:ascii="Times New Roman" w:hAnsi="Times New Roman" w:eastAsia="宋体"/>
            <w:color w:val="0563C1"/>
            <w:sz w:val="24"/>
            <w:u w:val="single"/>
          </w:rPr>
          <w:t xml:space="preserve">this </w:t>
        </w:r>
      </w:hyperlink>
      <w:hyperlink r:id="rId20">
        <w:r>
          <w:rPr>
            <w:rFonts w:ascii="Times New Roman" w:hAnsi="Times New Roman" w:eastAsia="宋体"/>
            <w:i/>
            <w:color w:val="0563C1"/>
            <w:sz w:val="24"/>
            <w:u w:val="single"/>
          </w:rPr>
          <w:t>Lawfare</w:t>
        </w:r>
      </w:hyperlink>
      <w:hyperlink r:id="rId20">
        <w:r>
          <w:rPr>
            <w:rFonts w:ascii="Times New Roman" w:hAnsi="Times New Roman" w:eastAsia="宋体"/>
            <w:color w:val="0563C1"/>
            <w:sz w:val="24"/>
            <w:u w:val="single"/>
          </w:rPr>
          <w:t xml:space="preserve"> piece by Nick Bednar</w:t>
        </w:r>
      </w:hyperlink>
      <w:r>
        <w:rPr>
          <w:rFonts w:ascii="Times New Roman" w:hAnsi="Times New Roman" w:eastAsia="宋体"/>
          <w:sz w:val="24"/>
        </w:rPr>
        <w:t xml:space="preserve">, has understandably focused on the Supreme Court’s expansion of presidential removal authority and the demise of </w:t>
      </w:r>
      <w:hyperlink r:id="rId21">
        <w:r>
          <w:rPr>
            <w:rFonts w:ascii="Times New Roman" w:hAnsi="Times New Roman" w:eastAsia="宋体"/>
            <w:i/>
            <w:color w:val="0563C1"/>
            <w:sz w:val="24"/>
            <w:u w:val="single"/>
          </w:rPr>
          <w:t>Humphrey’s Executor</w:t>
        </w:r>
      </w:hyperlink>
      <w:r>
        <w:rPr>
          <w:rFonts w:ascii="Times New Roman" w:hAnsi="Times New Roman" w:eastAsia="宋体"/>
          <w:sz w:val="24"/>
        </w:rPr>
        <w:t xml:space="preserve">. That debate, while important, risks overlooking what </w:t>
      </w:r>
      <w:r>
        <w:rPr>
          <w:rFonts w:ascii="Times New Roman" w:hAnsi="Times New Roman" w:eastAsia="宋体"/>
          <w:i/>
          <w:sz w:val="24"/>
        </w:rPr>
        <w:t>Slaughter</w:t>
      </w:r>
      <w:r>
        <w:rPr>
          <w:rFonts w:ascii="Times New Roman" w:hAnsi="Times New Roman" w:eastAsia="宋体"/>
          <w:sz w:val="24"/>
        </w:rPr>
        <w:t xml:space="preserve"> means for the constitutional identity of the FTC itself. The decision is not simply about whether the president may remove commissioners at will. It also reshapes the institutional incentives of one of the federal government’s principal consumer protection regulators at precisely the moment when Congress has largely ceded the field of AI governance through legislative inaction, leaving </w:t>
      </w:r>
      <w:hyperlink r:id="rId22">
        <w:r>
          <w:rPr>
            <w:rFonts w:ascii="Times New Roman" w:hAnsi="Times New Roman" w:eastAsia="宋体"/>
            <w:color w:val="0563C1"/>
            <w:sz w:val="24"/>
            <w:u w:val="single"/>
          </w:rPr>
          <w:t>federal agencies</w:t>
        </w:r>
      </w:hyperlink>
      <w:r>
        <w:rPr>
          <w:rFonts w:ascii="Times New Roman" w:hAnsi="Times New Roman" w:eastAsia="宋体"/>
          <w:sz w:val="24"/>
        </w:rPr>
        <w:t xml:space="preserve"> and the </w:t>
      </w:r>
      <w:hyperlink r:id="rId23">
        <w:r>
          <w:rPr>
            <w:rFonts w:ascii="Times New Roman" w:hAnsi="Times New Roman" w:eastAsia="宋体"/>
            <w:color w:val="0563C1"/>
            <w:sz w:val="24"/>
            <w:u w:val="single"/>
          </w:rPr>
          <w:t>states</w:t>
        </w:r>
      </w:hyperlink>
      <w:r>
        <w:rPr>
          <w:rFonts w:ascii="Times New Roman" w:hAnsi="Times New Roman" w:eastAsia="宋体"/>
          <w:sz w:val="24"/>
        </w:rPr>
        <w:t xml:space="preserve"> to fill the resulting governance vacuum.</w:t>
      </w:r>
    </w:p>
    <w:p>
      <w:pPr>
        <w:pStyle w:val="DocBody"/>
      </w:pPr>
      <w:r>
        <w:rPr>
          <w:rFonts w:ascii="Times New Roman" w:hAnsi="Times New Roman" w:eastAsia="宋体"/>
          <w:sz w:val="24"/>
        </w:rPr>
        <w:t xml:space="preserve">The FTC’s AI Policy Statement is significant because the current commission appears willing to advance broader presidential priorities through expansive interpretations of its statutory authority. Whether that shift ultimately reflects a lasting institutional transformation or merely the current administration’s view of the FTC’s powers remains to be seen. Nevertheless, the policy statement offers an early indication of how </w:t>
      </w:r>
      <w:r>
        <w:rPr>
          <w:rFonts w:ascii="Times New Roman" w:hAnsi="Times New Roman" w:eastAsia="宋体"/>
          <w:i/>
          <w:sz w:val="24"/>
        </w:rPr>
        <w:t>Trump v. Slaughter</w:t>
      </w:r>
      <w:r>
        <w:rPr>
          <w:rFonts w:ascii="Times New Roman" w:hAnsi="Times New Roman" w:eastAsia="宋体"/>
          <w:sz w:val="24"/>
        </w:rPr>
        <w:t xml:space="preserve"> may reshape the FTC’s constitutional identity.</w:t>
      </w:r>
    </w:p>
    <w:p>
      <w:pPr>
        <w:pStyle w:val="DocBody"/>
      </w:pPr>
      <w:r>
        <w:rPr>
          <w:rFonts w:ascii="Times New Roman" w:hAnsi="Times New Roman" w:eastAsia="宋体"/>
          <w:i/>
          <w:sz w:val="24"/>
        </w:rPr>
        <w:t>Trump v. Slaughter</w:t>
      </w:r>
      <w:r>
        <w:rPr>
          <w:rFonts w:ascii="Times New Roman" w:hAnsi="Times New Roman" w:eastAsia="宋体"/>
          <w:sz w:val="24"/>
        </w:rPr>
        <w:t xml:space="preserve"> alters the constitutional footing of the FTC in ways that are likely to reshape the future of AI governance, consumer protection, and federal-state relations. The commission’s recent assertion of implied preemption over state AI laws should therefore be understood as one of the first visible manifestations of a broader institutional transformation. As future administrations test the outer boundaries of presidential control over independent agencies, the most consequential legacy of </w:t>
      </w:r>
      <w:r>
        <w:rPr>
          <w:rFonts w:ascii="Times New Roman" w:hAnsi="Times New Roman" w:eastAsia="宋体"/>
          <w:i/>
          <w:sz w:val="24"/>
        </w:rPr>
        <w:t>Slaughter</w:t>
      </w:r>
      <w:r>
        <w:rPr>
          <w:rFonts w:ascii="Times New Roman" w:hAnsi="Times New Roman" w:eastAsia="宋体"/>
          <w:sz w:val="24"/>
        </w:rPr>
        <w:t xml:space="preserve"> may not be presidential removal powers. Instead, it may be what agencies like the FTC believe they are empowered to do.</w:t>
      </w:r>
    </w:p>
    <w:p>
      <w:pPr>
        <w:pStyle w:val="DocH1"/>
      </w:pPr>
      <w:r>
        <w:rPr>
          <w:rFonts w:ascii="Times New Roman" w:hAnsi="Times New Roman" w:eastAsia="宋体"/>
          <w:sz w:val="24"/>
        </w:rPr>
        <w:t>Congress Designed the FTC to Be Different</w:t>
      </w:r>
    </w:p>
    <w:p>
      <w:pPr>
        <w:pStyle w:val="DocBody"/>
      </w:pPr>
      <w:r>
        <w:rPr>
          <w:rFonts w:ascii="Times New Roman" w:hAnsi="Times New Roman" w:eastAsia="宋体"/>
          <w:sz w:val="24"/>
        </w:rPr>
        <w:t xml:space="preserve">The Federal Trade Commission was never intended to function like a traditional executive department. When Congress </w:t>
      </w:r>
      <w:hyperlink r:id="rId24">
        <w:r>
          <w:rPr>
            <w:rFonts w:ascii="Times New Roman" w:hAnsi="Times New Roman" w:eastAsia="宋体"/>
            <w:color w:val="0563C1"/>
            <w:sz w:val="24"/>
            <w:u w:val="single"/>
          </w:rPr>
          <w:t>created the commission in 1914</w:t>
        </w:r>
      </w:hyperlink>
      <w:r>
        <w:rPr>
          <w:rFonts w:ascii="Times New Roman" w:hAnsi="Times New Roman" w:eastAsia="宋体"/>
          <w:sz w:val="24"/>
        </w:rPr>
        <w:t xml:space="preserve">, it deliberately rejected a model of direct presidential supervision in favor of an expert, multimember body capable of developing specialized knowledge, promoting stable enforcement, and fostering </w:t>
      </w:r>
      <w:hyperlink r:id="rId25">
        <w:r>
          <w:rPr>
            <w:rFonts w:ascii="Times New Roman" w:hAnsi="Times New Roman" w:eastAsia="宋体"/>
            <w:color w:val="0563C1"/>
            <w:sz w:val="24"/>
            <w:u w:val="single"/>
          </w:rPr>
          <w:t>public confidence</w:t>
        </w:r>
      </w:hyperlink>
      <w:r>
        <w:rPr>
          <w:rFonts w:ascii="Times New Roman" w:hAnsi="Times New Roman" w:eastAsia="宋体"/>
          <w:sz w:val="24"/>
        </w:rPr>
        <w:t xml:space="preserve"> in the nation’s complex markets. The FTC reflected </w:t>
      </w:r>
      <w:hyperlink r:id="rId26">
        <w:r>
          <w:rPr>
            <w:rFonts w:ascii="Times New Roman" w:hAnsi="Times New Roman" w:eastAsia="宋体"/>
            <w:color w:val="0563C1"/>
            <w:sz w:val="24"/>
            <w:u w:val="single"/>
          </w:rPr>
          <w:t>Progressive Era concerns</w:t>
        </w:r>
      </w:hyperlink>
      <w:r>
        <w:rPr>
          <w:rFonts w:ascii="Times New Roman" w:hAnsi="Times New Roman" w:eastAsia="宋体"/>
          <w:sz w:val="24"/>
        </w:rPr>
        <w:t xml:space="preserve"> that rapidly industrializing national markets required regulators with technical expertise and continuity beyond the electoral cycle. Rather than concentrating authority in a single executive officer, Congress vested the commission’s powers in five commissioners serving staggered terms, limited the number of commissioners from any one political party, and expected the agency to exercise independent judgment.</w:t>
      </w:r>
    </w:p>
    <w:p>
      <w:pPr>
        <w:pStyle w:val="DocBody"/>
      </w:pPr>
      <w:r>
        <w:rPr>
          <w:rFonts w:ascii="Times New Roman" w:hAnsi="Times New Roman" w:eastAsia="宋体"/>
          <w:sz w:val="24"/>
        </w:rPr>
        <w:t>This institutional design served several complementary purposes. First, multimember commissions encouraged deliberation and reduced the likelihood that enforcement policy would shift dramatically with each presidential administration. Bipartisan membership was intended to expose regulatory decisions to competing viewpoints while limiting overt partisan capture. Fixed terms provided continuity that allowed commissioners to pursue long-term regulatory priorities without constant concern over changes in presidential administrations. Together, these structural features sought to promote consistency in the administration of federal consumer protection and competition law. This is an especially important objective for businesses operating across national markets and consumers who depended on predictable enforcement of federal law.</w:t>
      </w:r>
    </w:p>
    <w:p>
      <w:pPr>
        <w:pStyle w:val="DocBody"/>
      </w:pPr>
      <w:r>
        <w:rPr>
          <w:rFonts w:ascii="Times New Roman" w:hAnsi="Times New Roman" w:eastAsia="宋体"/>
          <w:sz w:val="24"/>
        </w:rPr>
        <w:t xml:space="preserve">Equally important, Congress believed that effective regulation required expertise. The FTC was expected not merely to prosecute violations of law but also to study markets, investigate emerging commercial practices, gather economic evidence, and develop specialized knowledge unavailable elsewhere in the federal government. As James Landis later observed in “The Administrative Process,” independent commissions were designed to </w:t>
      </w:r>
      <w:hyperlink r:id="rId27">
        <w:r>
          <w:rPr>
            <w:rFonts w:ascii="Times New Roman" w:hAnsi="Times New Roman" w:eastAsia="宋体"/>
            <w:color w:val="0563C1"/>
            <w:sz w:val="24"/>
            <w:u w:val="single"/>
          </w:rPr>
          <w:t>combine expert judgment</w:t>
        </w:r>
      </w:hyperlink>
      <w:r>
        <w:rPr>
          <w:rFonts w:ascii="Times New Roman" w:hAnsi="Times New Roman" w:eastAsia="宋体"/>
          <w:sz w:val="24"/>
        </w:rPr>
        <w:t xml:space="preserve"> with political accountability in a manner </w:t>
      </w:r>
      <w:hyperlink r:id="rId28">
        <w:r>
          <w:rPr>
            <w:rFonts w:ascii="Times New Roman" w:hAnsi="Times New Roman" w:eastAsia="宋体"/>
            <w:color w:val="0563C1"/>
            <w:sz w:val="24"/>
            <w:u w:val="single"/>
          </w:rPr>
          <w:t>distinct from purely executive agencies</w:t>
        </w:r>
      </w:hyperlink>
      <w:r>
        <w:rPr>
          <w:rFonts w:ascii="Times New Roman" w:hAnsi="Times New Roman" w:eastAsia="宋体"/>
          <w:sz w:val="24"/>
        </w:rPr>
        <w:t xml:space="preserve">. Their </w:t>
      </w:r>
      <w:hyperlink r:id="rId29">
        <w:r>
          <w:rPr>
            <w:rFonts w:ascii="Times New Roman" w:hAnsi="Times New Roman" w:eastAsia="宋体"/>
            <w:color w:val="0563C1"/>
            <w:sz w:val="24"/>
            <w:u w:val="single"/>
          </w:rPr>
          <w:t>legitimacy</w:t>
        </w:r>
      </w:hyperlink>
      <w:r>
        <w:rPr>
          <w:rFonts w:ascii="Times New Roman" w:hAnsi="Times New Roman" w:eastAsia="宋体"/>
          <w:sz w:val="24"/>
        </w:rPr>
        <w:t xml:space="preserve"> derived not only from statutory authority but also from the expectation that technical expertise, deliberative decision-making, and institutional continuity would produce more informed and stable regulatory outcomes.</w:t>
      </w:r>
    </w:p>
    <w:p>
      <w:pPr>
        <w:pStyle w:val="DocBody"/>
      </w:pPr>
      <w:r>
        <w:rPr>
          <w:rFonts w:ascii="Times New Roman" w:hAnsi="Times New Roman" w:eastAsia="宋体"/>
          <w:sz w:val="24"/>
        </w:rPr>
        <w:t xml:space="preserve">The commission’s independence, however, was never absolute. Congress retained substantial oversight authority, courts remained available to review agency action, and the president continued to influence the commission through appointments and the designation of its chair. As Peter Strauss has argued, independent agencies occupy a </w:t>
      </w:r>
      <w:hyperlink r:id="rId30">
        <w:r>
          <w:rPr>
            <w:rFonts w:ascii="Times New Roman" w:hAnsi="Times New Roman" w:eastAsia="宋体"/>
            <w:color w:val="0563C1"/>
            <w:sz w:val="24"/>
            <w:u w:val="single"/>
          </w:rPr>
          <w:t>distinct place within the constitutional structure</w:t>
        </w:r>
      </w:hyperlink>
      <w:r>
        <w:rPr>
          <w:rFonts w:ascii="Times New Roman" w:hAnsi="Times New Roman" w:eastAsia="宋体"/>
          <w:sz w:val="24"/>
        </w:rPr>
        <w:t>. They remain part of the executive branch while exercising a measure of decisional independence that Congress considered necessary. The FTC therefore represented a conscious compromise that allowed the commission to still be held democratically accountable, but to diffuse political influence to better protect consumers and preserve confidence in its integrity.</w:t>
      </w:r>
    </w:p>
    <w:p>
      <w:pPr>
        <w:pStyle w:val="DocBody"/>
      </w:pPr>
      <w:r>
        <w:rPr>
          <w:rFonts w:ascii="Times New Roman" w:hAnsi="Times New Roman" w:eastAsia="宋体"/>
          <w:sz w:val="24"/>
        </w:rPr>
        <w:t xml:space="preserve">For nearly 90 years, the Supreme Court’s decision in </w:t>
      </w:r>
      <w:r>
        <w:rPr>
          <w:rFonts w:ascii="Times New Roman" w:hAnsi="Times New Roman" w:eastAsia="宋体"/>
          <w:i/>
          <w:sz w:val="24"/>
        </w:rPr>
        <w:t>Humphrey’s Executor v. United States</w:t>
      </w:r>
      <w:r>
        <w:rPr>
          <w:rFonts w:ascii="Times New Roman" w:hAnsi="Times New Roman" w:eastAsia="宋体"/>
          <w:sz w:val="24"/>
        </w:rPr>
        <w:t xml:space="preserve"> supplied the constitutional foundation for that institutional design. By upholding statutory limits on the president’s ability to remove commissioners except for cause, the Court recognized that Congress could create certain independent federal agencies whose effectiveness depended on a measure of freedom from immediate presidential direction. Whatever one thinks of </w:t>
      </w:r>
      <w:r>
        <w:rPr>
          <w:rFonts w:ascii="Times New Roman" w:hAnsi="Times New Roman" w:eastAsia="宋体"/>
          <w:i/>
          <w:sz w:val="24"/>
        </w:rPr>
        <w:t>Humphrey’s Executor</w:t>
      </w:r>
      <w:r>
        <w:rPr>
          <w:rFonts w:ascii="Times New Roman" w:hAnsi="Times New Roman" w:eastAsia="宋体"/>
          <w:sz w:val="24"/>
        </w:rPr>
        <w:t xml:space="preserve"> , the decision reflected an understanding that the FTC’s structure was not a historical accident. </w:t>
      </w:r>
      <w:r>
        <w:rPr>
          <w:rFonts w:ascii="Times New Roman" w:hAnsi="Times New Roman" w:eastAsia="宋体"/>
          <w:i/>
          <w:sz w:val="24"/>
        </w:rPr>
        <w:t>Trump v. Slaughter</w:t>
      </w:r>
      <w:r>
        <w:rPr>
          <w:rFonts w:ascii="Times New Roman" w:hAnsi="Times New Roman" w:eastAsia="宋体"/>
          <w:sz w:val="24"/>
        </w:rPr>
        <w:t xml:space="preserve"> calls that constitutional settlement into question, not simply by altering who may remove commissioners, but by reshaping the institutional assumptions on which the commission has operated for over a century.</w:t>
      </w:r>
    </w:p>
    <w:p>
      <w:pPr>
        <w:pStyle w:val="DocH1"/>
      </w:pPr>
      <w:r>
        <w:rPr>
          <w:rFonts w:ascii="Times New Roman" w:hAnsi="Times New Roman" w:eastAsia="宋体"/>
          <w:i/>
          <w:sz w:val="24"/>
        </w:rPr>
        <w:t>Trump v. Slaughter</w:t>
      </w:r>
      <w:r>
        <w:rPr>
          <w:rFonts w:ascii="Times New Roman" w:hAnsi="Times New Roman" w:eastAsia="宋体"/>
          <w:sz w:val="24"/>
        </w:rPr>
        <w:t>****Does More Than Change Removal</w:t>
      </w:r>
    </w:p>
    <w:p>
      <w:pPr>
        <w:pStyle w:val="DocBody"/>
      </w:pPr>
      <w:r>
        <w:rPr>
          <w:rFonts w:ascii="Times New Roman" w:hAnsi="Times New Roman" w:eastAsia="宋体"/>
          <w:sz w:val="24"/>
        </w:rPr>
        <w:t xml:space="preserve">The Supreme Court has gradually moved in this direction for more than a decade. In </w:t>
      </w:r>
      <w:r>
        <w:rPr>
          <w:rFonts w:ascii="Times New Roman" w:hAnsi="Times New Roman" w:eastAsia="宋体"/>
          <w:i/>
          <w:sz w:val="24"/>
        </w:rPr>
        <w:t>Free Enterprise Fund v. Public Company Accounting Oversight Board</w:t>
      </w:r>
      <w:r>
        <w:rPr>
          <w:rFonts w:ascii="Times New Roman" w:hAnsi="Times New Roman" w:eastAsia="宋体"/>
          <w:sz w:val="24"/>
        </w:rPr>
        <w:t xml:space="preserve"> , the </w:t>
      </w:r>
      <w:hyperlink r:id="rId31">
        <w:r>
          <w:rPr>
            <w:rFonts w:ascii="Times New Roman" w:hAnsi="Times New Roman" w:eastAsia="宋体"/>
            <w:color w:val="0563C1"/>
            <w:sz w:val="24"/>
            <w:u w:val="single"/>
          </w:rPr>
          <w:t>Court emphasized</w:t>
        </w:r>
      </w:hyperlink>
      <w:r>
        <w:rPr>
          <w:rFonts w:ascii="Times New Roman" w:hAnsi="Times New Roman" w:eastAsia="宋体"/>
          <w:sz w:val="24"/>
        </w:rPr>
        <w:t xml:space="preserve"> that Article II generally requires the president to maintain sufficient control over those who exercise executive power. While the Court invalidated the dual for-cause removal protections afforded to members of the Public Company Accounting Oversight Board, it nevertheless preserved the broader constitutional framework governing independent agencies—expressly distinguishing the FTC’s structure. While the Court invalidated the dual layers of for-cause removal protection applicable to members of the Public Company Accounting Oversight Board, it took pains to distinguish the FTC and expressly declined to reconsider </w:t>
      </w:r>
      <w:r>
        <w:rPr>
          <w:rFonts w:ascii="Times New Roman" w:hAnsi="Times New Roman" w:eastAsia="宋体"/>
          <w:i/>
          <w:sz w:val="24"/>
        </w:rPr>
        <w:t>Humphrey’s Executor</w:t>
      </w:r>
      <w:r>
        <w:rPr>
          <w:rFonts w:ascii="Times New Roman" w:hAnsi="Times New Roman" w:eastAsia="宋体"/>
          <w:sz w:val="24"/>
        </w:rPr>
        <w:t xml:space="preserve"> A decade later, in </w:t>
      </w:r>
      <w:r>
        <w:rPr>
          <w:rFonts w:ascii="Times New Roman" w:hAnsi="Times New Roman" w:eastAsia="宋体"/>
          <w:i/>
          <w:sz w:val="24"/>
        </w:rPr>
        <w:t>Seila Law LLC v. Consumer Financial Protection Bureau</w:t>
      </w:r>
      <w:r>
        <w:rPr>
          <w:rFonts w:ascii="Times New Roman" w:hAnsi="Times New Roman" w:eastAsia="宋体"/>
          <w:sz w:val="24"/>
        </w:rPr>
        <w:t xml:space="preserve"> , the Court invalidated for-cause removal protections for the director of the Consumer Financial Protection Bureau but again characterized multimember commissions such as the FTC as falling within the </w:t>
      </w:r>
      <w:hyperlink r:id="rId32">
        <w:r>
          <w:rPr>
            <w:rFonts w:ascii="Times New Roman" w:hAnsi="Times New Roman" w:eastAsia="宋体"/>
            <w:color w:val="0563C1"/>
            <w:sz w:val="24"/>
            <w:u w:val="single"/>
          </w:rPr>
          <w:t>historical exception</w:t>
        </w:r>
      </w:hyperlink>
      <w:r>
        <w:rPr>
          <w:rFonts w:ascii="Times New Roman" w:hAnsi="Times New Roman" w:eastAsia="宋体"/>
          <w:sz w:val="24"/>
        </w:rPr>
        <w:t xml:space="preserve"> recognized in </w:t>
      </w:r>
      <w:r>
        <w:rPr>
          <w:rFonts w:ascii="Times New Roman" w:hAnsi="Times New Roman" w:eastAsia="宋体"/>
          <w:i/>
          <w:sz w:val="24"/>
        </w:rPr>
        <w:t>Humphrey’s Executor</w:t>
      </w:r>
      <w:r>
        <w:rPr>
          <w:rFonts w:ascii="Times New Roman" w:hAnsi="Times New Roman" w:eastAsia="宋体"/>
          <w:sz w:val="24"/>
        </w:rPr>
        <w:t xml:space="preserve">. Likewise, in </w:t>
      </w:r>
      <w:r>
        <w:rPr>
          <w:rFonts w:ascii="Times New Roman" w:hAnsi="Times New Roman" w:eastAsia="宋体"/>
          <w:i/>
          <w:sz w:val="24"/>
        </w:rPr>
        <w:t>Collins v. Yellen</w:t>
      </w:r>
      <w:r>
        <w:rPr>
          <w:rFonts w:ascii="Times New Roman" w:hAnsi="Times New Roman" w:eastAsia="宋体"/>
          <w:sz w:val="24"/>
        </w:rPr>
        <w:t xml:space="preserve"> , the Court held unconstitutional removal restrictions protecting the director of the Federal Housing Finance Agency while </w:t>
      </w:r>
      <w:hyperlink r:id="rId33">
        <w:r>
          <w:rPr>
            <w:rFonts w:ascii="Times New Roman" w:hAnsi="Times New Roman" w:eastAsia="宋体"/>
            <w:color w:val="0563C1"/>
            <w:sz w:val="24"/>
            <w:u w:val="single"/>
          </w:rPr>
          <w:t>declining to disturb the constitutional status</w:t>
        </w:r>
      </w:hyperlink>
      <w:r>
        <w:rPr>
          <w:rFonts w:ascii="Times New Roman" w:hAnsi="Times New Roman" w:eastAsia="宋体"/>
          <w:sz w:val="24"/>
        </w:rPr>
        <w:t xml:space="preserve"> of traditional multimember independent commissions.</w:t>
      </w:r>
    </w:p>
    <w:p>
      <w:pPr>
        <w:pStyle w:val="DocBody"/>
      </w:pPr>
      <w:r>
        <w:rPr>
          <w:rFonts w:ascii="Times New Roman" w:hAnsi="Times New Roman" w:eastAsia="宋体"/>
          <w:i/>
          <w:sz w:val="24"/>
        </w:rPr>
        <w:t>Trump v. Slaughter</w:t>
      </w:r>
      <w:r>
        <w:rPr>
          <w:rFonts w:ascii="Times New Roman" w:hAnsi="Times New Roman" w:eastAsia="宋体"/>
          <w:sz w:val="24"/>
        </w:rPr>
        <w:t xml:space="preserve"> represents the culmination of this doctrinal evolution. By overruling </w:t>
      </w:r>
      <w:r>
        <w:rPr>
          <w:rFonts w:ascii="Times New Roman" w:hAnsi="Times New Roman" w:eastAsia="宋体"/>
          <w:i/>
          <w:sz w:val="24"/>
        </w:rPr>
        <w:t>Humphrey’s Executor</w:t>
      </w:r>
      <w:r>
        <w:rPr>
          <w:rFonts w:ascii="Times New Roman" w:hAnsi="Times New Roman" w:eastAsia="宋体"/>
          <w:sz w:val="24"/>
        </w:rPr>
        <w:t xml:space="preserve"> , the Court removed the principal constitutional foundation that had long distinguished the commission from executive departments. Commissioners now </w:t>
      </w:r>
      <w:hyperlink r:id="rId34">
        <w:r>
          <w:rPr>
            <w:rFonts w:ascii="Times New Roman" w:hAnsi="Times New Roman" w:eastAsia="宋体"/>
            <w:color w:val="0563C1"/>
            <w:sz w:val="24"/>
            <w:u w:val="single"/>
          </w:rPr>
          <w:t>serve with the understanding</w:t>
        </w:r>
      </w:hyperlink>
      <w:r>
        <w:rPr>
          <w:rFonts w:ascii="Times New Roman" w:hAnsi="Times New Roman" w:eastAsia="宋体"/>
          <w:sz w:val="24"/>
        </w:rPr>
        <w:t xml:space="preserve"> that they remain in office only so long as they retain the president’s confidence. The quality or integrity of any individual commissioner’s decision-making is beside the point. Although the FTC retains many of the structural characteristics Congress gave it in 1914, it now operates within a constitutional framework that encourages closer alignment with presidential priorities than at any point since its creation.</w:t>
      </w:r>
    </w:p>
    <w:p>
      <w:pPr>
        <w:pStyle w:val="DocBody"/>
      </w:pPr>
      <w:r>
        <w:rPr>
          <w:rFonts w:ascii="Times New Roman" w:hAnsi="Times New Roman" w:eastAsia="宋体"/>
          <w:sz w:val="24"/>
        </w:rPr>
        <w:t xml:space="preserve">The idea that constitutional structure shapes institutions, not only through formal legal rules, but by altering expectations and relationships among government actors is hardly a novel insight. Justice Elena Kagan, then Professor Kagan, </w:t>
      </w:r>
      <w:hyperlink r:id="rId35">
        <w:r>
          <w:rPr>
            <w:rFonts w:ascii="Times New Roman" w:hAnsi="Times New Roman" w:eastAsia="宋体"/>
            <w:color w:val="0563C1"/>
            <w:sz w:val="24"/>
            <w:u w:val="single"/>
          </w:rPr>
          <w:t>famously argued</w:t>
        </w:r>
      </w:hyperlink>
      <w:r>
        <w:rPr>
          <w:rFonts w:ascii="Times New Roman" w:hAnsi="Times New Roman" w:eastAsia="宋体"/>
          <w:sz w:val="24"/>
        </w:rPr>
        <w:t xml:space="preserve"> that modern governance has increasingly become a system of “presidential administration,” where presidents influence agency policymaking, not only through appointments but also through centralized supervision, coordination, and political leadership. Presidents influence agency priorities by appointing commissioners, selecting the chair, coordinating policy through the White House, and exercising substantial influence over the executive branch’s regulatory agenda. What </w:t>
      </w:r>
      <w:r>
        <w:rPr>
          <w:rFonts w:ascii="Times New Roman" w:hAnsi="Times New Roman" w:eastAsia="宋体"/>
          <w:i/>
          <w:sz w:val="24"/>
        </w:rPr>
        <w:t>Slaughter</w:t>
      </w:r>
      <w:r>
        <w:rPr>
          <w:rFonts w:ascii="Times New Roman" w:hAnsi="Times New Roman" w:eastAsia="宋体"/>
          <w:sz w:val="24"/>
        </w:rPr>
        <w:t xml:space="preserve"> changes is the possibility of immediate presidential removal, which fundamentally strengthens the leverage available to the White House in shaping agency behavior.</w:t>
      </w:r>
    </w:p>
    <w:p>
      <w:pPr>
        <w:pStyle w:val="DocBody"/>
      </w:pPr>
      <w:r>
        <w:rPr>
          <w:rFonts w:ascii="Times New Roman" w:hAnsi="Times New Roman" w:eastAsia="宋体"/>
          <w:sz w:val="24"/>
        </w:rPr>
        <w:t>Commissioners have long sought to faithfully execute the laws entrusted to them. But government institutions respond to constitutional design. Commissioners deciding whether to initiate enforcement actions, promulgate rules, interpret ambiguous statutory provisions, authorize litigation positions, or assert federal authority over emerging technologies now do so knowing a president can remove them at will.</w:t>
      </w:r>
    </w:p>
    <w:p>
      <w:pPr>
        <w:pStyle w:val="DocBody"/>
      </w:pPr>
      <w:r>
        <w:rPr>
          <w:rFonts w:ascii="Times New Roman" w:hAnsi="Times New Roman" w:eastAsia="宋体"/>
          <w:sz w:val="24"/>
        </w:rPr>
        <w:t>That is particularly significant because the FTC exercises broad discretionary authority. Consumer protection law frequently requires the commission to interpret open-ended statutory concepts such as “unfair” and “deceptive” practices, determine enforcement priorities among competing policy objectives, and articulate the federal government’s position on emerging commercial practices. As presidential control increases, the commission may understand those discretionary judgments as part of implementing White House priorities rather than exercising the independent expert judgment that Congress originally envisioned when it created the agency.</w:t>
      </w:r>
    </w:p>
    <w:p>
      <w:pPr>
        <w:pStyle w:val="DocBody"/>
      </w:pPr>
      <w:r>
        <w:rPr>
          <w:rFonts w:ascii="Times New Roman" w:hAnsi="Times New Roman" w:eastAsia="宋体"/>
          <w:sz w:val="24"/>
        </w:rPr>
        <w:t>This transformation is unlikely to occur through dramatic public announcements or explicit declarations of loyalty to the president. Instead, the subtleties of the FTC’s post-</w:t>
      </w:r>
      <w:r>
        <w:rPr>
          <w:rFonts w:ascii="Times New Roman" w:hAnsi="Times New Roman" w:eastAsia="宋体"/>
          <w:i/>
          <w:sz w:val="24"/>
        </w:rPr>
        <w:t>Slaughter</w:t>
      </w:r>
      <w:r>
        <w:rPr>
          <w:rFonts w:ascii="Times New Roman" w:hAnsi="Times New Roman" w:eastAsia="宋体"/>
          <w:sz w:val="24"/>
        </w:rPr>
        <w:t xml:space="preserve"> evolution will likely emerge incrementally through enforcement priorities, statutory interpretations, litigation positions, and assertions of federal authority aligned with the White House. One only needs to look at the FTC’s recent approach to AI as an early opportunity to observe this institutional evolution in practice.</w:t>
      </w:r>
    </w:p>
    <w:p>
      <w:pPr>
        <w:pStyle w:val="DocBody"/>
      </w:pPr>
      <w:r>
        <w:rPr>
          <w:rFonts w:ascii="Times New Roman" w:hAnsi="Times New Roman" w:eastAsia="宋体"/>
          <w:b/>
          <w:sz w:val="24"/>
        </w:rPr>
        <w:t>The FTC Navigating Uncharted Territory With a Novel Technology</w:t>
      </w:r>
      <w:r>
        <w:rPr>
          <w:rFonts w:ascii="Times New Roman" w:hAnsi="Times New Roman" w:eastAsia="宋体"/>
          <w:sz w:val="24"/>
        </w:rPr>
        <w:t xml:space="preserve"> The institutional consequences of </w:t>
      </w:r>
      <w:r>
        <w:rPr>
          <w:rFonts w:ascii="Times New Roman" w:hAnsi="Times New Roman" w:eastAsia="宋体"/>
          <w:i/>
          <w:sz w:val="24"/>
        </w:rPr>
        <w:t>Trump v. Slaughter</w:t>
      </w:r>
      <w:r>
        <w:rPr>
          <w:rFonts w:ascii="Times New Roman" w:hAnsi="Times New Roman" w:eastAsia="宋体"/>
          <w:sz w:val="24"/>
        </w:rPr>
        <w:t xml:space="preserve"> are likely to be most significant in areas where Congress has enacted broad statutory standards but has not detailed regulatory frameworks. Artificial intelligence is perhaps the clearest example. Despite extensive public debate, Congress has yet to enact a comprehensive federal statute governing AI. In that legislative vacuum, existing agencies have become the federal government’s primary AI regulators.</w:t>
      </w:r>
    </w:p>
    <w:p>
      <w:pPr>
        <w:pStyle w:val="DocBody"/>
      </w:pPr>
      <w:r>
        <w:rPr>
          <w:rFonts w:ascii="Times New Roman" w:hAnsi="Times New Roman" w:eastAsia="宋体"/>
          <w:sz w:val="24"/>
        </w:rPr>
        <w:t xml:space="preserve">The FTC’s central role stems from </w:t>
      </w:r>
      <w:hyperlink r:id="rId36">
        <w:r>
          <w:rPr>
            <w:rFonts w:ascii="Times New Roman" w:hAnsi="Times New Roman" w:eastAsia="宋体"/>
            <w:color w:val="0563C1"/>
            <w:sz w:val="24"/>
            <w:u w:val="single"/>
          </w:rPr>
          <w:t>Section 5</w:t>
        </w:r>
      </w:hyperlink>
      <w:r>
        <w:rPr>
          <w:rFonts w:ascii="Times New Roman" w:hAnsi="Times New Roman" w:eastAsia="宋体"/>
          <w:sz w:val="24"/>
        </w:rPr>
        <w:t xml:space="preserve"> of the Federal Trade Commission Act, which prohibits “unfair or deceptive acts or practices in or affecting commerce.” Unlike highly prescriptive regulatory statutes, Section 5 delegates substantial discretion to the commission to determine what constitutes unfairness or deception. The FTC has long exercised that authority to address novel technologies as they emerge, developing consumer protection principles incrementally through enforcement actions, policy statements, and administrative guidance.</w:t>
      </w:r>
    </w:p>
    <w:p>
      <w:pPr>
        <w:pStyle w:val="DocBody"/>
      </w:pPr>
      <w:r>
        <w:rPr>
          <w:rFonts w:ascii="Times New Roman" w:hAnsi="Times New Roman" w:eastAsia="宋体"/>
          <w:sz w:val="24"/>
        </w:rPr>
        <w:t>Artificial intelligence magnifies that discretion. AI systems raise questions that frequently cannot be resolved by straightforward statutory interpretation alone. When should an AI company’s representations about accuracy, reliability, or safety become actionable deception? When do design choices that increase foreseeable risks to consumers constitute unfair practices? What disclosures adequately inform consumers about automated decision-making? How should regulators evaluate AI systems that continually evolve after deployment? These questions require judgments about technology, economics, consumer expectations, and public policy that Congress has yet to address.</w:t>
      </w:r>
    </w:p>
    <w:p>
      <w:pPr>
        <w:pStyle w:val="DocBody"/>
      </w:pPr>
      <w:r>
        <w:rPr>
          <w:rFonts w:ascii="Times New Roman" w:hAnsi="Times New Roman" w:eastAsia="宋体"/>
          <w:sz w:val="24"/>
        </w:rPr>
        <w:t>The commission has already demonstrated its role in regulating AI and tech companies. In the previously published, since deleted, FTC blog post “</w:t>
      </w:r>
      <w:hyperlink r:id="rId37">
        <w:r>
          <w:rPr>
            <w:rFonts w:ascii="Times New Roman" w:hAnsi="Times New Roman" w:eastAsia="宋体"/>
            <w:color w:val="0563C1"/>
            <w:sz w:val="24"/>
            <w:u w:val="single"/>
          </w:rPr>
          <w:t>Keep Your AI Claims in Check</w:t>
        </w:r>
      </w:hyperlink>
      <w:r>
        <w:rPr>
          <w:rFonts w:ascii="Times New Roman" w:hAnsi="Times New Roman" w:eastAsia="宋体"/>
          <w:sz w:val="24"/>
        </w:rPr>
        <w:t xml:space="preserve">,”the agency flagged that some AI advertising could be exaggerating what products can do. In another since deleted guidance, “Aiming for Truth, Fairness, and Equity in Your Company’s Use of AI,” the FTC has warned companies that </w:t>
      </w:r>
      <w:hyperlink r:id="rId38">
        <w:r>
          <w:rPr>
            <w:rFonts w:ascii="Times New Roman" w:hAnsi="Times New Roman" w:eastAsia="宋体"/>
            <w:color w:val="0563C1"/>
            <w:sz w:val="24"/>
            <w:u w:val="single"/>
          </w:rPr>
          <w:t>traditional consumer protection principles apply fully to AI systems</w:t>
        </w:r>
      </w:hyperlink>
      <w:r>
        <w:rPr>
          <w:rFonts w:ascii="Times New Roman" w:hAnsi="Times New Roman" w:eastAsia="宋体"/>
          <w:sz w:val="24"/>
        </w:rPr>
        <w:t xml:space="preserve">. The commission has likewise pursued enforcement actions involving allegedly </w:t>
      </w:r>
      <w:hyperlink r:id="rId39">
        <w:r>
          <w:rPr>
            <w:rFonts w:ascii="Times New Roman" w:hAnsi="Times New Roman" w:eastAsia="宋体"/>
            <w:color w:val="0563C1"/>
            <w:sz w:val="24"/>
            <w:u w:val="single"/>
          </w:rPr>
          <w:t>deceptive</w:t>
        </w:r>
      </w:hyperlink>
      <w:r>
        <w:rPr>
          <w:rFonts w:ascii="Times New Roman" w:hAnsi="Times New Roman" w:eastAsia="宋体"/>
          <w:sz w:val="24"/>
        </w:rPr>
        <w:t xml:space="preserve"> AI claims, issued a </w:t>
      </w:r>
      <w:hyperlink r:id="rId40">
        <w:r>
          <w:rPr>
            <w:rFonts w:ascii="Times New Roman" w:hAnsi="Times New Roman" w:eastAsia="宋体"/>
            <w:color w:val="0563C1"/>
            <w:sz w:val="24"/>
            <w:u w:val="single"/>
          </w:rPr>
          <w:t>report on commercial surveillance</w:t>
        </w:r>
      </w:hyperlink>
      <w:r>
        <w:rPr>
          <w:rFonts w:ascii="Times New Roman" w:hAnsi="Times New Roman" w:eastAsia="宋体"/>
          <w:sz w:val="24"/>
        </w:rPr>
        <w:t xml:space="preserve">, and issued rules on </w:t>
      </w:r>
      <w:hyperlink r:id="rId41">
        <w:r>
          <w:rPr>
            <w:rFonts w:ascii="Times New Roman" w:hAnsi="Times New Roman" w:eastAsia="宋体"/>
            <w:color w:val="0563C1"/>
            <w:sz w:val="24"/>
            <w:u w:val="single"/>
          </w:rPr>
          <w:t>negative options</w:t>
        </w:r>
      </w:hyperlink>
      <w:r>
        <w:rPr>
          <w:rFonts w:ascii="Times New Roman" w:hAnsi="Times New Roman" w:eastAsia="宋体"/>
          <w:sz w:val="24"/>
        </w:rPr>
        <w:t>.</w:t>
      </w:r>
    </w:p>
    <w:p>
      <w:pPr>
        <w:pStyle w:val="DocBody"/>
      </w:pPr>
      <w:r>
        <w:rPr>
          <w:rFonts w:ascii="Times New Roman" w:hAnsi="Times New Roman" w:eastAsia="宋体"/>
          <w:sz w:val="24"/>
        </w:rPr>
        <w:t>The breadth of this authority reflects both the strengths and limitations of Section 5. Its flexible standards allow the commission to respond rapidly to technological change without waiting for Congress to enact highly specific legislation. The commission must continually interpret open-ended statutory concepts against technologies Congress never specifically contemplated.</w:t>
      </w:r>
    </w:p>
    <w:p>
      <w:pPr>
        <w:pStyle w:val="DocBody"/>
      </w:pPr>
      <w:r>
        <w:rPr>
          <w:rFonts w:ascii="Times New Roman" w:hAnsi="Times New Roman" w:eastAsia="宋体"/>
          <w:i/>
          <w:sz w:val="24"/>
        </w:rPr>
        <w:t>Trump v. Slaughter</w:t>
      </w:r>
      <w:r>
        <w:rPr>
          <w:rFonts w:ascii="Times New Roman" w:hAnsi="Times New Roman" w:eastAsia="宋体"/>
          <w:sz w:val="24"/>
        </w:rPr>
        <w:t xml:space="preserve"> therefore arrives at a uniquely consequential moment. As the commission confronts AI-related questions that Congress has not answered, the institutional consequences of greater presidential control are significant. Artificial intelligence has become one of the administration’s highest policy priorities reflected in its flurry of AI executive orders and the appointment of senior advisers with long-standing ties to the technology industry. At the same time, many of the nation’s largest technology companies and their executives have become increasingly active participants in national politics. Those relationships make the perceived independence of the FTC even more important and begs the question, will one of the nation’s principal AI regulators command the public’s confidence as experts exercising independent judgment, or will the FTC increasingly be viewed as an instrument for advancing presidential AI policy?</w:t>
      </w:r>
    </w:p>
    <w:p>
      <w:pPr>
        <w:pStyle w:val="DocH1"/>
      </w:pPr>
      <w:r>
        <w:rPr>
          <w:rFonts w:ascii="Times New Roman" w:hAnsi="Times New Roman" w:eastAsia="宋体"/>
          <w:sz w:val="24"/>
        </w:rPr>
        <w:t>The FTC’s New Theory of Preemption</w:t>
      </w:r>
    </w:p>
    <w:p>
      <w:pPr>
        <w:pStyle w:val="DocBody"/>
      </w:pPr>
      <w:r>
        <w:rPr>
          <w:rFonts w:ascii="Times New Roman" w:hAnsi="Times New Roman" w:eastAsia="宋体"/>
          <w:sz w:val="24"/>
        </w:rPr>
        <w:t xml:space="preserve">The Federal Trade Commission’s recently proposed AI Policy Statement offers one of the first concrete illustrations of how the commission’s institutional posture may be changing after </w:t>
      </w:r>
      <w:r>
        <w:rPr>
          <w:rFonts w:ascii="Times New Roman" w:hAnsi="Times New Roman" w:eastAsia="宋体"/>
          <w:i/>
          <w:sz w:val="24"/>
        </w:rPr>
        <w:t>Trump v. Slaughter</w:t>
      </w:r>
      <w:r>
        <w:rPr>
          <w:rFonts w:ascii="Times New Roman" w:hAnsi="Times New Roman" w:eastAsia="宋体"/>
          <w:sz w:val="24"/>
        </w:rPr>
        <w:t xml:space="preserve">. At first glance, the document appears to be another agency policy statement explaining how Section 5 of the FTC Act applies to artificial intelligence. Read more carefully, however, it advances a considerably broader conception of the commission’s authority. Most notably, the FTC </w:t>
      </w:r>
      <w:hyperlink r:id="rId16">
        <w:r>
          <w:rPr>
            <w:rFonts w:ascii="Times New Roman" w:hAnsi="Times New Roman" w:eastAsia="宋体"/>
            <w:color w:val="0563C1"/>
            <w:sz w:val="24"/>
            <w:u w:val="single"/>
          </w:rPr>
          <w:t>suggests that Section 5 may preempt certain state AI laws</w:t>
        </w:r>
      </w:hyperlink>
      <w:r>
        <w:rPr>
          <w:rFonts w:ascii="Times New Roman" w:hAnsi="Times New Roman" w:eastAsia="宋体"/>
          <w:sz w:val="24"/>
        </w:rPr>
        <w:t>, despite acknowledging that “the FTC Act does not expressly preempt state law.” That assertion reflects an important shift in how the commission appears to understand its own institutional role.</w:t>
      </w:r>
    </w:p>
    <w:p>
      <w:pPr>
        <w:pStyle w:val="DocBody"/>
      </w:pPr>
      <w:r>
        <w:rPr>
          <w:rFonts w:ascii="Times New Roman" w:hAnsi="Times New Roman" w:eastAsia="宋体"/>
          <w:sz w:val="24"/>
        </w:rPr>
        <w:t xml:space="preserve">Historically, the FTC has operated alongside, not in place of, state consumer protection regimes. State attorneys general routinely enforce state unfair and deceptive acts and practices statutes while coordinating with federal regulators. Congress itself has repeatedly preserved this complementary framework. </w:t>
      </w:r>
      <w:hyperlink r:id="rId42">
        <w:r>
          <w:rPr>
            <w:rFonts w:ascii="Times New Roman" w:hAnsi="Times New Roman" w:eastAsia="宋体"/>
            <w:color w:val="0563C1"/>
            <w:sz w:val="24"/>
            <w:u w:val="single"/>
          </w:rPr>
          <w:t>Section 19(e)</w:t>
        </w:r>
      </w:hyperlink>
      <w:r>
        <w:rPr>
          <w:rFonts w:ascii="Times New Roman" w:hAnsi="Times New Roman" w:eastAsia="宋体"/>
          <w:sz w:val="24"/>
        </w:rPr>
        <w:t xml:space="preserve"> of the FTC Act provides that federal remedies are “in addition to, and not in lieu of, any other remedy or right of action provided by State or Federal law.” Likewise, the commission has historically recognized that its own rules generally do not displace more protective state consumer protection laws. For example, the FTC’s [Business Opportunity Rule](https://www.federalexpressly provides that the commission “does not intend to preempt the business opportunity sales practices laws of any state” except in the event of a direct conflict and further recognizes that state laws affording “equal or greater protection” remain fully operative. These provisions reflect a long-standing understanding that federal consumer protection law ordinarily establishes a floor rather than an exclusive regulatory regime.</w:t>
      </w:r>
    </w:p>
    <w:p>
      <w:pPr>
        <w:pStyle w:val="DocBody"/>
      </w:pPr>
      <w:r>
        <w:rPr>
          <w:rFonts w:ascii="Times New Roman" w:hAnsi="Times New Roman" w:eastAsia="宋体"/>
          <w:sz w:val="24"/>
        </w:rPr>
        <w:t>The AI Policy Statement signals a departure from that historical posture. Although acknowledging that Congress did not expressly preempt state AI regulation, the commission nevertheless suggests that Section 5 may impliedly displace certain state AI laws when those laws interfere with the federal consumer protection framework. Whether that interpretation ultimately persuades the courts is an important question. Yet the commission appears willing to advance an interpretation of its authority that would significantly reshape the traditional relationship between federal and state consumer protection law.</w:t>
      </w:r>
    </w:p>
    <w:p>
      <w:pPr>
        <w:pStyle w:val="DocBody"/>
      </w:pPr>
      <w:r>
        <w:rPr>
          <w:rFonts w:ascii="Times New Roman" w:hAnsi="Times New Roman" w:eastAsia="宋体"/>
          <w:sz w:val="24"/>
        </w:rPr>
        <w:t xml:space="preserve">That is no small claim. Preemption doctrine has long rested on the principle that </w:t>
      </w:r>
      <w:hyperlink r:id="rId43">
        <w:r>
          <w:rPr>
            <w:rFonts w:ascii="Times New Roman" w:hAnsi="Times New Roman" w:eastAsia="宋体"/>
            <w:color w:val="0563C1"/>
            <w:sz w:val="24"/>
            <w:u w:val="single"/>
          </w:rPr>
          <w:t>Congress determines</w:t>
        </w:r>
      </w:hyperlink>
      <w:r>
        <w:rPr>
          <w:rFonts w:ascii="Times New Roman" w:hAnsi="Times New Roman" w:eastAsia="宋体"/>
          <w:sz w:val="24"/>
        </w:rPr>
        <w:t xml:space="preserve"> when federal law displaces state police powers. Because regulation of health, safety, consumer protection, and fraud has historically fallen within the states’ traditional police powers, courts ordinarily begin with a presumption against preemption unless Congress has clearly indicated otherwise. In </w:t>
      </w:r>
      <w:r>
        <w:rPr>
          <w:rFonts w:ascii="Times New Roman" w:hAnsi="Times New Roman" w:eastAsia="宋体"/>
          <w:i/>
          <w:sz w:val="24"/>
        </w:rPr>
        <w:t>Rice v. Santa Fe Elevator Corp.</w:t>
      </w:r>
      <w:r>
        <w:rPr>
          <w:rFonts w:ascii="Times New Roman" w:hAnsi="Times New Roman" w:eastAsia="宋体"/>
          <w:sz w:val="24"/>
        </w:rPr>
        <w:t xml:space="preserve"> , the </w:t>
      </w:r>
      <w:hyperlink r:id="rId44">
        <w:r>
          <w:rPr>
            <w:rFonts w:ascii="Times New Roman" w:hAnsi="Times New Roman" w:eastAsia="宋体"/>
            <w:color w:val="0563C1"/>
            <w:sz w:val="24"/>
            <w:u w:val="single"/>
          </w:rPr>
          <w:t>Supreme Court explained</w:t>
        </w:r>
      </w:hyperlink>
      <w:r>
        <w:rPr>
          <w:rFonts w:ascii="Times New Roman" w:hAnsi="Times New Roman" w:eastAsia="宋体"/>
          <w:sz w:val="24"/>
        </w:rPr>
        <w:t xml:space="preserve"> that Congress’s intent to preempt state law must be “clear and manifest” where legislation touches fields traditionally occupied by the states. More recently, in </w:t>
      </w:r>
      <w:r>
        <w:rPr>
          <w:rFonts w:ascii="Times New Roman" w:hAnsi="Times New Roman" w:eastAsia="宋体"/>
          <w:i/>
          <w:sz w:val="24"/>
        </w:rPr>
        <w:t>Medtronic, Inc. v. Lohr</w:t>
      </w:r>
      <w:r>
        <w:rPr>
          <w:rFonts w:ascii="Times New Roman" w:hAnsi="Times New Roman" w:eastAsia="宋体"/>
          <w:sz w:val="24"/>
        </w:rPr>
        <w:t xml:space="preserve"> , the </w:t>
      </w:r>
      <w:hyperlink r:id="rId45">
        <w:r>
          <w:rPr>
            <w:rFonts w:ascii="Times New Roman" w:hAnsi="Times New Roman" w:eastAsia="宋体"/>
            <w:color w:val="0563C1"/>
            <w:sz w:val="24"/>
            <w:u w:val="single"/>
          </w:rPr>
          <w:t>Court reiterated</w:t>
        </w:r>
      </w:hyperlink>
      <w:r>
        <w:rPr>
          <w:rFonts w:ascii="Times New Roman" w:hAnsi="Times New Roman" w:eastAsia="宋体"/>
          <w:sz w:val="24"/>
        </w:rPr>
        <w:t xml:space="preserve"> that federal statutes should not lightly be read to displace complementary state consumer protections absent clear congressional direction. And in </w:t>
      </w:r>
      <w:r>
        <w:rPr>
          <w:rFonts w:ascii="Times New Roman" w:hAnsi="Times New Roman" w:eastAsia="宋体"/>
          <w:i/>
          <w:sz w:val="24"/>
        </w:rPr>
        <w:t>Wyeth v. Levine</w:t>
      </w:r>
      <w:r>
        <w:rPr>
          <w:rFonts w:ascii="Times New Roman" w:hAnsi="Times New Roman" w:eastAsia="宋体"/>
          <w:sz w:val="24"/>
        </w:rPr>
        <w:t xml:space="preserve"> , the </w:t>
      </w:r>
      <w:hyperlink r:id="rId46">
        <w:r>
          <w:rPr>
            <w:rFonts w:ascii="Times New Roman" w:hAnsi="Times New Roman" w:eastAsia="宋体"/>
            <w:color w:val="0563C1"/>
            <w:sz w:val="24"/>
            <w:u w:val="single"/>
          </w:rPr>
          <w:t>Court emphasized</w:t>
        </w:r>
      </w:hyperlink>
      <w:r>
        <w:rPr>
          <w:rFonts w:ascii="Times New Roman" w:hAnsi="Times New Roman" w:eastAsia="宋体"/>
          <w:sz w:val="24"/>
        </w:rPr>
        <w:t xml:space="preserve"> that “agencies have no special authority to pronounce on pre-emption absent delegation by Congress.” These cases underscore the broader constitutional principle that decisions about the allocation of regulatory authority between the federal government and the states ordinarily originate with Congress. The commission’s policy statement therefore represents an expansive reading of Section 5.</w:t>
      </w:r>
    </w:p>
    <w:p>
      <w:pPr>
        <w:pStyle w:val="DocBody"/>
      </w:pPr>
      <w:r>
        <w:rPr>
          <w:rFonts w:ascii="Times New Roman" w:hAnsi="Times New Roman" w:eastAsia="宋体"/>
          <w:sz w:val="24"/>
        </w:rPr>
        <w:t>When viewed in isolation, the memorandum might simply represent an aggressive litigation position. But one must consider the broader context of the administration’s AI agenda. The policy statement closely parallels the administration’s AI Action Plan, which calls for a more unified national approach to artificial intelligence. It also parallels the posture found in Executive Order 14303, “Preventing Woke AI in the Federal Government,” which seeks to shape how AI systems operate within the federal government. More broadly, administration officials have repeatedly criticized the proliferation of state AI legislation and argued that a patchwork of state requirements threatens innovation and national competitiveness. The FTC’s memorandum advances this same objective this time, through a previously independent commission.</w:t>
      </w:r>
    </w:p>
    <w:p>
      <w:pPr>
        <w:pStyle w:val="DocBody"/>
      </w:pPr>
      <w:r>
        <w:rPr>
          <w:rFonts w:ascii="Times New Roman" w:hAnsi="Times New Roman" w:eastAsia="宋体"/>
          <w:i/>
          <w:sz w:val="24"/>
        </w:rPr>
        <w:t>Trump v. Slaughter</w:t>
      </w:r>
      <w:r>
        <w:rPr>
          <w:rFonts w:ascii="Times New Roman" w:hAnsi="Times New Roman" w:eastAsia="宋体"/>
          <w:sz w:val="24"/>
        </w:rPr>
        <w:t xml:space="preserve"> changes the constitutional environment in which these kinds of assertions occur. When commissioners know they ultimately serve at the pleasure of the president, greater alignment between agency interpretations and presidential policy priorities becomes more likely as this new constitutional structure encourages coordination rather than independence. The AI Policy Statement’s significance is the FTC’s evolving conception of itself. It suggests an agency willing to view itself as establishing a nationally uniform regulatory framework for AI by not only enforcing federal law but also determining when state law must be superseded.</w:t>
      </w:r>
    </w:p>
    <w:p>
      <w:pPr>
        <w:pStyle w:val="DocH1"/>
      </w:pPr>
      <w:r>
        <w:rPr>
          <w:rFonts w:ascii="Times New Roman" w:hAnsi="Times New Roman" w:eastAsia="宋体"/>
          <w:sz w:val="24"/>
        </w:rPr>
        <w:t>The Future FTC</w:t>
      </w:r>
    </w:p>
    <w:p>
      <w:pPr>
        <w:pStyle w:val="DocBody"/>
      </w:pPr>
      <w:r>
        <w:rPr>
          <w:rFonts w:ascii="Times New Roman" w:hAnsi="Times New Roman" w:eastAsia="宋体"/>
          <w:sz w:val="24"/>
        </w:rPr>
        <w:t>The constitutional structure the Court has created will remain in place long after this memorandum is revised, withdrawn, or superseded. Every future president, regardless of political party, will inherit a Federal Trade Commission that operates under a fundamentally different set of constitutional assumptions than existed for nearly a century. The institutional consequences of that change are likely to shape the commission’s approach to consumer regulation for years to come.</w:t>
      </w:r>
    </w:p>
    <w:p>
      <w:pPr>
        <w:pStyle w:val="DocBody"/>
      </w:pPr>
      <w:r>
        <w:rPr>
          <w:rFonts w:ascii="Times New Roman" w:hAnsi="Times New Roman" w:eastAsia="宋体"/>
          <w:sz w:val="24"/>
        </w:rPr>
        <w:t>Artificial intelligence illustrates the challenge because Congress has largely delegated its governance to agencies applying broad, preexisting statutes. Yet AI is unlikely to be the only area in which these dynamics emerge. As new technologies continue to outpace legislation, future commissions will confront increasingly novel questions involving biometric surveillance, autonomous systems, algorithmic decision-making, digital markets, commercial surveillance, neurotechnology, and technologies not yet imagined. In each instance, the FTC will be asked to determine how far Section 5 extends and what constitutes an unfair or deceptive practice in commercial settings that Congress never specifically contemplated.</w:t>
      </w:r>
    </w:p>
    <w:p>
      <w:pPr>
        <w:pStyle w:val="DocBody"/>
      </w:pPr>
      <w:r>
        <w:rPr>
          <w:rFonts w:ascii="Times New Roman" w:hAnsi="Times New Roman" w:eastAsia="宋体"/>
          <w:sz w:val="24"/>
        </w:rPr>
        <w:t xml:space="preserve">Those judgments will inevitably require substantial policymaking discretion. As </w:t>
      </w:r>
      <w:r>
        <w:rPr>
          <w:rFonts w:ascii="Times New Roman" w:hAnsi="Times New Roman" w:eastAsia="宋体"/>
          <w:i/>
          <w:sz w:val="24"/>
        </w:rPr>
        <w:t>Slaughter</w:t>
      </w:r>
      <w:r>
        <w:rPr>
          <w:rFonts w:ascii="Times New Roman" w:hAnsi="Times New Roman" w:eastAsia="宋体"/>
          <w:sz w:val="24"/>
        </w:rPr>
        <w:t xml:space="preserve"> strengthens presidential influence over the commission, future FTCs may become more willing to interpret Section 5 expansively, align enforcement priorities with broader presidential initiatives, advance nationally uniform approaches to technology regulation, and test the boundaries of federal authority in areas where Congress has spoken only in general terms. They may also increasingly assert positions that reshape the relationship between federal and state regulation, particularly where the White House views divergent state approaches as obstacles to White House priorities—especially national economic priorities.</w:t>
      </w:r>
    </w:p>
    <w:p>
      <w:pPr>
        <w:pStyle w:val="DocBody"/>
      </w:pPr>
      <w:r>
        <w:rPr>
          <w:rFonts w:ascii="Times New Roman" w:hAnsi="Times New Roman" w:eastAsia="宋体"/>
          <w:sz w:val="24"/>
        </w:rPr>
        <w:t xml:space="preserve">None of this suggests that future commissioners will abandon their professional obligations. Rather, the incentives created by </w:t>
      </w:r>
      <w:r>
        <w:rPr>
          <w:rFonts w:ascii="Times New Roman" w:hAnsi="Times New Roman" w:eastAsia="宋体"/>
          <w:i/>
          <w:sz w:val="24"/>
        </w:rPr>
        <w:t>Slaughter</w:t>
      </w:r>
      <w:r>
        <w:rPr>
          <w:rFonts w:ascii="Times New Roman" w:hAnsi="Times New Roman" w:eastAsia="宋体"/>
          <w:sz w:val="24"/>
        </w:rPr>
        <w:t xml:space="preserve"> encourage closer alignment between the commission and presidential policy priorities. The cumulative effect may be subtle at first. Over time, however, those incremental choices may collectively reshape expectations about what the FTC’s role is within the executive branch.</w:t>
      </w:r>
    </w:p>
    <w:p>
      <w:pPr>
        <w:pStyle w:val="DocBody"/>
      </w:pPr>
      <w:r>
        <w:rPr>
          <w:rFonts w:ascii="Times New Roman" w:hAnsi="Times New Roman" w:eastAsia="宋体"/>
          <w:sz w:val="24"/>
        </w:rPr>
        <w:t xml:space="preserve">At the outer bounds, a progressive FTC might pursue an expansive consumer protection agenda while preempting state laws it views as insufficiently protective. Conversely, a conservative FTC could increasingly align with industry preferences, declining enforcement or broadly invoking preemption where it sees fit. Although these outcomes remain contingent on future administrations and judicial developments, </w:t>
      </w:r>
      <w:r>
        <w:rPr>
          <w:rFonts w:ascii="Times New Roman" w:hAnsi="Times New Roman" w:eastAsia="宋体"/>
          <w:i/>
          <w:sz w:val="24"/>
        </w:rPr>
        <w:t>Slaughter</w:t>
      </w:r>
      <w:r>
        <w:rPr>
          <w:rFonts w:ascii="Times New Roman" w:hAnsi="Times New Roman" w:eastAsia="宋体"/>
          <w:sz w:val="24"/>
        </w:rPr>
        <w:t xml:space="preserve"> makes them materially more plausible.</w:t>
      </w:r>
    </w:p>
    <w:p>
      <w:pPr>
        <w:pStyle w:val="DocBody"/>
      </w:pPr>
      <w:r>
        <w:rPr>
          <w:rFonts w:ascii="Times New Roman" w:hAnsi="Times New Roman" w:eastAsia="宋体"/>
          <w:sz w:val="24"/>
        </w:rPr>
        <w:t xml:space="preserve">*** * *** The debate over </w:t>
      </w:r>
      <w:r>
        <w:rPr>
          <w:rFonts w:ascii="Times New Roman" w:hAnsi="Times New Roman" w:eastAsia="宋体"/>
          <w:i/>
          <w:sz w:val="24"/>
        </w:rPr>
        <w:t>Trump v. Slaughter</w:t>
      </w:r>
      <w:r>
        <w:rPr>
          <w:rFonts w:ascii="Times New Roman" w:hAnsi="Times New Roman" w:eastAsia="宋体"/>
          <w:sz w:val="24"/>
        </w:rPr>
        <w:t xml:space="preserve"> should not end with the scope of presidential removal power. It should instead turn to the institutions that must now discharge their statutory responsibilities within a constitutional framework that has been fundamentally reconfigured. If the FTC’s AI Policy Statement is an early indication of what lies ahead, then the most enduring legacy of </w:t>
      </w:r>
      <w:r>
        <w:rPr>
          <w:rFonts w:ascii="Times New Roman" w:hAnsi="Times New Roman" w:eastAsia="宋体"/>
          <w:i/>
          <w:sz w:val="24"/>
        </w:rPr>
        <w:t>Slaughter</w:t>
      </w:r>
      <w:r>
        <w:rPr>
          <w:rFonts w:ascii="Times New Roman" w:hAnsi="Times New Roman" w:eastAsia="宋体"/>
          <w:sz w:val="24"/>
        </w:rPr>
        <w:t xml:space="preserve"> will be the gradual transformation of one of the federal government’s foremost expert commissions into an institution whose independence is measured against presidential priorities. As AI and other emerging technologies become defining questions of 21st century governance, that transformation challenges whether the United States still intends to govern its most consequential technologies through independent expert judgment, or whether those decisions will increasingly rise and fall with the priorities of each successive administration. The answer may shape not only the future of the administrative state but also the character of American democracy in the age of AI.</w:t>
      </w:r>
    </w:p>
    <w:p>
      <w:pPr>
        <w:pStyle w:val="DocBody"/>
        <w:ind w:left="1106"/>
      </w:pPr>
      <w:r>
        <w:rPr>
          <w:rFonts w:ascii="Times New Roman" w:hAnsi="Times New Roman" w:eastAsia="宋体"/>
          <w:sz w:val="24"/>
        </w:rPr>
        <w:t>Topics:</w:t>
      </w:r>
    </w:p>
    <w:p>
      <w:pPr>
        <w:pStyle w:val="DocBody"/>
      </w:pPr>
      <w:hyperlink r:id="rId47">
        <w:r>
          <w:rPr>
            <w:rFonts w:ascii="Times New Roman" w:hAnsi="Times New Roman" w:eastAsia="宋体"/>
            <w:color w:val="0563C1"/>
            <w:sz w:val="24"/>
            <w:u w:val="single"/>
          </w:rPr>
          <w:t>Courts &amp; Litigation</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Cybersecurity &amp; Tech</w:t>
        </w:r>
      </w:hyperlink>
      <w:r>
        <w:rPr>
          <w:rFonts w:ascii="Times New Roman" w:hAnsi="Times New Roman" w:eastAsia="宋体"/>
          <w:sz w:val="24"/>
        </w:rPr>
        <w:t xml:space="preserve"> </w:t>
      </w:r>
      <w:hyperlink r:id="rId49">
        <w:r>
          <w:rPr>
            <w:rFonts w:ascii="Times New Roman" w:hAnsi="Times New Roman" w:eastAsia="宋体"/>
            <w:color w:val="0563C1"/>
            <w:sz w:val="24"/>
            <w:u w:val="single"/>
          </w:rPr>
          <w:t>Executive Branch</w:t>
        </w:r>
      </w:hyperlink>
    </w:p>
    <w:p>
      <w:pPr>
        <w:pStyle w:val="DocBody"/>
      </w:pPr>
      <w:hyperlink r:id="rId50">
        <w:r>
          <w:rPr>
            <w:rFonts w:ascii="Times New Roman" w:hAnsi="Times New Roman" w:eastAsia="宋体"/>
            <w:color w:val="0563C1"/>
            <w:sz w:val="24"/>
            <w:u w:val="single"/>
          </w:rPr>
          <w:t xml:space="preserve"> Back to Top </w:t>
        </w:r>
      </w:hyperlink>
    </w:p>
    <w:p>
      <w:pPr>
        <w:jc w:val="center"/>
      </w:pPr>
      <w:r>
        <w:drawing>
          <wp:inline xmlns:a="http://schemas.openxmlformats.org/drawingml/2006/main" xmlns:pic="http://schemas.openxmlformats.org/drawingml/2006/picture">
            <wp:extent cx="5400000" cy="5400000"/>
            <wp:docPr id="2" name="Picture 2"/>
            <wp:cNvGraphicFramePr>
              <a:graphicFrameLocks noChangeAspect="1"/>
            </wp:cNvGraphicFramePr>
            <a:graphic>
              <a:graphicData uri="http://schemas.openxmlformats.org/drawingml/2006/picture">
                <pic:pic>
                  <pic:nvPicPr>
                    <pic:cNvPr id="0" name="174c56f48c8a480f.jpeg"/>
                    <pic:cNvPicPr/>
                  </pic:nvPicPr>
                  <pic:blipFill>
                    <a:blip r:embed="rId12"/>
                    <a:stretch>
                      <a:fillRect/>
                    </a:stretch>
                  </pic:blipFill>
                  <pic:spPr>
                    <a:xfrm>
                      <a:off x="0" y="0"/>
                      <a:ext cx="5400000" cy="5400000"/>
                    </a:xfrm>
                    <a:prstGeom prst="rect"/>
                  </pic:spPr>
                </pic:pic>
              </a:graphicData>
            </a:graphic>
          </wp:inline>
        </w:drawing>
      </w:r>
    </w:p>
    <w:p>
      <w:pPr>
        <w:pStyle w:val="DocCaption"/>
      </w:pPr>
      <w:r>
        <w:t>图2  J.B.  Branch</w:t>
      </w:r>
    </w:p>
    <w:p>
      <w:pPr>
        <w:pStyle w:val="DocH1"/>
      </w:pPr>
      <w:hyperlink r:id="rId13">
        <w:r>
          <w:rPr>
            <w:rFonts w:ascii="Times New Roman" w:hAnsi="Times New Roman" w:eastAsia="宋体"/>
            <w:color w:val="0563C1"/>
            <w:sz w:val="24"/>
            <w:u w:val="single"/>
          </w:rPr>
          <w:t>J.B. Branch</w:t>
        </w:r>
      </w:hyperlink>
    </w:p>
    <w:p>
      <w:pPr>
        <w:pStyle w:val="DocBody"/>
      </w:pPr>
      <w:hyperlink r:id="rId13">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J.B. Branch is the Big Tech accountability advocate at Public Citizen, leading work on AI accountability, privacy, tech safety, platform oversight, and child online protections. A nationally recognized expert on AI governance and civil liberties, he has advised national and international lawmakers. J.B. previously advised the Department of Justice and helped build Louisiana’s automated expungement system. He holds degrees from Penn State, Georgetown Law, and Harvard Kennedy School.</w:t>
      </w:r>
    </w:p>
    <w:p>
      <w:pPr>
        <w:pStyle w:val="DocBody"/>
      </w:pPr>
      <w:r>
        <w:rPr>
          <w:rFonts w:ascii="Times New Roman" w:hAnsi="Times New Roman" w:eastAsia="宋体"/>
          <w:sz w:val="24"/>
        </w:rPr>
        <w:t>}</w:t>
      </w:r>
    </w:p>
    <w:p>
      <w:pPr>
        <w:pStyle w:val="DocH1"/>
      </w:pPr>
      <w:r>
        <w:rPr>
          <w:rFonts w:ascii="Times New Roman" w:hAnsi="Times New Roman" w:eastAsia="宋体"/>
          <w:sz w:val="24"/>
        </w:rPr>
        <w:t>More Articles</w:t>
      </w:r>
    </w:p>
    <w:p>
      <w:pPr>
        <w:jc w:val="center"/>
      </w:pPr>
      <w:r>
        <w:rPr>
          <w:rFonts w:ascii="Times New Roman" w:hAnsi="Times New Roman" w:eastAsia="宋体"/>
          <w:i/>
          <w:color w:val="595959"/>
          <w:sz w:val="21"/>
        </w:rPr>
        <w:t>［原图未能获取：https://www.lawfaremedia.org/article/the-federal-trade-commission-after-trump-v.-slaughter］</w:t>
      </w:r>
    </w:p>
    <w:p>
      <w:pPr>
        <w:pStyle w:val="DocH1"/>
      </w:pPr>
      <w:hyperlink r:id="rId51">
        <w:r>
          <w:rPr>
            <w:rFonts w:ascii="Times New Roman" w:hAnsi="Times New Roman" w:eastAsia="宋体"/>
            <w:color w:val="0563C1"/>
            <w:sz w:val="24"/>
            <w:u w:val="single"/>
          </w:rPr>
          <w:t xml:space="preserve"> How Trump v. Slaughter Strengthens the Case for Third-Party AI Regulation </w:t>
        </w:r>
      </w:hyperlink>
    </w:p>
    <w:p>
      <w:pPr>
        <w:pStyle w:val="DocBody"/>
      </w:pPr>
      <w:hyperlink r:id="rId52">
        <w:r>
          <w:rPr>
            <w:rFonts w:ascii="Times New Roman" w:hAnsi="Times New Roman" w:eastAsia="宋体"/>
            <w:color w:val="0563C1"/>
            <w:sz w:val="24"/>
            <w:u w:val="single"/>
          </w:rPr>
          <w:t xml:space="preserve"> Daniel Wilf-Townsend </w:t>
        </w:r>
      </w:hyperlink>
    </w:p>
    <w:p>
      <w:pPr>
        <w:pStyle w:val="DocBody"/>
      </w:pPr>
      <w:r>
        <w:rPr>
          <w:rFonts w:ascii="Times New Roman" w:hAnsi="Times New Roman" w:eastAsia="宋体"/>
          <w:sz w:val="24"/>
        </w:rPr>
        <w:t>Jul 31, 2026 The recent decision takes off the table one of the most popular proposals for AI governance: an independent federal agency, free from a president’s whims.</w:t>
      </w:r>
    </w:p>
    <w:p>
      <w:pPr>
        <w:jc w:val="center"/>
      </w:pPr>
      <w:r>
        <w:rPr>
          <w:rFonts w:ascii="Times New Roman" w:hAnsi="Times New Roman" w:eastAsia="宋体"/>
          <w:i/>
          <w:color w:val="595959"/>
          <w:sz w:val="21"/>
        </w:rPr>
        <w:t>［原图未能获取：https://www.lawfaremedia.org/article/the-federal-trade-commission-after-trump-v.-slaughter］</w:t>
      </w:r>
    </w:p>
    <w:p>
      <w:pPr>
        <w:pStyle w:val="DocH1"/>
      </w:pPr>
      <w:hyperlink r:id="rId53">
        <w:r>
          <w:rPr>
            <w:rFonts w:ascii="Times New Roman" w:hAnsi="Times New Roman" w:eastAsia="宋体"/>
            <w:color w:val="0563C1"/>
            <w:sz w:val="24"/>
            <w:u w:val="single"/>
          </w:rPr>
          <w:t xml:space="preserve"> Rational Security: The “Happy FrAIday” Edition </w:t>
        </w:r>
      </w:hyperlink>
    </w:p>
    <w:p>
      <w:pPr>
        <w:pStyle w:val="DocBody"/>
      </w:pPr>
      <w:hyperlink r:id="rId54">
        <w:r>
          <w:rPr>
            <w:rFonts w:ascii="Times New Roman" w:hAnsi="Times New Roman" w:eastAsia="宋体"/>
            <w:color w:val="0563C1"/>
            <w:sz w:val="24"/>
            <w:u w:val="single"/>
          </w:rPr>
          <w:t xml:space="preserve"> Scott R. Anderson </w:t>
        </w:r>
      </w:hyperlink>
      <w:r>
        <w:rPr>
          <w:rFonts w:ascii="Times New Roman" w:hAnsi="Times New Roman" w:eastAsia="宋体"/>
          <w:sz w:val="24"/>
        </w:rPr>
        <w:t xml:space="preserve"> </w:t>
      </w:r>
      <w:hyperlink r:id="rId55">
        <w:r>
          <w:rPr>
            <w:rFonts w:ascii="Times New Roman" w:hAnsi="Times New Roman" w:eastAsia="宋体"/>
            <w:color w:val="0563C1"/>
            <w:sz w:val="24"/>
            <w:u w:val="single"/>
          </w:rPr>
          <w:t xml:space="preserve"> Kevin Frazier </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 xml:space="preserve"> Roger Parloff </w:t>
        </w:r>
      </w:hyperlink>
      <w:r>
        <w:rPr>
          <w:rFonts w:ascii="Times New Roman" w:hAnsi="Times New Roman" w:eastAsia="宋体"/>
          <w:sz w:val="24"/>
        </w:rPr>
        <w:t xml:space="preserve"> , +3 Jun 26, 2026 Scott Anderson sat down with his Lawfare colleagues Kevin Frazier, Roger Parloff, and Molly Roberts to talk through some of the week’s big news in AI.</w:t>
      </w:r>
    </w:p>
    <w:p>
      <w:pPr>
        <w:jc w:val="center"/>
      </w:pPr>
      <w:r>
        <w:rPr>
          <w:rFonts w:ascii="Times New Roman" w:hAnsi="Times New Roman" w:eastAsia="宋体"/>
          <w:i/>
          <w:color w:val="595959"/>
          <w:sz w:val="21"/>
        </w:rPr>
        <w:t>［原图未能获取：https://www.lawfaremedia.org/article/the-federal-trade-commission-after-trump-v.-slaughter］</w:t>
      </w:r>
    </w:p>
    <w:p>
      <w:pPr>
        <w:pStyle w:val="DocH1"/>
      </w:pPr>
      <w:hyperlink r:id="rId57">
        <w:r>
          <w:rPr>
            <w:rFonts w:ascii="Times New Roman" w:hAnsi="Times New Roman" w:eastAsia="宋体"/>
            <w:color w:val="0563C1"/>
            <w:sz w:val="24"/>
            <w:u w:val="single"/>
          </w:rPr>
          <w:t xml:space="preserve"> Lawfare Live: The Trials of the Trump Administration, May 29 </w:t>
        </w:r>
      </w:hyperlink>
    </w:p>
    <w:p>
      <w:pPr>
        <w:pStyle w:val="DocBody"/>
      </w:pPr>
      <w:hyperlink r:id="rId58">
        <w:r>
          <w:rPr>
            <w:rFonts w:ascii="Times New Roman" w:hAnsi="Times New Roman" w:eastAsia="宋体"/>
            <w:color w:val="0563C1"/>
            <w:sz w:val="24"/>
            <w:u w:val="single"/>
          </w:rPr>
          <w:t xml:space="preserve"> Benjamin Wittes </w:t>
        </w:r>
      </w:hyperlink>
      <w:r>
        <w:rPr>
          <w:rFonts w:ascii="Times New Roman" w:hAnsi="Times New Roman" w:eastAsia="宋体"/>
          <w:sz w:val="24"/>
        </w:rPr>
        <w:t xml:space="preserve"> </w:t>
      </w:r>
      <w:hyperlink r:id="rId59">
        <w:r>
          <w:rPr>
            <w:rFonts w:ascii="Times New Roman" w:hAnsi="Times New Roman" w:eastAsia="宋体"/>
            <w:color w:val="0563C1"/>
            <w:sz w:val="24"/>
            <w:u w:val="single"/>
          </w:rPr>
          <w:t xml:space="preserve"> Anna Bower </w:t>
        </w:r>
      </w:hyperlink>
      <w:r>
        <w:rPr>
          <w:rFonts w:ascii="Times New Roman" w:hAnsi="Times New Roman" w:eastAsia="宋体"/>
          <w:sz w:val="24"/>
        </w:rPr>
        <w:t xml:space="preserve"> </w:t>
      </w:r>
      <w:hyperlink r:id="rId60">
        <w:r>
          <w:rPr>
            <w:rFonts w:ascii="Times New Roman" w:hAnsi="Times New Roman" w:eastAsia="宋体"/>
            <w:color w:val="0563C1"/>
            <w:sz w:val="24"/>
            <w:u w:val="single"/>
          </w:rPr>
          <w:t xml:space="preserve"> Eric Columbus </w:t>
        </w:r>
      </w:hyperlink>
      <w:r>
        <w:rPr>
          <w:rFonts w:ascii="Times New Roman" w:hAnsi="Times New Roman" w:eastAsia="宋体"/>
          <w:sz w:val="24"/>
        </w:rPr>
        <w:t xml:space="preserve"> , +4 May 28, 2026 ](https://www.lawfaremedia.org/topics/armed-conflict)</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pStyle w:val="DocH2"/>
      </w:pP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faremedia.org/article/the-federal-trade-commission-after-trump-v.-slaughter" TargetMode="External"/><Relationship Id="rId12" Type="http://schemas.openxmlformats.org/officeDocument/2006/relationships/image" Target="media/image1.jpeg"/><Relationship Id="rId13" Type="http://schemas.openxmlformats.org/officeDocument/2006/relationships/hyperlink" Target="https://www.lawfaremedia.org/contributors/jbbranch" TargetMode="External"/><Relationship Id="rId14" Type="http://schemas.openxmlformats.org/officeDocument/2006/relationships/hyperlink" Target="https://www.lawfaremedia.org/article/the-federal-trade-commission-after-trump-v.-slaughter#postContributors" TargetMode="External"/><Relationship Id="rId15" Type="http://schemas.openxmlformats.org/officeDocument/2006/relationships/hyperlink" Target="https://www.supremecourt.gov/opinions/25pdf/25-332_qn12.pdf" TargetMode="External"/><Relationship Id="rId16" Type="http://schemas.openxmlformats.org/officeDocument/2006/relationships/hyperlink" Target="https://www.ftc.gov/system/files/ftc_gov/pdf/ai-policy-statement_0.pdf" TargetMode="External"/><Relationship Id="rId17" Type="http://schemas.openxmlformats.org/officeDocument/2006/relationships/hyperlink" Target="https://www.ftc.gov/sites/default/files/documents/statutes/federal-trade-commission-act/ftc_act_incorporatingus_safe_web_act.pdf" TargetMode="External"/><Relationship Id="rId18" Type="http://schemas.openxmlformats.org/officeDocument/2006/relationships/hyperlink" Target="https://www.whitehouse.gov/wp-content/uploads/2025/07/Americas-AI-Action-Plan.pdf" TargetMode="External"/><Relationship Id="rId19" Type="http://schemas.openxmlformats.org/officeDocument/2006/relationships/hyperlink" Target="https://www.whitehouse.gov/presidential-actions/2025/07/preventing-woke-ai-in-the-federal-government/" TargetMode="External"/><Relationship Id="rId20" Type="http://schemas.openxmlformats.org/officeDocument/2006/relationships/hyperlink" Target="https://www.lawfaremedia.org/article/slaughter-s-silence" TargetMode="External"/><Relationship Id="rId21" Type="http://schemas.openxmlformats.org/officeDocument/2006/relationships/hyperlink" Target="https://supreme.justia.com/cases/federal/us/295/602/" TargetMode="External"/><Relationship Id="rId22" Type="http://schemas.openxmlformats.org/officeDocument/2006/relationships/hyperlink" Target="https://www.bakerdonelson.com/emerging-federal-ai-policy-what-to-know-and-how-to-prepare" TargetMode="External"/><Relationship Id="rId23" Type="http://schemas.openxmlformats.org/officeDocument/2006/relationships/hyperlink" Target="https://iapp.org/resources/article/us-state-ai-governance-legislation-tracker" TargetMode="External"/><Relationship Id="rId24" Type="http://schemas.openxmlformats.org/officeDocument/2006/relationships/hyperlink" Target="https://www.ftc.gov/about-ftc/history" TargetMode="External"/><Relationship Id="rId25" Type="http://schemas.openxmlformats.org/officeDocument/2006/relationships/hyperlink" Target="https://www.ftc.gov/legal-library/browse/statutes/federal-trade-commission-act" TargetMode="External"/><Relationship Id="rId26" Type="http://schemas.openxmlformats.org/officeDocument/2006/relationships/hyperlink" Target="https://www.ftc.gov/sites/default/files/documents/public_statements/looking-back-move-forward-preserving-progressive-tradition-ftc/130124nysba.pdf" TargetMode="External"/><Relationship Id="rId27" Type="http://schemas.openxmlformats.org/officeDocument/2006/relationships/hyperlink" Target="https://scholarship.law.wm.edu/cgi/viewcontent.cgi?article=1559&amp;context=facpubs" TargetMode="External"/><Relationship Id="rId28" Type="http://schemas.openxmlformats.org/officeDocument/2006/relationships/hyperlink" Target="https://harvardlawreview.org/wp-content/uploads/2017/10/2463-2488_Online.pdf" TargetMode="External"/><Relationship Id="rId29" Type="http://schemas.openxmlformats.org/officeDocument/2006/relationships/hyperlink" Target="https://www.gwlr.org/wp-content/uploads/2015/11/83-Geo-Wash-L-Rev-1330.pdf" TargetMode="External"/><Relationship Id="rId30" Type="http://schemas.openxmlformats.org/officeDocument/2006/relationships/hyperlink" Target="https://scholarship.law.columbia.edu/faculty_scholarship/208/" TargetMode="External"/><Relationship Id="rId31" Type="http://schemas.openxmlformats.org/officeDocument/2006/relationships/hyperlink" Target="https://tile.loc.gov/storage-services/service/ll/usrep/usrep561/usrep561477/usrep561477.pdf" TargetMode="External"/><Relationship Id="rId32" Type="http://schemas.openxmlformats.org/officeDocument/2006/relationships/hyperlink" Target="https://www.supremecourt.gov/opinions/19pdf/19-7_n6io.pdf" TargetMode="External"/><Relationship Id="rId33" Type="http://schemas.openxmlformats.org/officeDocument/2006/relationships/hyperlink" Target="https://www.supremecourt.gov/opinions/20pdf/19-422_k537.pdf" TargetMode="External"/><Relationship Id="rId34" Type="http://schemas.openxmlformats.org/officeDocument/2006/relationships/hyperlink" Target="https://www.congress.gov/crs-product/LSB11448" TargetMode="External"/><Relationship Id="rId35" Type="http://schemas.openxmlformats.org/officeDocument/2006/relationships/hyperlink" Target="https://harvardlawreview.org/print/no-volume/presidential-administration/" TargetMode="External"/><Relationship Id="rId36" Type="http://schemas.openxmlformats.org/officeDocument/2006/relationships/hyperlink" Target="https://www.law.cornell.edu/uscode/text/15/45" TargetMode="External"/><Relationship Id="rId37" Type="http://schemas.openxmlformats.org/officeDocument/2006/relationships/hyperlink" Target="https://www.kelleydrye.com/viewpoints/blogs/ad-law-access/ftc-reminds-advertisers-to-keep-ai-claims-in-check" TargetMode="External"/><Relationship Id="rId38" Type="http://schemas.openxmlformats.org/officeDocument/2006/relationships/hyperlink" Target="https://privacysecurityacademy.com/wp-content/uploads/2021/04/Aiming-for-truth-fairness-and-equity-in-your-companys-use-of-AI.pdf" TargetMode="External"/><Relationship Id="rId39" Type="http://schemas.openxmlformats.org/officeDocument/2006/relationships/hyperlink" Target="https://www.ftc.gov/news-events/news/press-releases/2024/09/ftc-announces-crackdown-deceptive-ai-claims-schemes" TargetMode="External"/><Relationship Id="rId40" Type="http://schemas.openxmlformats.org/officeDocument/2006/relationships/hyperlink" Target="https://www.eff.org/deeplinks/2024/09/ftc-report-confirms-commercial-surveillance-out-control" TargetMode="External"/><Relationship Id="rId41" Type="http://schemas.openxmlformats.org/officeDocument/2006/relationships/hyperlink" Target="https://www.ftc.gov/business-guidance/blog/2024/10/click-cancel-ftcs-amended-negative-option-rule-what-it-means-your-business" TargetMode="External"/><Relationship Id="rId42" Type="http://schemas.openxmlformats.org/officeDocument/2006/relationships/hyperlink" Target="https://www.law.cornell.edu/uscode/text/15/57b" TargetMode="External"/><Relationship Id="rId43" Type="http://schemas.openxmlformats.org/officeDocument/2006/relationships/hyperlink" Target="https://www.congress.gov/crs-product/R45825" TargetMode="External"/><Relationship Id="rId44" Type="http://schemas.openxmlformats.org/officeDocument/2006/relationships/hyperlink" Target="https://tile.loc.gov/storage-services/service/ll/usrep/usrep331/usrep331218/usrep331218.pdf" TargetMode="External"/><Relationship Id="rId45" Type="http://schemas.openxmlformats.org/officeDocument/2006/relationships/hyperlink" Target="https://www.law.cornell.edu/supct/html/95-754.ZS.html" TargetMode="External"/><Relationship Id="rId46" Type="http://schemas.openxmlformats.org/officeDocument/2006/relationships/hyperlink" Target="https://tile.loc.gov/storage-services/service/ll/usrep/usrep555/usrep555555/usrep555555.pdf" TargetMode="External"/><Relationship Id="rId47" Type="http://schemas.openxmlformats.org/officeDocument/2006/relationships/hyperlink" Target="https://www.lawfaremedia.org/topics/courts-litigation" TargetMode="External"/><Relationship Id="rId48" Type="http://schemas.openxmlformats.org/officeDocument/2006/relationships/hyperlink" Target="https://www.lawfaremedia.org/topics/cybersecurity-tech" TargetMode="External"/><Relationship Id="rId49" Type="http://schemas.openxmlformats.org/officeDocument/2006/relationships/hyperlink" Target="https://www.lawfaremedia.org/topics/executive-branch" TargetMode="External"/><Relationship Id="rId50" Type="http://schemas.openxmlformats.org/officeDocument/2006/relationships/hyperlink" Target="https://www.lawfaremedia.org/article/the-federal-trade-commission-after-trump-v.-slaughter#site-main" TargetMode="External"/><Relationship Id="rId51" Type="http://schemas.openxmlformats.org/officeDocument/2006/relationships/hyperlink" Target="https://www.lawfaremedia.org/article/how-trump-v.-slaughter-strengthens-the-case-for-third-party-ai-regulation" TargetMode="External"/><Relationship Id="rId52" Type="http://schemas.openxmlformats.org/officeDocument/2006/relationships/hyperlink" Target="https://www.lawfaremedia.org/contributors/dwilftownsend" TargetMode="External"/><Relationship Id="rId53" Type="http://schemas.openxmlformats.org/officeDocument/2006/relationships/hyperlink" Target="https://www.lawfaremedia.org/article/rational-security--the--happy-fraiday--edition" TargetMode="External"/><Relationship Id="rId54" Type="http://schemas.openxmlformats.org/officeDocument/2006/relationships/hyperlink" Target="https://www.lawfaremedia.org/contributors/sanderson" TargetMode="External"/><Relationship Id="rId55" Type="http://schemas.openxmlformats.org/officeDocument/2006/relationships/hyperlink" Target="https://www.lawfaremedia.org/contributors/kfrazier" TargetMode="External"/><Relationship Id="rId56" Type="http://schemas.openxmlformats.org/officeDocument/2006/relationships/hyperlink" Target="https://www.lawfaremedia.org/contributors/rparloff" TargetMode="External"/><Relationship Id="rId57" Type="http://schemas.openxmlformats.org/officeDocument/2006/relationships/hyperlink" Target="https://www.lawfaremedia.org/article/lawfare-live--the-trials-of-the-trump-administration--may-29" TargetMode="External"/><Relationship Id="rId58" Type="http://schemas.openxmlformats.org/officeDocument/2006/relationships/hyperlink" Target="https://www.lawfaremedia.org/contributors/bwittes" TargetMode="External"/><Relationship Id="rId59" Type="http://schemas.openxmlformats.org/officeDocument/2006/relationships/hyperlink" Target="https://www.lawfaremedia.org/contributors/abower" TargetMode="External"/><Relationship Id="rId60" Type="http://schemas.openxmlformats.org/officeDocument/2006/relationships/hyperlink" Target="https://www.lawfaremedia.org/contributors/ecolum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Federal Trade Commission After Trump v. Slaughter</dc:title>
  <dc:subject/>
  <dc:creator>briefing-article-kb</dc:creator>
  <cp:keywords/>
  <dc:description>https://www.lawfaremedia.org/article/the-federal-trade-commission-after-trump-v.-slaughter</dc:description>
  <cp:lastModifiedBy/>
  <cp:revision>1</cp:revision>
  <dcterms:created xsi:type="dcterms:W3CDTF">2013-12-23T23:15:00Z</dcterms:created>
  <dcterms:modified xsi:type="dcterms:W3CDTF">2013-12-23T23:15:00Z</dcterms:modified>
  <cp:category/>
</cp:coreProperties>
</file>