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B007-017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NBER（NBER - National Bureau of Economic Research）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Fool's Gold? How the USD lost its Shine -- by Kai Arvai, Nuno Coimbra, Marco Pinchetti</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https://www.nber.org/papers/w35669#fromrss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B007-017-Nber - national bureau of economic research -fools-gold-how-the-usd-lost-its-shine-by-kai-arv-202608.md</w:t>
            </w:r>
          </w:p>
        </w:tc>
      </w:tr>
    </w:tbl>
    <w:p/>
    <w:p>
      <w:pPr>
        <w:pStyle w:val="DocTitle"/>
      </w:pPr>
      <w:r>
        <w:t>Fool's Gold? How the USD lost its Shine -- by Kai Arvai, Nuno Coimbra, Marco Pinchetti</w:t>
      </w:r>
    </w:p>
    <w:p>
      <w:pPr>
        <w:pStyle w:val="DocBody"/>
      </w:pPr>
      <w:r>
        <w:rPr>
          <w:rFonts w:ascii="Times New Roman" w:hAnsi="Times New Roman" w:eastAsia="宋体"/>
          <w:sz w:val="24"/>
        </w:rPr>
        <w:t>NBER WORKING PAPER SERIES FOOL'S GOLD? HOW THE USD LOST ITS SHINE Kai Arvai Nuno Coimbra Marco Pinchetti Working Paper 35669 http://www.nber.org/papers/w35669 NATIONAL BUREAU OF ECONOMIC RESEARCH 1050 Massachusetts Avenue Cambridge, MA 02138 August 2026 We thank Fernando Broner, Matthew Ferranti, Massimo Ferrari-Minesso, Georgios Georgiadis, Alejandro van der Ghote, Enrico Mallucci, Arnaud Mehl, and Roger Vicquery for helpful suggestions. The views expressed in this paper are those of the authors, and not necessarily those of the Banque de France, the European Central Bank, the Eurosystem, or their committees. The views expressed herein are those of the authors and do not necessarily reflect the views of the National Bureau of Economic Research.</w:t>
      </w:r>
    </w:p>
    <w:p>
      <w:pPr>
        <w:pStyle w:val="DocBody"/>
      </w:pPr>
      <w:r>
        <w:rPr>
          <w:rFonts w:ascii="Times New Roman" w:hAnsi="Times New Roman" w:eastAsia="宋体"/>
          <w:sz w:val="24"/>
        </w:rPr>
        <w:t>NBER working papers are circulated for discussion and comment purposes. They have not been peer-reviewed or been subject to the review by the NBER Board of Directors that accompanies official NBER publications.</w:t>
      </w:r>
    </w:p>
    <w:p>
      <w:pPr>
        <w:pStyle w:val="DocBody"/>
      </w:pPr>
      <w:r>
        <w:rPr>
          <w:rFonts w:ascii="Times New Roman" w:hAnsi="Times New Roman" w:eastAsia="宋体"/>
          <w:sz w:val="24"/>
        </w:rPr>
        <w:t>text, not to exceed two paragraphs, may be quoted without explicit permission provided that full credit, including © notice, is given to the source.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Fool's Gold? How the USD lost its Shine Kai Arvai, Nuno Coimbra, and Marco Pinchetti NBER Working Paper No. 35669 August 2026 JEL No. E41, F02, F33 ABSTRACT This paper investigates the determinants of international investors’ portfolio choices between gold and sovereign bonds in an environment shaped by economic and geopolitical shocks. We develop an endogenous portfolio choice model where reserve safety has a political dimension — sovereign bonds issued by the dominant reserve country are more liquid but exposed to the issuer’s sanctions authority, while gold offers sanctions protection at the cost of lower liquidity. Our model implies that US convenience yields fall during periods of high sanction risk, as safe-asset demand fragments along geopolitical lines. Empirically, periods of elevated geopolitical risk coincide with higher gold prices and 10-year Treasury yields. In such periods, the average composition of official reserves shifts toward gold, with countries less aligned with the US increasing their holdings to a greater extent.</w:t>
      </w:r>
    </w:p>
    <w:p>
      <w:pPr>
        <w:pStyle w:val="DocBody"/>
      </w:pPr>
      <w:r>
        <w:rPr>
          <w:rFonts w:ascii="Times New Roman" w:hAnsi="Times New Roman" w:eastAsia="宋体"/>
          <w:sz w:val="24"/>
        </w:rPr>
        <w:t>Kai Arvai European Central Bank kai.arvai@ecb.europa.eu Nuno Coimbra Banque de France nuno.coimbra@banque-france.fr Marco Pinchetti Banque de France marco.pinchetti@banque-france.fr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Introduction The international monetary system relies on a narrow class of assets that combine liquidity, safety, and global acceptability. For decades, US Treasury securities have occupied this role as the dominant reserve asset, supported by deep markets, a stable institutional environment, and the centrality of the dollar in global financial markets. Yet the structure of global reserves is highly concentrated. Figure 1 shows that a small number of economies account for the bulk of official reserve holdings, with China emerging as the dominant marginal accumulator since the early 2000s. This concentration implies that shifts in the preferences of a few large reserve managers can have first-order effects on global safe asset demand.</w:t>
      </w:r>
    </w:p>
    <w:p>
      <w:pPr>
        <w:pStyle w:val="DocBody"/>
      </w:pPr>
      <w:r>
        <w:rPr>
          <w:rFonts w:ascii="Times New Roman" w:hAnsi="Times New Roman" w:eastAsia="宋体"/>
          <w:sz w:val="24"/>
        </w:rPr>
        <w:t>At the same time, recent geopolitical events—notably the freezing of Russia’s foreign reserves in 2022—have exposed a neglected dimension of reserve safety: political control.</w:t>
      </w:r>
    </w:p>
    <w:p>
      <w:pPr>
        <w:pStyle w:val="DocBody"/>
      </w:pPr>
      <w:r>
        <w:rPr>
          <w:rFonts w:ascii="Times New Roman" w:hAnsi="Times New Roman" w:eastAsia="宋体"/>
          <w:sz w:val="24"/>
        </w:rPr>
        <w:t>An asset may be safe from a financial perspective while remaining vulnerable to foreign jurisdictional, custodial, or sanctions risk.</w:t>
      </w:r>
    </w:p>
    <w:p>
      <w:pPr>
        <w:pStyle w:val="DocBody"/>
      </w:pPr>
      <w:r>
        <w:rPr>
          <w:rFonts w:ascii="Times New Roman" w:hAnsi="Times New Roman" w:eastAsia="宋体"/>
          <w:sz w:val="24"/>
        </w:rPr>
        <w:t>However, for countries facing such risks, the supposedly safest asset in the world — the US Treasury bond — may not be as safe as generally assumed. In a system with concentrated reserve supply and demand, geoeconomic shocks can reshape global portfolio allocations. This distinction has renewed interest in gold as a reserve asset that remains sufficiently liquid while being insulated from the institutions of any single sovereign.</w:t>
      </w:r>
    </w:p>
    <w:p>
      <w:pPr>
        <w:pStyle w:val="DocBody"/>
      </w:pPr>
      <w:r>
        <w:rPr>
          <w:rFonts w:ascii="Times New Roman" w:hAnsi="Times New Roman" w:eastAsia="宋体"/>
          <w:sz w:val="24"/>
        </w:rPr>
        <w:t>Against this backdrop, we study how geopolitical risk reshapes the global demand for safe assets. The central idea is that reserve safety depends not only on default risk and market liquidity, but also on political neutrality. Sovereign bonds issued by the dominant reserve country offer superior liquidity services in normal times, yet remain contingent on access to legal and payment infrastructures controlled by that sovereign.</w:t>
      </w:r>
    </w:p>
    <w:p>
      <w:pPr>
        <w:pStyle w:val="DocBody"/>
      </w:pPr>
      <w:r>
        <w:rPr>
          <w:rFonts w:ascii="Times New Roman" w:hAnsi="Times New Roman" w:eastAsia="宋体"/>
          <w:sz w:val="24"/>
        </w:rPr>
        <w:t>Gold provides lower transactional convenience, but preserves value outside foreign jurisdictional reach if held domestically or on neutral territory. As geopolitical tensions rise, reserve managers therefore face an increasingly important trade-off between liquidity and custodial sovereignty.</w:t>
      </w:r>
    </w:p>
    <w:p>
      <w:pPr>
        <w:pStyle w:val="DocBody"/>
      </w:pPr>
      <w:r>
        <w:rPr>
          <w:rFonts w:ascii="Times New Roman" w:hAnsi="Times New Roman" w:eastAsia="宋体"/>
          <w:sz w:val="24"/>
        </w:rPr>
        <w:t>This mechanism is visible in the evolution of reserve portfolios across the world’s largest reserve managers. Figure 2 plots the gold share of total reserves normalized to 100 in 2013 for the ten largest reserve holders from 2013 to 2025.</w:t>
      </w:r>
    </w:p>
    <w:p>
      <w:pPr>
        <w:pStyle w:val="DocBody"/>
      </w:pPr>
      <w:r>
        <w:rPr>
          <w:rFonts w:ascii="Times New Roman" w:hAnsi="Times New Roman" w:eastAsia="宋体"/>
          <w:sz w:val="24"/>
        </w:rPr>
        <w:t>It highlights a sharp asymmetry.</w:t>
      </w:r>
    </w:p>
    <w:p>
      <w:pPr>
        <w:pStyle w:val="DocBody"/>
      </w:pPr>
      <w:r>
        <w:rPr>
          <w:rFonts w:ascii="Times New Roman" w:hAnsi="Times New Roman" w:eastAsia="宋体"/>
          <w:sz w:val="24"/>
        </w:rPr>
        <w:t>Traditional reserve issuers and close US allies1—such as the Euro Area, Switzerland, Japan and Taiwan—display structurally stable shares of gold in their reserves. By contrast, the strongest upward reallocations toward gold are concentrated among countries that are geopo- litically more distant from the United States or more exposed to sanctions risk after major geopolitical events, most notably China and especially Russia after 2022. These are eco- 1Based on voting patterns in the UN General Assembly following Voeten (2009) and Bailey et al. (2017)</w:t>
      </w:r>
    </w:p>
    <w:p>
      <w:pPr>
        <w:pStyle w:val="DocBody"/>
      </w:pPr>
      <w:r>
        <w:rPr>
          <w:rFonts w:ascii="Times New Roman" w:hAnsi="Times New Roman" w:eastAsia="宋体"/>
          <w:sz w:val="24"/>
        </w:rPr>
        <w:t>– see Figure 2 (a).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1 Global reserve composition Share of global reserves (%)</w:t>
      </w:r>
    </w:p>
    <w:p>
      <w:pPr>
        <w:pStyle w:val="DocBody"/>
      </w:pPr>
      <w:r>
        <w:rPr>
          <w:rFonts w:ascii="Times New Roman" w:hAnsi="Times New Roman" w:eastAsia="宋体"/>
          <w:sz w:val="24"/>
        </w:rPr>
        <w:t>Year United States Japan Euro Area South Korea Switzerland Taiwan Saudi Arabia India Russia China Rest of World Note. The figure reports the country composition of global official reserve holdings since 1990, valued at market prices. The data highlight the strong concentration of global reserves in a small number of economies and the rise of China as the marginal reserve holder after 2000.</w:t>
      </w:r>
    </w:p>
    <w:p>
      <w:pPr>
        <w:pStyle w:val="DocBody"/>
      </w:pPr>
      <w:r>
        <w:rPr>
          <w:rFonts w:ascii="Times New Roman" w:hAnsi="Times New Roman" w:eastAsia="宋体"/>
          <w:sz w:val="24"/>
        </w:rPr>
        <w:t>nomically large reallocations, in some cases amounting to shifts of nearly one-third of total reserve portfolios away from foreign-currency claims and toward bullion. Importantly, many countries increasingly hold their gold reserves domestically. Holding gold domestically en- sures that the reserve asset cannot be directly frozen by a geopolitical rival. Ferrari Minesso et al. (2026) provide insightful historical accounts for the importance of custody location in times of war and sanction risk.</w:t>
      </w:r>
    </w:p>
    <w:p>
      <w:pPr>
        <w:pStyle w:val="DocBody"/>
      </w:pPr>
      <w:r>
        <w:rPr>
          <w:rFonts w:ascii="Times New Roman" w:hAnsi="Times New Roman" w:eastAsia="宋体"/>
          <w:sz w:val="24"/>
        </w:rPr>
        <w:t>Taken together, Figures 1 and 2 suggest that in a concentrated reserve system, geopolitical risk reshapes the portfolio choices of the marginal reserve holders that drive global demand.</w:t>
      </w:r>
    </w:p>
    <w:p>
      <w:pPr>
        <w:pStyle w:val="DocBody"/>
      </w:pPr>
      <w:r>
        <w:rPr>
          <w:rFonts w:ascii="Times New Roman" w:hAnsi="Times New Roman" w:eastAsia="宋体"/>
          <w:sz w:val="24"/>
        </w:rPr>
        <w:t>This heterogeneity highlights that reserve demand increasingly reflects concerns over political access and sovereign control.</w:t>
      </w:r>
    </w:p>
    <w:p>
      <w:pPr>
        <w:pStyle w:val="DocBody"/>
      </w:pPr>
      <w:r>
        <w:rPr>
          <w:rFonts w:ascii="Times New Roman" w:hAnsi="Times New Roman" w:eastAsia="宋体"/>
          <w:sz w:val="24"/>
        </w:rPr>
        <w:t>We develop a general equilibrium model that rationalizes this pattern. Reserve managers choose between sovereign bonds that provide liquidity services but are exposed to selective freezing and sanctions, and gold, which is politically neutral but less liquid and costly to store. Convenience yields arise endogenously, so the relative liquidity value of bonds and gold depends on equilibrium portfolio composition. The sovereign issuer acts strategically as a Stackelberg leader which means that it internalizes how its sanction choice and debt issuance affect the portfolio composition of its creditors and therefore its own future borrowing costs.</w:t>
      </w:r>
    </w:p>
    <w:p>
      <w:pPr>
        <w:pStyle w:val="DocBody"/>
      </w:pPr>
      <w:r>
        <w:rPr>
          <w:rFonts w:ascii="Times New Roman" w:hAnsi="Times New Roman" w:eastAsia="宋体"/>
          <w:sz w:val="24"/>
        </w:rPr>
        <w:t>The model delivers a simple mechanism. In tranquil geopolitical states, reserve managers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2 Cross-country heterogeneity in gold reserve accumulation (a) Alignment with the US Crimea Invasion Full-Scale Invasion .2 .4 .6 .8 .9 Geopolitical alignment with US Year US-Aligned Bloc Japan Euro Area Switzerland South Korea China Russia Saudi Arabia India Non US-Aligned Bloc (b) Gold share in total reserves Crimea Invasion Full-Scale Invasion Gold share index (2013m1 = 100)</w:t>
      </w:r>
    </w:p>
    <w:p>
      <w:pPr>
        <w:pStyle w:val="DocBody"/>
      </w:pPr>
      <w:r>
        <w:rPr>
          <w:rFonts w:ascii="Times New Roman" w:hAnsi="Times New Roman" w:eastAsia="宋体"/>
          <w:sz w:val="24"/>
        </w:rPr>
        <w:t>Year US-Aligned Bloc United States Switzerland Japan South Korea Taiwan Euro Area China Russia Saudi Arabia India Non US-Aligned Bloc Note. Panel (a) shows UN voting alignment of major reserve holders relative to the US (1 = full alignment). Panel (b) reports the gold share of total reserves for the ten largest reserve managers, standardized to 100 in January 2013. Sources: Voeten (2009), Bailey et al. (2017), IMF tilt portfolios toward sovereign bonds because liquidity services dominate. When geopolit- ical tensions rise, the expected political vulnerability of foreign bonds increases, reducing their effective safety. As reserve managers sell their bond positions, they try to satisfy their liquidity needs with politically neutral gold, inducing substitution toward bullion. Because convenience yields are portfolio-dependent, this reallocation amplifies the relative attractive- ness of gold, particularly for countries more exposed to the legal and custodial reach of the dominant reserve issuer. At the moment of regime shift, gold prices spike and bond prices fall — a joint repricing consistent with a substitution away from sanctionable bonds toward the geopolitically neutral store of value.</w:t>
      </w:r>
    </w:p>
    <w:p>
      <w:pPr>
        <w:pStyle w:val="DocBody"/>
      </w:pPr>
      <w:r>
        <w:rPr>
          <w:rFonts w:ascii="Times New Roman" w:hAnsi="Times New Roman" w:eastAsia="宋体"/>
          <w:sz w:val="24"/>
        </w:rPr>
        <w:t>We validate this mechanism empirically in three steps. First, using daily local projections, we show that geopolitical shocks raise gold prices and increase the geopolitical premium embedded in US Treasury yields. This high-frequency evidence establishes the asset-pricing channel implied by the model. Second, in a quarterly panel of 37 reserve managers from 1985 to 2024, we show that the same shocks increase gold shares and gold holdings while reducing foreign-exchange reserve exposure. Third, we show that these responses are substantially stronger for countries that are less aligned with the United States in United Nations voting data, precisely where sanctions vulnerability is most salient.</w:t>
      </w:r>
    </w:p>
    <w:p>
      <w:pPr>
        <w:pStyle w:val="DocBody"/>
      </w:pPr>
      <w:r>
        <w:rPr>
          <w:rFonts w:ascii="Times New Roman" w:hAnsi="Times New Roman" w:eastAsia="宋体"/>
          <w:sz w:val="24"/>
        </w:rPr>
        <w:t>On top of validating the paper’s mechanism, we further show that geopolitical risk affects the composition of foreign-exchange reserves themselves. Using aggregate quarterly data from the IMF’s COFER database, we find a persistent diversification away from the US dollar and toward alternative reserve currencies. This evidence indicates that geopolitical risk reshapes reserve portfolios not only through greater gold accumulation, but also through</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reallocation within foreign-exchange holdings.</w:t>
      </w:r>
    </w:p>
    <w:p>
      <w:pPr>
        <w:pStyle w:val="DocBody"/>
      </w:pPr>
      <w:r>
        <w:rPr>
          <w:rFonts w:ascii="Times New Roman" w:hAnsi="Times New Roman" w:eastAsia="宋体"/>
          <w:sz w:val="24"/>
        </w:rPr>
        <w:t>Our paper contributes to three strands of literature. First, it contributes to the liter- ature on international safe assets, reserve composition, and dominant currencies, including Farhi and Maggiori (2018), Broner et al. (2010), Chahrour and Valchev (2022), and Corsetti and Maeng (2024). Our key innovation is to endogenize political safety as a determinant of reserve demand rather than treating the safety of dollar assets as exogenous. Second, we contribute to the empirical literature on reserve diversification and gold demand, includ- ing Arslanalp et al. (2023), Chinn et al. (2025), and Goldberg and Hannaoui (2026), by identifying dynamic reserve responses to geopolitical shocks and documenting that the ad- justment is strongest among countries geopolitically distant from the United States. Third, we contribute to the literature on sanctions and geoeconomic power, including Itskhoki and Mukhin (2025), Bianchi and Sosa-Padilla (2025), Bianchi and Sosa-Padilla (2024), Clayton et al. (2026), Ferrari Minesso et al. (2026), Broner et al. (2025), Chahrour and Valchev (2023), Eichengreen et al. (2024), Ferranti (2025) and Garofalo et al. (2025), by showing how sanctions risk induces substitution toward geopolitically neutral assets such as gold.</w:t>
      </w:r>
    </w:p>
    <w:p>
      <w:pPr>
        <w:pStyle w:val="DocBody"/>
      </w:pPr>
      <w:r>
        <w:rPr>
          <w:rFonts w:ascii="Times New Roman" w:hAnsi="Times New Roman" w:eastAsia="宋体"/>
          <w:sz w:val="24"/>
        </w:rPr>
        <w:t>This can have consequences for the international monetary system in the long run.</w:t>
      </w:r>
    </w:p>
    <w:p>
      <w:pPr>
        <w:pStyle w:val="DocBody"/>
      </w:pPr>
      <w:r>
        <w:rPr>
          <w:rFonts w:ascii="Times New Roman" w:hAnsi="Times New Roman" w:eastAsia="宋体"/>
          <w:sz w:val="24"/>
        </w:rPr>
        <w:t>The broader policy implication is that reserve management increasingly involves a trade- off between liquidity and custodial sovereignty. As geopolitical fragmentation rises, reserve managers may place greater value on assets insulated from foreign political control, gradually weakening the dominance of reserve instruments tied to a single legal jurisdiction.</w:t>
      </w:r>
    </w:p>
    <w:p>
      <w:pPr>
        <w:pStyle w:val="DocBody"/>
      </w:pPr>
      <w:r>
        <w:rPr>
          <w:rFonts w:ascii="Times New Roman" w:hAnsi="Times New Roman" w:eastAsia="宋体"/>
          <w:sz w:val="24"/>
        </w:rPr>
        <w:t>The remainder of the paper is organized as follows. Section 2 develops the theoretical framework and quantitative solution while Section 3 shows the corresponding results. The data are presented in Section 4 and Section 5 shows the empirical validation of the asset- pricing and reserve-composition mechanisms. Section 6 concludes.</w:t>
      </w:r>
    </w:p>
    <w:p>
      <w:pPr>
        <w:pStyle w:val="DocBody"/>
      </w:pPr>
      <w:r>
        <w:rPr>
          <w:rFonts w:ascii="Times New Roman" w:hAnsi="Times New Roman" w:eastAsia="宋体"/>
          <w:sz w:val="24"/>
        </w:rPr>
        <w:t>Model 2.1 Environment The model features an infinite-horizon discrete-time economy populated by a sovereign bor- rower H (the hegemon) and two representative investors: a domestic representative house- hold (e.g. the private sector of H) and a foreign representative household F (the geopolitical rival). There are two tradable assets: gold A, with a fixed global supply ¯A, and one-period, non-contingent bonds B issued by the sovereign borrower. An important distinction between the two assets is that the hegemon can decide to implement financial sanctions on its geopo- litical rival, in which case F’s holdings are subject to a haircut of κ. This haircut represents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 financial losses of the geopolitical rival, and can be seen as a reduced form featuring a combination of asset freezes or seizures, with possible fire sales in the secondary market at discount prices or limited quantities.</w:t>
      </w:r>
    </w:p>
    <w:p>
      <w:pPr>
        <w:pStyle w:val="DocBody"/>
      </w:pPr>
      <w:r>
        <w:rPr>
          <w:rFonts w:ascii="Times New Roman" w:hAnsi="Times New Roman" w:eastAsia="宋体"/>
          <w:sz w:val="24"/>
        </w:rPr>
        <w:t>Moreover, the H economy also features an additional geopolitical shock Gt. Gt is a utility shock that captures the utility of imposing an endogenous sanction event. This represents the geopolitical benefit of imposing sanctions, beyond the economic value of the seizures or asset freezes, and is highest during times of high geopolitical tensions. G follows a Markov- switching autoregressive process, governed by the Markov chain Mt ∈{0, 1}.</w:t>
      </w:r>
    </w:p>
    <w:p>
      <w:pPr>
        <w:pStyle w:val="DocBody"/>
      </w:pPr>
      <w:r>
        <w:rPr>
          <w:rFonts w:ascii="Times New Roman" w:hAnsi="Times New Roman" w:eastAsia="宋体"/>
          <w:sz w:val="24"/>
        </w:rPr>
        <w:t>Here, Mt dictates the overarching geopolitical regime (0 for tranquil, 1 for turbulent). The realizations of Gt, the geopolitical gain, depend crucially on the respective regime:</w:t>
      </w:r>
    </w:p>
    <w:p>
      <w:pPr>
        <w:pStyle w:val="DocBody"/>
      </w:pPr>
      <w:r>
        <w:rPr>
          <w:rFonts w:ascii="Times New Roman" w:hAnsi="Times New Roman" w:eastAsia="宋体"/>
          <w:sz w:val="24"/>
        </w:rPr>
        <w:t>• Tranquil Regime (Mt = 0): There is no geopolitical benefit of sanctions in this regime and therefore Gt = 0. Moreover, the probability of transitioning to a very high sanction utility state in the immediate next period is zero.</w:t>
      </w:r>
    </w:p>
    <w:p>
      <w:pPr>
        <w:pStyle w:val="DocBody"/>
      </w:pPr>
      <w:r>
        <w:rPr>
          <w:rFonts w:ascii="Times New Roman" w:hAnsi="Times New Roman" w:eastAsia="宋体"/>
          <w:sz w:val="24"/>
        </w:rPr>
        <w:t>• Turbulent Regime (Mt = 1): The economy is subject to fluctuating, strictly positive geopolitical gains. Upon transition the value of G = ¯G, its unconditional mean and is then driven by an underlying auto-regressive process in logs as long as the economy stays in this regime.</w:t>
      </w:r>
    </w:p>
    <w:p>
      <w:pPr>
        <w:pStyle w:val="DocBody"/>
      </w:pPr>
      <w:r>
        <w:rPr>
          <w:rFonts w:ascii="Times New Roman" w:hAnsi="Times New Roman" w:eastAsia="宋体"/>
          <w:sz w:val="24"/>
        </w:rPr>
        <w:t>2.2 The Sovereign Borrower The sovereign borrower acts as a Stackelberg leader, maximizing utility while internalizing the followers’ pricing schedules. In each period, it observes the state of the economy and decides whether to sanction F or comply with its debt obligations, as well as how much debt Bt to emit. Its flow utility is a standard CRRA over government consumption, but augmented by a possible geopolitical gain G in case of sanctions.</w:t>
      </w:r>
    </w:p>
    <w:p>
      <w:pPr>
        <w:pStyle w:val="DocBody"/>
      </w:pPr>
      <w:r>
        <w:rPr>
          <w:rFonts w:ascii="Times New Roman" w:hAnsi="Times New Roman" w:eastAsia="宋体"/>
          <w:sz w:val="24"/>
        </w:rPr>
        <w:t>u(Ct) = C1−γ t 1 −γ + 1S t Gt (1)</w:t>
      </w:r>
    </w:p>
    <w:p>
      <w:pPr>
        <w:pStyle w:val="DocBody"/>
      </w:pPr>
      <w:r>
        <w:rPr>
          <w:rFonts w:ascii="Times New Roman" w:hAnsi="Times New Roman" w:eastAsia="宋体"/>
          <w:sz w:val="24"/>
        </w:rPr>
        <w:t>where 1S t = {0, 1} is an indicator variable representing the decision of the government to sanction or not. As is the case in the sovereign default literature, the decision to sanction or not is a combination of short-term benefits of expropriation and the dynamic benefits of global financial integration.</w:t>
      </w:r>
    </w:p>
    <w:p>
      <w:pPr>
        <w:pStyle w:val="DocBody"/>
      </w:pPr>
      <w:r>
        <w:rPr>
          <w:rFonts w:ascii="Times New Roman" w:hAnsi="Times New Roman" w:eastAsia="宋体"/>
          <w:sz w:val="24"/>
        </w:rPr>
        <w:t>In the case of contractual compliance, the sovereign maintains access to both domestic and foreign investors. It chooses its level of next period debt Bt, internalizing the impact on domestic and foreign demand for bonds. In this case, it internalizes not just the ef- fect on the price QB but also on the share of F bond holdings going forward, which is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also determining the likelihood of future sanctions. Let St = {Bt−1, St} be the state space of the economy, composed of the endogenous asset holdings at the beginning of period Bt−1 = (BH,t−1, BF,t−1, AF,t−1) and the exogenous states St = (Zt, ZF,t, Mt, Gt). The value of compliance is as follows:</w:t>
      </w:r>
    </w:p>
    <w:p>
      <w:pPr>
        <w:pStyle w:val="DocBody"/>
      </w:pPr>
      <w:r>
        <w:rPr>
          <w:rFonts w:ascii="Times New Roman" w:hAnsi="Times New Roman" w:eastAsia="宋体"/>
          <w:sz w:val="24"/>
        </w:rPr>
        <w:t>Vcom(St) = max Bt U(Ccom) + βgE [V (St+1)|St] (2)</w:t>
      </w:r>
    </w:p>
    <w:p>
      <w:pPr>
        <w:pStyle w:val="DocBody"/>
      </w:pPr>
      <w:r>
        <w:rPr>
          <w:rFonts w:ascii="Times New Roman" w:hAnsi="Times New Roman" w:eastAsia="宋体"/>
          <w:sz w:val="24"/>
        </w:rPr>
        <w:t>s.t. Ccom = τZt + QB(Bt, St)Bt −Bt−1 (3)</w:t>
      </w:r>
    </w:p>
    <w:p>
      <w:pPr>
        <w:pStyle w:val="DocBody"/>
      </w:pPr>
      <w:r>
        <w:rPr>
          <w:rFonts w:ascii="Times New Roman" w:hAnsi="Times New Roman" w:eastAsia="宋体"/>
          <w:sz w:val="24"/>
        </w:rPr>
        <w:t>Bt = BH,t(Bt, St) + BF,t(Bt, St)</w:t>
      </w:r>
    </w:p>
    <w:p>
      <w:pPr>
        <w:pStyle w:val="DocBody"/>
      </w:pPr>
      <w:r>
        <w:rPr>
          <w:rFonts w:ascii="Times New Roman" w:hAnsi="Times New Roman" w:eastAsia="宋体"/>
          <w:sz w:val="24"/>
        </w:rPr>
        <w:t>(4)</w:t>
      </w:r>
    </w:p>
    <w:p>
      <w:pPr>
        <w:pStyle w:val="DocBody"/>
      </w:pPr>
      <w:r>
        <w:rPr>
          <w:rFonts w:ascii="Times New Roman" w:hAnsi="Times New Roman" w:eastAsia="宋体"/>
          <w:sz w:val="24"/>
        </w:rPr>
        <w:t>A = AH,t(Bt, St) + AF,t(Bt, St)</w:t>
      </w:r>
    </w:p>
    <w:p>
      <w:pPr>
        <w:pStyle w:val="DocBody"/>
      </w:pPr>
      <w:r>
        <w:rPr>
          <w:rFonts w:ascii="Times New Roman" w:hAnsi="Times New Roman" w:eastAsia="宋体"/>
          <w:sz w:val="24"/>
        </w:rPr>
        <w:t>(5)</w:t>
      </w:r>
    </w:p>
    <w:p>
      <w:pPr>
        <w:pStyle w:val="DocBody"/>
      </w:pPr>
      <w:r>
        <w:rPr>
          <w:rFonts w:ascii="Times New Roman" w:hAnsi="Times New Roman" w:eastAsia="宋体"/>
          <w:sz w:val="24"/>
        </w:rPr>
        <w:t>where Zt indicates domestic output and τ is the share of output allocated to the govern- ment. On the other hand, if the borrower imposes sanctions (Vsan), they restrict the foreign investor from the bond market and therefore Bt = (Bt, 0, AF,t). Sanctioning triggers several simultaneous effects. First, it benefits from the geopolitical utility gain Gt, which is positive in the turbulent regime. Secondly, the sovereign also earns a financial benefit by imposing a haircut κ on foreign holdings of debt BF,t−1. It contrasts those benefits with the losses from the aggregate output disruption ψ and the exclusion of F from its pool of investors.</w:t>
      </w:r>
    </w:p>
    <w:p>
      <w:pPr>
        <w:pStyle w:val="DocBody"/>
      </w:pPr>
      <w:r>
        <w:rPr>
          <w:rFonts w:ascii="Times New Roman" w:hAnsi="Times New Roman" w:eastAsia="宋体"/>
          <w:sz w:val="24"/>
        </w:rPr>
        <w:t>When deciding how much debt to issue at t, the government takes into account the im- pact on not just bond prices (QB) but also on the international allocation of debt and gold (BH,t, BF,t, AF,t, AH,t), which might affect its decision to sanction in the future.</w:t>
      </w:r>
    </w:p>
    <w:p>
      <w:pPr>
        <w:pStyle w:val="DocBody"/>
      </w:pPr>
      <w:r>
        <w:rPr>
          <w:rFonts w:ascii="Times New Roman" w:hAnsi="Times New Roman" w:eastAsia="宋体"/>
          <w:sz w:val="24"/>
        </w:rPr>
        <w:t>The value of sanctioning is then:</w:t>
      </w:r>
    </w:p>
    <w:p>
      <w:pPr>
        <w:pStyle w:val="DocBody"/>
      </w:pPr>
      <w:r>
        <w:rPr>
          <w:rFonts w:ascii="Times New Roman" w:hAnsi="Times New Roman" w:eastAsia="宋体"/>
          <w:sz w:val="24"/>
        </w:rPr>
        <w:t>Vsan(St) = max Bt U(Csan) + Gt + βgE [θV (St+1) + (1 −θ)Vaut(St+1)|St] (6)</w:t>
      </w:r>
    </w:p>
    <w:p>
      <w:pPr>
        <w:pStyle w:val="DocBody"/>
      </w:pPr>
      <w:r>
        <w:rPr>
          <w:rFonts w:ascii="Times New Roman" w:hAnsi="Times New Roman" w:eastAsia="宋体"/>
          <w:sz w:val="24"/>
        </w:rPr>
        <w:t>s.t. Csan = τ(1 −ψ)Zt + Qsan B (Bt, St)Bt −BH,t−1 −(1 −κ)BF,t−1 (7)</w:t>
      </w:r>
    </w:p>
    <w:p>
      <w:pPr>
        <w:pStyle w:val="DocBody"/>
      </w:pPr>
      <w:r>
        <w:rPr>
          <w:rFonts w:ascii="Times New Roman" w:hAnsi="Times New Roman" w:eastAsia="宋体"/>
          <w:sz w:val="24"/>
        </w:rPr>
        <w:t>Bt = Bsan H,t (Bt, St)</w:t>
      </w:r>
    </w:p>
    <w:p>
      <w:pPr>
        <w:pStyle w:val="DocBody"/>
      </w:pPr>
      <w:r>
        <w:rPr>
          <w:rFonts w:ascii="Times New Roman" w:hAnsi="Times New Roman" w:eastAsia="宋体"/>
          <w:sz w:val="24"/>
        </w:rPr>
        <w:t>(8)</w:t>
      </w:r>
    </w:p>
    <w:p>
      <w:pPr>
        <w:pStyle w:val="DocBody"/>
      </w:pPr>
      <w:r>
        <w:rPr>
          <w:rFonts w:ascii="Times New Roman" w:hAnsi="Times New Roman" w:eastAsia="宋体"/>
          <w:sz w:val="24"/>
        </w:rPr>
        <w:t>A = Asan H,t(Bt, St) + Asan F,t (Bt, St)</w:t>
      </w:r>
    </w:p>
    <w:p>
      <w:pPr>
        <w:pStyle w:val="DocBody"/>
      </w:pPr>
      <w:r>
        <w:rPr>
          <w:rFonts w:ascii="Times New Roman" w:hAnsi="Times New Roman" w:eastAsia="宋体"/>
          <w:sz w:val="24"/>
        </w:rPr>
        <w:t>(9)</w:t>
      </w:r>
    </w:p>
    <w:p>
      <w:pPr>
        <w:pStyle w:val="DocBody"/>
      </w:pPr>
      <w:r>
        <w:rPr>
          <w:rFonts w:ascii="Times New Roman" w:hAnsi="Times New Roman" w:eastAsia="宋体"/>
          <w:sz w:val="24"/>
        </w:rPr>
        <w:t>where ψ ∈(0, 1) is the output loss when sanctioning. The parameter θ represents the exoge- nous probability of market normalization and re-entry. The effective haircut is a function of the allocation of debt, so the larger the share of debt held by F, the more appealing is the decision to sanction.</w:t>
      </w:r>
    </w:p>
    <w:p>
      <w:pPr>
        <w:pStyle w:val="DocBody"/>
      </w:pPr>
      <w:r>
        <w:rPr>
          <w:rFonts w:ascii="Times New Roman" w:hAnsi="Times New Roman" w:eastAsia="宋体"/>
          <w:sz w:val="24"/>
        </w:rPr>
        <w:t>In the periods following the sanctioning event, the sovereign has a probability (1 −θ)</w:t>
      </w:r>
    </w:p>
    <w:p>
      <w:pPr>
        <w:pStyle w:val="DocBody"/>
      </w:pPr>
      <w:r>
        <w:rPr>
          <w:rFonts w:ascii="Times New Roman" w:hAnsi="Times New Roman" w:eastAsia="宋体"/>
          <w:sz w:val="24"/>
        </w:rPr>
        <w:t>of not normalizing relations with F, thus remaining in financial autarky. The problem that defines Vaut is structurally similar to Vsan, but without the one-time geopolitical gain nor the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haircut on the debt.</w:t>
      </w:r>
    </w:p>
    <w:p>
      <w:pPr>
        <w:pStyle w:val="DocBody"/>
      </w:pPr>
      <w:r>
        <w:rPr>
          <w:rFonts w:ascii="Times New Roman" w:hAnsi="Times New Roman" w:eastAsia="宋体"/>
          <w:sz w:val="24"/>
        </w:rPr>
        <w:t>Vaut(St) = max Bt U(Caut) + βgE [θV (St+1) + (1 −θ)Vaut(St+1)|St] (10)</w:t>
      </w:r>
    </w:p>
    <w:p>
      <w:pPr>
        <w:pStyle w:val="DocBody"/>
      </w:pPr>
      <w:r>
        <w:rPr>
          <w:rFonts w:ascii="Times New Roman" w:hAnsi="Times New Roman" w:eastAsia="宋体"/>
          <w:sz w:val="24"/>
        </w:rPr>
        <w:t>s.t. Caut = τ(1 −ψ)Zt + Qaut B (Bt, St)Bt −BH,t−1 (11)</w:t>
      </w:r>
    </w:p>
    <w:p>
      <w:pPr>
        <w:pStyle w:val="DocBody"/>
      </w:pPr>
      <w:r>
        <w:rPr>
          <w:rFonts w:ascii="Times New Roman" w:hAnsi="Times New Roman" w:eastAsia="宋体"/>
          <w:sz w:val="24"/>
        </w:rPr>
        <w:t>Bt = Baut H,t(Bt, St)</w:t>
      </w:r>
    </w:p>
    <w:p>
      <w:pPr>
        <w:pStyle w:val="DocBody"/>
      </w:pPr>
      <w:r>
        <w:rPr>
          <w:rFonts w:ascii="Times New Roman" w:hAnsi="Times New Roman" w:eastAsia="宋体"/>
          <w:sz w:val="24"/>
        </w:rPr>
        <w:t>(12)</w:t>
      </w:r>
    </w:p>
    <w:p>
      <w:pPr>
        <w:pStyle w:val="DocBody"/>
      </w:pPr>
      <w:r>
        <w:rPr>
          <w:rFonts w:ascii="Times New Roman" w:hAnsi="Times New Roman" w:eastAsia="宋体"/>
          <w:sz w:val="24"/>
        </w:rPr>
        <w:t>A = Aaut H,t(Bt, St) + Aaut F,t (Bt, St)</w:t>
      </w:r>
    </w:p>
    <w:p>
      <w:pPr>
        <w:pStyle w:val="DocBody"/>
      </w:pPr>
      <w:r>
        <w:rPr>
          <w:rFonts w:ascii="Times New Roman" w:hAnsi="Times New Roman" w:eastAsia="宋体"/>
          <w:sz w:val="24"/>
        </w:rPr>
        <w:t>(13)</w:t>
      </w:r>
    </w:p>
    <w:p>
      <w:pPr>
        <w:pStyle w:val="DocBody"/>
      </w:pPr>
      <w:r>
        <w:rPr>
          <w:rFonts w:ascii="Times New Roman" w:hAnsi="Times New Roman" w:eastAsia="宋体"/>
          <w:sz w:val="24"/>
        </w:rPr>
        <w:t>While the fundamental sanction decision is driven by the economic and geopolitical trade- offs described above, standard discrete-choice default models generate discontinuous policy functions that complicate numerical solutions of the investors’ portfolio problem. To en- sure differentiability and unique pricing schedules, we follow Dvorkin et al. (2021) and the recent quantitative sovereign debt literature, assuming the sovereign’s decision is addition- ally perturbed by additive, idiosyncratic Extreme Value Type I (Gumbel) preference shocks, scaled by a dispersion parameter σV . This implies that the sanctioning decision becomes probabilistic from the perspective of the investors, instead of a deterministic one given (S).</w:t>
      </w:r>
    </w:p>
    <w:p>
      <w:pPr>
        <w:pStyle w:val="DocBody"/>
      </w:pPr>
      <w:r>
        <w:rPr>
          <w:rFonts w:ascii="Times New Roman" w:hAnsi="Times New Roman" w:eastAsia="宋体"/>
          <w:sz w:val="24"/>
        </w:rPr>
        <w:t>The ex-ante continuation value V (B, S) takes a closed-form log-sum-exp formulation over Vcom and Vsan, and the probability of sanctions is a straightforward function of the relative fundamental value of each choice.2 2.3 The Investors In the economy there are two types of investors: domestic and foreign i = {H, F}. Each receives their idiosyncratic exogenous endowments Zi,t and derives utility from both con- sumption Ci,t and liquidity services Li,t provided by their portfolio of assets.</w:t>
      </w:r>
    </w:p>
    <w:p>
      <w:pPr>
        <w:pStyle w:val="DocBody"/>
      </w:pPr>
      <w:r>
        <w:rPr>
          <w:rFonts w:ascii="Times New Roman" w:hAnsi="Times New Roman" w:eastAsia="宋体"/>
          <w:sz w:val="24"/>
        </w:rPr>
        <w:t>Liquidity services are a function of gold Ai,t and sovereign bond Bi,t holdings. Finally, investors are risk-averse in both consumption and liquidity services. While we calibrate the foreign in- vestor F to match the aggregate savings behavior of geopolitically-exposed economies such as China, the model is agnostic about whether this demand originates from the official sector or from private households and retail investors3 2The explicit formulation of the smoothed value function and the resulting logistic probabilities are detailed in Appendix C.</w:t>
      </w:r>
    </w:p>
    <w:p>
      <w:pPr>
        <w:pStyle w:val="DocBody"/>
      </w:pPr>
      <w:r>
        <w:rPr>
          <w:rFonts w:ascii="Times New Roman" w:hAnsi="Times New Roman" w:eastAsia="宋体"/>
          <w:sz w:val="24"/>
        </w:rPr>
        <w:t>3In practice, the two are difficult to separate: the recent surge in gold demand from non-aligned economies reflects both central bank accumulation and large-scale household gold purchases — notably through Chinese gold ETFs and physical channels.</w:t>
      </w:r>
    </w:p>
    <w:p>
      <w:pPr>
        <w:pStyle w:val="DocBody"/>
      </w:pPr>
      <w:r>
        <w:rPr>
          <w:rFonts w:ascii="Times New Roman" w:hAnsi="Times New Roman" w:eastAsia="宋体"/>
          <w:sz w:val="24"/>
        </w:rPr>
        <w:t>Both groups face similar concerns about the political accessibility of dollar-denominated assets, and both are captured by F’s equilibrium portfolio response. Consistent with this interpretation, the domestic investor H — who absorbs bonds at a discount when F retreats — mirrors the pattern in US Treasury International Capital data, where domestic holdings of US Treasuries have risen alongside the decline in foreign official holdings.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 expositional purposes, we explain first the foreign investors’ optimization problem as they are the ones subject to sanction risk. F maximizes expected utility UF:</w:t>
      </w:r>
    </w:p>
    <w:p>
      <w:pPr>
        <w:pStyle w:val="DocBody"/>
      </w:pPr>
      <w:r>
        <w:rPr>
          <w:rFonts w:ascii="Times New Roman" w:hAnsi="Times New Roman" w:eastAsia="宋体"/>
          <w:sz w:val="24"/>
        </w:rPr>
        <w:t>UF = E0 ∞ X t=0 βt F  log(CF,t) + ϕ L1−η F,t 1 −η   (14)</w:t>
      </w:r>
    </w:p>
    <w:p>
      <w:pPr>
        <w:pStyle w:val="DocBody"/>
      </w:pPr>
      <w:r>
        <w:rPr>
          <w:rFonts w:ascii="Times New Roman" w:hAnsi="Times New Roman" w:eastAsia="宋体"/>
          <w:sz w:val="24"/>
        </w:rPr>
        <w:t>where the inner liquidity index LF,t is:</w:t>
      </w:r>
    </w:p>
    <w:p>
      <w:pPr>
        <w:pStyle w:val="DocBody"/>
      </w:pPr>
      <w:r>
        <w:rPr>
          <w:rFonts w:ascii="Times New Roman" w:hAnsi="Times New Roman" w:eastAsia="宋体"/>
          <w:sz w:val="24"/>
        </w:rPr>
        <w:t>LF,t = h ωAρ F,t + (1 −ω)Bρ F,t i 1 ρ (15)</w:t>
      </w:r>
    </w:p>
    <w:p>
      <w:pPr>
        <w:pStyle w:val="DocBody"/>
      </w:pPr>
      <w:r>
        <w:rPr>
          <w:rFonts w:ascii="Times New Roman" w:hAnsi="Times New Roman" w:eastAsia="宋体"/>
          <w:sz w:val="24"/>
        </w:rPr>
        <w:t>We model liquidity services using a Constant Elasticity of Substitution (CES) aggregator nested inside a Constant Relative Risk Aversion (CRRA) utility framework with curvature parameter η. This flexible functional form allows us to capture the imperfect substitutability between physical gold and sovereign bonds in satisfying the investors’ liquidity needs, as well as risk aversion and willingness to smooth intertemporally. The parameter ρ &lt; 1 governs the elasticity of substitution 1/(1 −ρ) between the two safe assets, while ω determines the relative importance of an asset in satisfying liquidity needs. The budget constraint is given by:</w:t>
      </w:r>
    </w:p>
    <w:p>
      <w:pPr>
        <w:pStyle w:val="DocBody"/>
      </w:pPr>
      <w:r>
        <w:rPr>
          <w:rFonts w:ascii="Times New Roman" w:hAnsi="Times New Roman" w:eastAsia="宋体"/>
          <w:sz w:val="24"/>
        </w:rPr>
        <w:t>CF,t +QA,tAF,t +QB,tBF,t + τg 2 (min{0, ∆AF,t})2 = ZF,t +BF,t−1(1−1S t κ)+QA,tAF,t−1 (16)</w:t>
      </w:r>
    </w:p>
    <w:p>
      <w:pPr>
        <w:pStyle w:val="DocBody"/>
      </w:pPr>
      <w:r>
        <w:rPr>
          <w:rFonts w:ascii="Times New Roman" w:hAnsi="Times New Roman" w:eastAsia="宋体"/>
          <w:sz w:val="24"/>
        </w:rPr>
        <w:t>where QA,t is the price of gold and QB,t the price of H bonds. In addition, gold transactions are subject to quadratic shipping costs, parameterized by τg. ∆AF,t = AF,t −AF,t−1 is the total change in gold holdings of F and τg scales the importance of these costs. These costs capture the physical, legal, and logistical frictions involved in moving physical gold across borders, in particular in the case when gold is initially stored domestically, and then moved when it is sold. We assume that the transport costs are borne by the seller and included in the market price QA,t. The min operator ensures that the transaction cost is only paid by the seller, i.e. when ∆A &lt; 0. 1S t ∈{0, 1} is an indicator variable representing the sovereign’s endogenous decision to impose sanctions (or not), and κ is the financial haircut applied to sanctioned foreign-held bonds4.</w:t>
      </w:r>
    </w:p>
    <w:p>
      <w:pPr>
        <w:pStyle w:val="DocBody"/>
      </w:pPr>
      <w:r>
        <w:rPr>
          <w:rFonts w:ascii="Times New Roman" w:hAnsi="Times New Roman" w:eastAsia="宋体"/>
          <w:sz w:val="24"/>
        </w:rPr>
        <w:t>Taking first-order conditions yields the asset pricing equations.</w:t>
      </w:r>
    </w:p>
    <w:p>
      <w:pPr>
        <w:pStyle w:val="DocBody"/>
      </w:pPr>
      <w:r>
        <w:rPr>
          <w:rFonts w:ascii="Times New Roman" w:hAnsi="Times New Roman" w:eastAsia="宋体"/>
          <w:sz w:val="24"/>
        </w:rPr>
        <w:t>QA,t + ξF,t = CF,t</w:t>
      </w:r>
    </w:p>
    <w:p>
      <w:pPr>
        <w:pStyle w:val="DocBody"/>
      </w:pPr>
      <w:r>
        <w:rPr>
          <w:rFonts w:ascii="Times New Roman" w:hAnsi="Times New Roman" w:eastAsia="宋体"/>
          <w:sz w:val="24"/>
        </w:rPr>
        <w:t>βFEt "QA,t+1 + ξF,t+1 CF,t+1</w:t>
      </w:r>
    </w:p>
    <w:p>
      <w:pPr>
        <w:pStyle w:val="DocH1"/>
      </w:pPr>
    </w:p>
    <w:p>
      <w:pPr>
        <w:pStyle w:val="DocBody"/>
        <w:ind w:left="765"/>
      </w:pPr>
      <w:r>
        <w:rPr>
          <w:rFonts w:ascii="Times New Roman" w:hAnsi="Times New Roman" w:eastAsia="宋体"/>
          <w:sz w:val="24"/>
        </w:rPr>
        <w:t>LA,F,t !</w:t>
      </w:r>
    </w:p>
    <w:p>
      <w:pPr>
        <w:pStyle w:val="DocBody"/>
      </w:pPr>
      <w:r>
        <w:rPr>
          <w:rFonts w:ascii="Times New Roman" w:hAnsi="Times New Roman" w:eastAsia="宋体"/>
          <w:sz w:val="24"/>
        </w:rPr>
        <w:t>(17)</w:t>
      </w:r>
    </w:p>
    <w:p>
      <w:pPr>
        <w:pStyle w:val="DocBody"/>
      </w:pPr>
      <w:r>
        <w:rPr>
          <w:rFonts w:ascii="Times New Roman" w:hAnsi="Times New Roman" w:eastAsia="宋体"/>
          <w:sz w:val="24"/>
        </w:rPr>
        <w:t>4The model can be easily extended to add a stochastic κ. While this adds some additional realism to the model, the main mechanisms and dynamics of the model remain very similar so we abstract from it in the calibration.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QB,t = CF,t</w:t>
      </w:r>
    </w:p>
    <w:p>
      <w:pPr>
        <w:pStyle w:val="DocBody"/>
      </w:pPr>
      <w:r>
        <w:rPr>
          <w:rFonts w:ascii="Times New Roman" w:hAnsi="Times New Roman" w:eastAsia="宋体"/>
          <w:sz w:val="24"/>
        </w:rPr>
        <w:t>βFEt "1 −1S t+1κ CF,t+1</w:t>
      </w:r>
    </w:p>
    <w:p>
      <w:pPr>
        <w:pStyle w:val="DocH1"/>
      </w:pPr>
    </w:p>
    <w:p>
      <w:pPr>
        <w:pStyle w:val="DocBody"/>
        <w:ind w:left="765"/>
      </w:pPr>
      <w:r>
        <w:rPr>
          <w:rFonts w:ascii="Times New Roman" w:hAnsi="Times New Roman" w:eastAsia="宋体"/>
          <w:sz w:val="24"/>
        </w:rPr>
        <w:t>LB,F,t !</w:t>
      </w:r>
    </w:p>
    <w:p>
      <w:pPr>
        <w:pStyle w:val="DocBody"/>
      </w:pPr>
      <w:r>
        <w:rPr>
          <w:rFonts w:ascii="Times New Roman" w:hAnsi="Times New Roman" w:eastAsia="宋体"/>
          <w:sz w:val="24"/>
        </w:rPr>
        <w:t>(18)</w:t>
      </w:r>
    </w:p>
    <w:p>
      <w:pPr>
        <w:pStyle w:val="DocBody"/>
      </w:pPr>
      <w:r>
        <w:rPr>
          <w:rFonts w:ascii="Times New Roman" w:hAnsi="Times New Roman" w:eastAsia="宋体"/>
          <w:sz w:val="24"/>
        </w:rPr>
        <w:t>where ξF,t = τg min{0, ∆AF,t} and Li represents the marginal utility derived from the liq- uidity services of asset i:</w:t>
      </w:r>
    </w:p>
    <w:p>
      <w:pPr>
        <w:pStyle w:val="DocBody"/>
      </w:pPr>
      <w:r>
        <w:rPr>
          <w:rFonts w:ascii="Times New Roman" w:hAnsi="Times New Roman" w:eastAsia="宋体"/>
          <w:sz w:val="24"/>
        </w:rPr>
        <w:t>LA,F,t = ϕ h ωAρ F,t + (1 −ω)Bρ F,t i 1−η ρ −1 ωAρ−1 F,t (19)</w:t>
      </w:r>
    </w:p>
    <w:p>
      <w:pPr>
        <w:pStyle w:val="DocBody"/>
      </w:pPr>
      <w:r>
        <w:rPr>
          <w:rFonts w:ascii="Times New Roman" w:hAnsi="Times New Roman" w:eastAsia="宋体"/>
          <w:sz w:val="24"/>
        </w:rPr>
        <w:t>LB,F,t = ϕ h ωAρ F,t + (1 −ω)Bρ F,t i 1−η ρ −1 (1 −ω)Bρ−1 F,t (20)</w:t>
      </w:r>
    </w:p>
    <w:p>
      <w:pPr>
        <w:pStyle w:val="DocBody"/>
      </w:pPr>
      <w:r>
        <w:rPr>
          <w:rFonts w:ascii="Times New Roman" w:hAnsi="Times New Roman" w:eastAsia="宋体"/>
          <w:sz w:val="24"/>
        </w:rPr>
        <w:t>The domestic investor has an identical preference structure, maximizing:</w:t>
      </w:r>
    </w:p>
    <w:p>
      <w:pPr>
        <w:pStyle w:val="DocBody"/>
      </w:pPr>
      <w:r>
        <w:rPr>
          <w:rFonts w:ascii="Times New Roman" w:hAnsi="Times New Roman" w:eastAsia="宋体"/>
          <w:sz w:val="24"/>
        </w:rPr>
        <w:t>UH = E0 ∞ X t=0 βt H  log(CH,t) + ϕ L1−η H,t 1 −η  , LH,t = h ωAρ H,t + (1 −ω)Bρ H,t i 1 ρ (21)</w:t>
      </w:r>
    </w:p>
    <w:p>
      <w:pPr>
        <w:pStyle w:val="DocBody"/>
      </w:pPr>
      <w:r>
        <w:rPr>
          <w:rFonts w:ascii="Times New Roman" w:hAnsi="Times New Roman" w:eastAsia="宋体"/>
          <w:sz w:val="24"/>
        </w:rPr>
        <w:t>subject to the budget constraint:</w:t>
      </w:r>
    </w:p>
    <w:p>
      <w:pPr>
        <w:pStyle w:val="DocBody"/>
      </w:pPr>
      <w:r>
        <w:rPr>
          <w:rFonts w:ascii="Times New Roman" w:hAnsi="Times New Roman" w:eastAsia="宋体"/>
          <w:sz w:val="24"/>
        </w:rPr>
        <w:t>CH,t +QA,tAH,t +QB,tBH,t + τg 2 (min{0, ∆AH,t})2 = (1−1S t ψ)(1−τ)Zt +BH,t−1 +QA,tAH,t−1 (22)</w:t>
      </w:r>
    </w:p>
    <w:p>
      <w:pPr>
        <w:pStyle w:val="DocBody"/>
      </w:pPr>
      <w:r>
        <w:rPr>
          <w:rFonts w:ascii="Times New Roman" w:hAnsi="Times New Roman" w:eastAsia="宋体"/>
          <w:sz w:val="24"/>
        </w:rPr>
        <w:t>One important difference with respect to the foreign investor’s problem is that in case of sanctions 1S = 1 the output loss ψ is economy-wide. It reduces total endowment in the economy Zt in the sanctioning period, shrinking both the government’s tax revenue τZt and the private sector’s endowment (1 −τ)Zt. F’s endowment ZF,t is unaffected, as the output disruption is purely domestic. Two further features distinguish the domestic investor from the foreign investor. First, domestically held debt carries no sanction risk so the sovereign never imposes a haircut on BH and its bond payoff is always BH,t regardless of 1S t . Finally, the domestic investor is less patient (βH &lt; βF), reflecting strong demand for savings of foreign investors ensuring a positive international investment position by F. The first-order conditions mirror those of F, just with κ = 0:</w:t>
      </w:r>
    </w:p>
    <w:p>
      <w:pPr>
        <w:pStyle w:val="DocBody"/>
      </w:pPr>
      <w:r>
        <w:rPr>
          <w:rFonts w:ascii="Times New Roman" w:hAnsi="Times New Roman" w:eastAsia="宋体"/>
          <w:sz w:val="24"/>
        </w:rPr>
        <w:t>QB,t = CH,t</w:t>
      </w:r>
    </w:p>
    <w:p>
      <w:pPr>
        <w:pStyle w:val="DocBody"/>
      </w:pPr>
      <w:r>
        <w:rPr>
          <w:rFonts w:ascii="Times New Roman" w:hAnsi="Times New Roman" w:eastAsia="宋体"/>
          <w:sz w:val="24"/>
        </w:rPr>
        <w:t>βHEt "</w:t>
      </w:r>
    </w:p>
    <w:p>
      <w:pPr>
        <w:pStyle w:val="DocBody"/>
      </w:pPr>
      <w:r>
        <w:rPr>
          <w:rFonts w:ascii="Times New Roman" w:hAnsi="Times New Roman" w:eastAsia="宋体"/>
          <w:sz w:val="24"/>
        </w:rPr>
        <w:t>CH,t+1</w:t>
      </w:r>
    </w:p>
    <w:p>
      <w:pPr>
        <w:pStyle w:val="DocH1"/>
      </w:pPr>
    </w:p>
    <w:p>
      <w:pPr>
        <w:pStyle w:val="DocBody"/>
        <w:ind w:left="765"/>
      </w:pPr>
      <w:r>
        <w:rPr>
          <w:rFonts w:ascii="Times New Roman" w:hAnsi="Times New Roman" w:eastAsia="宋体"/>
          <w:sz w:val="24"/>
        </w:rPr>
        <w:t>LB,H,t !</w:t>
      </w:r>
    </w:p>
    <w:p>
      <w:pPr>
        <w:pStyle w:val="DocBody"/>
      </w:pPr>
      <w:r>
        <w:rPr>
          <w:rFonts w:ascii="Times New Roman" w:hAnsi="Times New Roman" w:eastAsia="宋体"/>
          <w:sz w:val="24"/>
        </w:rPr>
        <w:t>(23)</w:t>
      </w:r>
    </w:p>
    <w:p>
      <w:pPr>
        <w:pStyle w:val="DocBody"/>
      </w:pPr>
      <w:r>
        <w:rPr>
          <w:rFonts w:ascii="Times New Roman" w:hAnsi="Times New Roman" w:eastAsia="宋体"/>
          <w:sz w:val="24"/>
        </w:rPr>
        <w:t>QA,t + ξH,t = CH,t</w:t>
      </w:r>
    </w:p>
    <w:p>
      <w:pPr>
        <w:pStyle w:val="DocBody"/>
      </w:pPr>
      <w:r>
        <w:rPr>
          <w:rFonts w:ascii="Times New Roman" w:hAnsi="Times New Roman" w:eastAsia="宋体"/>
          <w:sz w:val="24"/>
        </w:rPr>
        <w:t>βHEt "QA,t+1 + ξH,t+1 CH,t+1</w:t>
      </w:r>
    </w:p>
    <w:p>
      <w:pPr>
        <w:pStyle w:val="DocH1"/>
      </w:pPr>
    </w:p>
    <w:p>
      <w:pPr>
        <w:pStyle w:val="DocBody"/>
        <w:ind w:left="765"/>
      </w:pPr>
      <w:r>
        <w:rPr>
          <w:rFonts w:ascii="Times New Roman" w:hAnsi="Times New Roman" w:eastAsia="宋体"/>
          <w:sz w:val="24"/>
        </w:rPr>
        <w:t>LA,H,t !</w:t>
      </w:r>
    </w:p>
    <w:p>
      <w:pPr>
        <w:pStyle w:val="DocBody"/>
      </w:pPr>
      <w:r>
        <w:rPr>
          <w:rFonts w:ascii="Times New Roman" w:hAnsi="Times New Roman" w:eastAsia="宋体"/>
          <w:sz w:val="24"/>
        </w:rPr>
        <w:t>(24)</w:t>
      </w:r>
    </w:p>
    <w:p>
      <w:pPr>
        <w:pStyle w:val="DocBody"/>
      </w:pPr>
      <w:r>
        <w:rPr>
          <w:rFonts w:ascii="Times New Roman" w:hAnsi="Times New Roman" w:eastAsia="宋体"/>
          <w:sz w:val="24"/>
        </w:rPr>
        <w:t>where ξH,t indicates transport costs for gold.</w:t>
      </w:r>
    </w:p>
    <w:p>
      <w:pPr>
        <w:pStyle w:val="DocBody"/>
      </w:pPr>
      <w:r>
        <w:rPr>
          <w:rFonts w:ascii="Times New Roman" w:hAnsi="Times New Roman" w:eastAsia="宋体"/>
          <w:sz w:val="24"/>
        </w:rPr>
        <w:t>Finally, in equilibrium, bond and gold prices clear the market, ensuring global demand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 each asset equals supply.</w:t>
      </w:r>
    </w:p>
    <w:p>
      <w:pPr>
        <w:pStyle w:val="DocBody"/>
      </w:pPr>
      <w:r>
        <w:rPr>
          <w:rFonts w:ascii="Times New Roman" w:hAnsi="Times New Roman" w:eastAsia="宋体"/>
          <w:sz w:val="24"/>
        </w:rPr>
        <w:t>AF,t + AH,t = ¯A (25)</w:t>
      </w:r>
    </w:p>
    <w:p>
      <w:pPr>
        <w:pStyle w:val="DocBody"/>
      </w:pPr>
      <w:r>
        <w:rPr>
          <w:rFonts w:ascii="Times New Roman" w:hAnsi="Times New Roman" w:eastAsia="宋体"/>
          <w:sz w:val="24"/>
        </w:rPr>
        <w:t>BF,t + BH,t = Bt (26)</w:t>
      </w:r>
    </w:p>
    <w:p>
      <w:pPr>
        <w:pStyle w:val="DocBody"/>
      </w:pPr>
      <w:r>
        <w:rPr>
          <w:rFonts w:ascii="Times New Roman" w:hAnsi="Times New Roman" w:eastAsia="宋体"/>
          <w:sz w:val="24"/>
        </w:rPr>
        <w:t>2.4 Imperfect Substitutability and Liquidity Scarcity Gold and bonds are imperfect substitutes within the bundle of liquidity services LF if ρ &lt; 1.</w:t>
      </w:r>
    </w:p>
    <w:p>
      <w:pPr>
        <w:pStyle w:val="DocBody"/>
      </w:pPr>
      <w:r>
        <w:rPr>
          <w:rFonts w:ascii="Times New Roman" w:hAnsi="Times New Roman" w:eastAsia="宋体"/>
          <w:sz w:val="24"/>
        </w:rPr>
        <w:t>In case H chooses to impose sanctions, foreign-held bond wealth is reduced and access to new sovereign debt is restricted. This loss of bond wealth causes the total liquidity index LF to shrink significantly.</w:t>
      </w:r>
    </w:p>
    <w:p>
      <w:pPr>
        <w:pStyle w:val="DocBody"/>
      </w:pPr>
      <w:r>
        <w:rPr>
          <w:rFonts w:ascii="Times New Roman" w:hAnsi="Times New Roman" w:eastAsia="宋体"/>
          <w:sz w:val="24"/>
        </w:rPr>
        <w:t>The reaction of gold holdings due to a drop in bond holdings is determined by two competing partial equilibrium effects on the marginal liquidity yield of gold LA,F,t = ∂U ∂L ∂L ∂A.</w:t>
      </w:r>
    </w:p>
    <w:p>
      <w:pPr>
        <w:pStyle w:val="DocBody"/>
      </w:pPr>
      <w:r>
        <w:rPr>
          <w:rFonts w:ascii="Times New Roman" w:hAnsi="Times New Roman" w:eastAsia="宋体"/>
          <w:sz w:val="24"/>
        </w:rPr>
        <w:t>On the one hand, the marginal liquidity value of gold becomes lower due to the suboptimal portfolio allocation ( ∂L ∂A declines) imposed by the restricted access to B. On the other hand, the overall scarcity of liquidity services LF,t increases the marginal utility of total liquidity itself ( ∂U ∂L rises)</w:t>
      </w:r>
    </w:p>
    <w:p>
      <w:pPr>
        <w:pStyle w:val="DocBody"/>
      </w:pPr>
      <w:r>
        <w:rPr>
          <w:rFonts w:ascii="Times New Roman" w:hAnsi="Times New Roman" w:eastAsia="宋体"/>
          <w:sz w:val="24"/>
        </w:rPr>
        <w:t>Which of these two forces dominates can be directly understood by inspecting the cross- derivative of the gold Equation (19):</w:t>
      </w:r>
    </w:p>
    <w:p>
      <w:pPr>
        <w:pStyle w:val="DocBody"/>
      </w:pPr>
      <w:r>
        <w:rPr>
          <w:rFonts w:ascii="Times New Roman" w:hAnsi="Times New Roman" w:eastAsia="宋体"/>
          <w:sz w:val="24"/>
        </w:rPr>
        <w:t>∂LA,F,t ∂BF,t = ϕωAρ−1 F,t (1 −η −ρ)L−η−ρ F,t ∂LF,t ∂BF,t (27)</w:t>
      </w:r>
    </w:p>
    <w:p>
      <w:pPr>
        <w:pStyle w:val="DocBody"/>
      </w:pPr>
      <w:r>
        <w:rPr>
          <w:rFonts w:ascii="Times New Roman" w:hAnsi="Times New Roman" w:eastAsia="宋体"/>
          <w:sz w:val="24"/>
        </w:rPr>
        <w:t>The sign of the impact is given by the combination of parameters η and ρ. If η + ρ &gt; 1, we have flight-to-gold, as the liquidity scarcity effect dominates the portfolio allocation effect.</w:t>
      </w:r>
    </w:p>
    <w:p>
      <w:pPr>
        <w:pStyle w:val="DocBody"/>
      </w:pPr>
      <w:r>
        <w:rPr>
          <w:rFonts w:ascii="Times New Roman" w:hAnsi="Times New Roman" w:eastAsia="宋体"/>
          <w:sz w:val="24"/>
        </w:rPr>
        <w:t>The stronger the aversion to liquidity shortages η and the higher the elasticity of substitution ρ, the more amplified the shift in demand towards gold will be.</w:t>
      </w:r>
    </w:p>
    <w:p>
      <w:pPr>
        <w:pStyle w:val="DocBody"/>
      </w:pPr>
      <w:r>
        <w:rPr>
          <w:rFonts w:ascii="Times New Roman" w:hAnsi="Times New Roman" w:eastAsia="宋体"/>
          <w:sz w:val="24"/>
        </w:rPr>
        <w:t>In the case where agents have log-utility over the liquidity bundle (η = 1), the flight-to- gold condition (η + ρ &gt; 1) is strictly satisfied for any ρ ∈(0, 1). In the log case, the above expression simplifies to the following function of the individual asset positions:</w:t>
      </w:r>
    </w:p>
    <w:p>
      <w:pPr>
        <w:pStyle w:val="DocBody"/>
      </w:pPr>
      <w:r>
        <w:rPr>
          <w:rFonts w:ascii="Times New Roman" w:hAnsi="Times New Roman" w:eastAsia="宋体"/>
          <w:sz w:val="24"/>
        </w:rPr>
        <w:t>∂LA,F,t ∂BF,t = −ϕω(1 −ω)ρ (AF,tBF,t)ρ−1 h ωAρ F,t + (1 −ω)Bρ F,t i2 &lt; 0 (28)</w:t>
      </w:r>
    </w:p>
    <w:p>
      <w:pPr>
        <w:pStyle w:val="DocBody"/>
      </w:pPr>
      <w:r>
        <w:rPr>
          <w:rFonts w:ascii="Times New Roman" w:hAnsi="Times New Roman" w:eastAsia="宋体"/>
          <w:sz w:val="24"/>
        </w:rPr>
        <w:t>When H imposes a sanction, it not only expropriates a fraction of existing foreign wealth but excludes F from its debt markets, constraining their forward-looking portfolio choice to BF = 0. This strictly increases the marginal liquidity value of gold. This formulation illustrates the mechanics of the liquidity scarcity premium. As wealth is lower and exclusion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forces foreign bond holdings BF,t to be 0, the liquidity bundle contracts, generating convex upward pressure on the marginal yield of the safe asset. The higher the ρ, the stronger the substitution effect toward the sanction-proof asset to compensate for loss of bond market access.</w:t>
      </w:r>
    </w:p>
    <w:p>
      <w:pPr>
        <w:pStyle w:val="DocBody"/>
      </w:pPr>
      <w:r>
        <w:rPr>
          <w:rFonts w:ascii="Times New Roman" w:hAnsi="Times New Roman" w:eastAsia="宋体"/>
          <w:sz w:val="24"/>
        </w:rPr>
        <w:t>2.5 Asset Demand and Rising Geopolitical Risk In this section, we derive predictions for a regime shift from tranquility (M = 0) to turbulence (M = 1). Let P(1t+1 = 1) denote the conditional probability of sanctions in t + 1. The transition to turbulence triggers an immediate repricing of sovereign debt, driven not just by the higher probability of sanctions, but by the endogenous amplification of geopolitical risk and liquidity scarcity.</w:t>
      </w:r>
    </w:p>
    <w:p>
      <w:pPr>
        <w:pStyle w:val="DocBody"/>
      </w:pPr>
      <w:r>
        <w:rPr>
          <w:rFonts w:ascii="Times New Roman" w:hAnsi="Times New Roman" w:eastAsia="宋体"/>
          <w:sz w:val="24"/>
        </w:rPr>
        <w:t>The transition to turbulence triggers a repricing of sovereign debt, driven by both an endogenous geopolitical risk premium and a shift in the marginal liquidity yield. Applying a covariance decomposition to the foreign investor’s bond Euler equation (Equation 18) isolates these distinct pricing channels:</w:t>
      </w:r>
    </w:p>
    <w:p>
      <w:pPr>
        <w:pStyle w:val="DocBody"/>
      </w:pPr>
      <w:r>
        <w:rPr>
          <w:rFonts w:ascii="Times New Roman" w:hAnsi="Times New Roman" w:eastAsia="宋体"/>
          <w:sz w:val="24"/>
        </w:rPr>
        <w:t>QB,t = Et[MF,t+1]Et h 1 −1S t+1κ i {z } Risk Neutral Value</w:t>
      </w:r>
    </w:p>
    <w:p>
      <w:pPr>
        <w:pStyle w:val="DocBody"/>
        <w:ind w:left="765"/>
      </w:pPr>
      <w:r>
        <w:rPr>
          <w:rFonts w:ascii="Times New Roman" w:hAnsi="Times New Roman" w:eastAsia="宋体"/>
          <w:sz w:val="24"/>
        </w:rPr>
        <w:t>Covt  MF,t+1, 1 −1S t+1κ  {z } Geopolitical Risk Premium</w:t>
      </w:r>
    </w:p>
    <w:p>
      <w:pPr>
        <w:pStyle w:val="DocBody"/>
        <w:ind w:left="765"/>
      </w:pPr>
      <w:r>
        <w:rPr>
          <w:rFonts w:ascii="Times New Roman" w:hAnsi="Times New Roman" w:eastAsia="宋体"/>
          <w:sz w:val="24"/>
        </w:rPr>
        <w:t>CF,tLB,F,t {z } Liquidity Value (29)</w:t>
      </w:r>
    </w:p>
    <w:p>
      <w:pPr>
        <w:pStyle w:val="DocBody"/>
      </w:pPr>
      <w:r>
        <w:rPr>
          <w:rFonts w:ascii="Times New Roman" w:hAnsi="Times New Roman" w:eastAsia="宋体"/>
          <w:sz w:val="24"/>
        </w:rPr>
        <w:t>where MF,t+1 ≡βF(CF,t/CF,t+1) is the foreign investor’s stochastic discount factor. In the turbulent regime, the covariance term Covt(MF,t+1, 1 −1S t+1κ) becomes more negative as endogenous sanction risk rises. Since sanctions are in effect a targeted wealth shock, they compress foreign consumption and cause the SDF to rise exactly when the bond payoff drops.</w:t>
      </w:r>
    </w:p>
    <w:p>
      <w:pPr>
        <w:pStyle w:val="DocBody"/>
      </w:pPr>
      <w:r>
        <w:rPr>
          <w:rFonts w:ascii="Times New Roman" w:hAnsi="Times New Roman" w:eastAsia="宋体"/>
          <w:sz w:val="24"/>
        </w:rPr>
        <w:t>This negative comovement drives the price QB,t lower than the probability of sanctions alone would imply. The final term CF,tLB,F,t mitigates this effect. As geopolitical tensions rise, F rebalances away from sanctionable bonds and the scarcity effect drives up their marginal liquidity value.</w:t>
      </w:r>
    </w:p>
    <w:p>
      <w:pPr>
        <w:pStyle w:val="DocBody"/>
      </w:pPr>
      <w:r>
        <w:rPr>
          <w:rFonts w:ascii="Times New Roman" w:hAnsi="Times New Roman" w:eastAsia="宋体"/>
          <w:sz w:val="24"/>
        </w:rPr>
        <w:t>As F sells bonds to buy gold, the opposite is happening in H’s Euler Equation. Bonds become a larger share of H’s portfolio, reducing their liquidity value. This clears the market, despite the different risk neutral valuations for H and F investors.</w:t>
      </w:r>
    </w:p>
    <w:p>
      <w:pPr>
        <w:pStyle w:val="DocBody"/>
      </w:pPr>
      <w:r>
        <w:rPr>
          <w:rFonts w:ascii="Times New Roman" w:hAnsi="Times New Roman" w:eastAsia="宋体"/>
          <w:sz w:val="24"/>
        </w:rPr>
        <w:t>The size of the portfolio reallocation is determined by the relative convenience yields of the two assets. Dividing F’s bond first-order condition (18) by gold’s first-order condition (17) and rearranging terms:</w:t>
      </w:r>
    </w:p>
    <w:p>
      <w:pPr>
        <w:pStyle w:val="DocBody"/>
      </w:pPr>
      <w:r>
        <w:rPr>
          <w:rFonts w:ascii="Times New Roman" w:hAnsi="Times New Roman" w:eastAsia="宋体"/>
          <w:sz w:val="24"/>
        </w:rPr>
        <w:t>QB,t −Et[MF,t+1(1 −1S t+1κ)] QA,t + ξF,t −Et[MF,t+1 (QA,t+1 + ξF,t+1)] = LB,F,t LA,F,t = 1 −ω ω BF,t AF,t !ρ−1 (30)</w:t>
      </w:r>
    </w:p>
    <w:p>
      <w:pPr>
        <w:pStyle w:val="DocBody"/>
      </w:pPr>
      <w:r>
        <w:rPr>
          <w:rFonts w:ascii="Times New Roman" w:hAnsi="Times New Roman" w:eastAsia="宋体"/>
          <w:sz w:val="24"/>
        </w:rPr>
        <w:t>As the sanction probability rises in the turbulent regime, the expected payoff of the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bond falls, which ceteris paribus compresses the numerator on the left-hand side. At the initial asset allocation, the investor’s ratio of marginal liquidity yields on the right-hand side is now too high relative to the risk-adjusted market pricing. To restore equilibrium, asset allocations and prices need to adjust. As assets are imperfect substitutes (ρ &lt; 1), this requires a reduction in the quantity ratio BF,t/AF,t. This is the flight-to-gold rebalancing:</w:t>
      </w:r>
    </w:p>
    <w:p>
      <w:pPr>
        <w:pStyle w:val="DocBody"/>
      </w:pPr>
      <w:r>
        <w:rPr>
          <w:rFonts w:ascii="Times New Roman" w:hAnsi="Times New Roman" w:eastAsia="宋体"/>
          <w:sz w:val="24"/>
        </w:rPr>
        <w:t>F sells bonds to purchase geopolitically safe gold, thereby trading liquidity for geopolitical safety.</w:t>
      </w:r>
    </w:p>
    <w:p>
      <w:pPr>
        <w:pStyle w:val="DocBody"/>
      </w:pPr>
      <w:r>
        <w:rPr>
          <w:rFonts w:ascii="Times New Roman" w:hAnsi="Times New Roman" w:eastAsia="宋体"/>
          <w:sz w:val="24"/>
        </w:rPr>
        <w:t>Unlike bonds, gold prices are predicted to appreciate during the turbulent transition from M = 0 to M = 1. This is driven by gold’s political neutrality and rising scarcity value. In states where bond wealth is at risk of being expropriated, gold provides higher return and high liquidity services precisely when the marginal utility of wealth is highest.</w:t>
      </w:r>
    </w:p>
    <w:p>
      <w:pPr>
        <w:pStyle w:val="DocBody"/>
      </w:pPr>
      <w:r>
        <w:rPr>
          <w:rFonts w:ascii="Times New Roman" w:hAnsi="Times New Roman" w:eastAsia="宋体"/>
          <w:sz w:val="24"/>
        </w:rPr>
        <w:t>QA,t + ξF,t = Et[MF,t+1]Et [QA,t+1 + ξF,t+1] {z } Risk-Neutral Value</w:t>
      </w:r>
    </w:p>
    <w:p>
      <w:pPr>
        <w:pStyle w:val="DocBody"/>
        <w:ind w:left="765"/>
      </w:pPr>
      <w:r>
        <w:rPr>
          <w:rFonts w:ascii="Times New Roman" w:hAnsi="Times New Roman" w:eastAsia="宋体"/>
          <w:sz w:val="24"/>
        </w:rPr>
        <w:t>Covt (MF,t+1, QA,t+1 + ξF,t+1)</w:t>
      </w:r>
    </w:p>
    <w:p>
      <w:pPr>
        <w:pStyle w:val="DocBody"/>
      </w:pPr>
      <w:r>
        <w:rPr>
          <w:rFonts w:ascii="Times New Roman" w:hAnsi="Times New Roman" w:eastAsia="宋体"/>
          <w:sz w:val="24"/>
        </w:rPr>
        <w:t>{z } Geopolitical Hedge Premium</w:t>
      </w:r>
    </w:p>
    <w:p>
      <w:pPr>
        <w:pStyle w:val="DocBody"/>
        <w:ind w:left="765"/>
      </w:pPr>
      <w:r>
        <w:rPr>
          <w:rFonts w:ascii="Times New Roman" w:hAnsi="Times New Roman" w:eastAsia="宋体"/>
          <w:sz w:val="24"/>
        </w:rPr>
        <w:t>CF,tLA,F,t {z } Liquidity Value (31)</w:t>
      </w:r>
    </w:p>
    <w:p>
      <w:pPr>
        <w:pStyle w:val="DocBody"/>
      </w:pPr>
      <w:r>
        <w:rPr>
          <w:rFonts w:ascii="Times New Roman" w:hAnsi="Times New Roman" w:eastAsia="宋体"/>
          <w:sz w:val="24"/>
        </w:rPr>
        <w:t>In contrast to sovereign bonds, the covariance term for gold is strictly positive and grows with sanction risk. Because gold is a bearer asset immune to geopolitical sanctions, it retains its value precisely in the states where F’s consumption is compressed and the SDF spikes.</w:t>
      </w:r>
    </w:p>
    <w:p>
      <w:pPr>
        <w:pStyle w:val="DocBody"/>
      </w:pPr>
      <w:r>
        <w:rPr>
          <w:rFonts w:ascii="Times New Roman" w:hAnsi="Times New Roman" w:eastAsia="宋体"/>
          <w:sz w:val="24"/>
        </w:rPr>
        <w:t>Moreover, the liquidity premium CF,tLA,F,t acts as an amplification mechanism for the price QA,t. As flight-to-gold reduces F’s bond holdings, the contraction of the aggregate liquidity bundle triggers the scarcity effect and generates upward pressure on the marginal liquidity yield of the only remaining safe asset, and gold prices go up. Gold serves as a geopolitical hedge, its price movements providing insurance against the rise of sanction risk, commanding an additional geopolitical hedge premium.</w:t>
      </w:r>
    </w:p>
    <w:p>
      <w:pPr>
        <w:pStyle w:val="DocBody"/>
      </w:pPr>
      <w:r>
        <w:rPr>
          <w:rFonts w:ascii="Times New Roman" w:hAnsi="Times New Roman" w:eastAsia="宋体"/>
          <w:sz w:val="24"/>
        </w:rPr>
        <w:t>2.6 Equilibrium Let St = (Bt−1, St) represent the vector of endogenous and exogenous states at the be- ginning of period t.</w:t>
      </w:r>
    </w:p>
    <w:p>
      <w:pPr>
        <w:pStyle w:val="DocBody"/>
      </w:pPr>
      <w:r>
        <w:rPr>
          <w:rFonts w:ascii="Times New Roman" w:hAnsi="Times New Roman" w:eastAsia="宋体"/>
          <w:sz w:val="24"/>
        </w:rPr>
        <w:t>A recursive Markov perfect equilibrium consists of value functions V (St), Vcom(St), Vsan(St), Vaut(St), government policy functions Bt(St), 1S t (St), investor port- folio policies {Ai,t(St), Bi,t(St)}i∈{H,F}, and pricing schedules QA(St), QB(St) such that:</w:t>
      </w:r>
    </w:p>
    <w:p>
      <w:pPr>
        <w:pStyle w:val="DocBody"/>
        <w:ind w:left="765"/>
      </w:pPr>
      <w:r>
        <w:rPr>
          <w:rFonts w:ascii="Times New Roman" w:hAnsi="Times New Roman" w:eastAsia="宋体"/>
          <w:sz w:val="24"/>
        </w:rPr>
        <w:t>The borrower maximizes its value function, internalizing the demand schedules of both investors</w:t>
      </w:r>
    </w:p>
    <w:p>
      <w:pPr>
        <w:pStyle w:val="DocBody"/>
        <w:ind w:left="765"/>
      </w:pPr>
      <w:r>
        <w:rPr>
          <w:rFonts w:ascii="Times New Roman" w:hAnsi="Times New Roman" w:eastAsia="宋体"/>
          <w:sz w:val="24"/>
        </w:rPr>
        <w:t>Asset pricing schedules satisfy the investors’ Euler equations (17),(18),(24) and (23).</w:t>
      </w:r>
    </w:p>
    <w:p>
      <w:pPr>
        <w:pStyle w:val="DocBody"/>
        <w:ind w:left="765"/>
      </w:pPr>
      <w:r>
        <w:rPr>
          <w:rFonts w:ascii="Times New Roman" w:hAnsi="Times New Roman" w:eastAsia="宋体"/>
          <w:sz w:val="24"/>
        </w:rPr>
        <w:t>Markets for goods clear, and market clearing conditions for gold (25) and bonds (26)</w:t>
      </w:r>
    </w:p>
    <w:p>
      <w:pPr>
        <w:pStyle w:val="DocBody"/>
      </w:pPr>
      <w:r>
        <w:rPr>
          <w:rFonts w:ascii="Times New Roman" w:hAnsi="Times New Roman" w:eastAsia="宋体"/>
          <w:sz w:val="24"/>
        </w:rPr>
        <w:t>hold.</w:t>
      </w:r>
    </w:p>
    <w:p>
      <w:pPr>
        <w:pStyle w:val="DocBody"/>
        <w:ind w:left="765"/>
      </w:pPr>
      <w:r>
        <w:rPr>
          <w:rFonts w:ascii="Times New Roman" w:hAnsi="Times New Roman" w:eastAsia="宋体"/>
          <w:sz w:val="24"/>
        </w:rPr>
        <w:t>The probability of sanctions satisfies the logistic distribution derived from the prefer-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ence shocks: Pr(1S t = 1|St) = h 1 + exp  Vcom(St)−Vsan(St)</w:t>
      </w:r>
    </w:p>
    <w:p>
      <w:pPr>
        <w:pStyle w:val="DocBody"/>
      </w:pPr>
      <w:r>
        <w:rPr>
          <w:rFonts w:ascii="Times New Roman" w:hAnsi="Times New Roman" w:eastAsia="宋体"/>
          <w:sz w:val="24"/>
        </w:rPr>
        <w:t>σV i−1.</w:t>
      </w:r>
    </w:p>
    <w:p>
      <w:pPr>
        <w:pStyle w:val="DocBody"/>
      </w:pPr>
      <w:r>
        <w:rPr>
          <w:rFonts w:ascii="Times New Roman" w:hAnsi="Times New Roman" w:eastAsia="宋体"/>
          <w:sz w:val="24"/>
        </w:rPr>
        <w:t>2.7 Calibration The parameters are displayed in Table 1 and organized into four groups: preference pa- rameters, the CES liquidity bloc, asset-market and default parameters, and the stochastic environment.</w:t>
      </w:r>
    </w:p>
    <w:p>
      <w:pPr>
        <w:pStyle w:val="DocBody"/>
      </w:pPr>
      <w:r>
        <w:rPr>
          <w:rFonts w:ascii="Times New Roman" w:hAnsi="Times New Roman" w:eastAsia="宋体"/>
          <w:sz w:val="24"/>
        </w:rPr>
        <w:t>The government’s discount factor βg = 0.95 is set slightly below the standard value to reflect the short political horizon of policymakers. The foreign investor is nearly perfectly patient, with βF = 0.997, consistent with the view that China’s structural current-account surplus generates a strong and persistent demand for US dollar assets. The domestic H private sector discount factor is set to βH = 0.95, reflecting a higher opportunity cost of holding long-duration safe assets. The CRRA coefficient is set to γ = 2, a standard value in international macroeconomics.</w:t>
      </w:r>
    </w:p>
    <w:p>
      <w:pPr>
        <w:pStyle w:val="DocBody"/>
      </w:pPr>
      <w:r>
        <w:rPr>
          <w:rFonts w:ascii="Times New Roman" w:hAnsi="Times New Roman" w:eastAsia="宋体"/>
          <w:sz w:val="24"/>
        </w:rPr>
        <w:t>The liquidity aggregator Lt = [ωAρ t + (1 −ω)Bρ t ]1/ρ is calibrated with weight ω = 0.4 on gold and 1−ω = 0.6 on bonds, reflecting the larger role sovereign bonds play in international liquidity portfolios relative to physical gold. The substitution parameter ρ = 0.5 implies an elasticity of substitution 1/(1 −ρ) = 2, reflecting meaningful but imperfect substitutability between the two safe assets. The outer curvature parameter η = 1.0 delivers log-aversion in total liquidity, so that reductions in the liquidity index generate spikes in safe-asset demand.</w:t>
      </w:r>
    </w:p>
    <w:p>
      <w:pPr>
        <w:pStyle w:val="DocBody"/>
      </w:pPr>
      <w:r>
        <w:rPr>
          <w:rFonts w:ascii="Times New Roman" w:hAnsi="Times New Roman" w:eastAsia="宋体"/>
          <w:sz w:val="24"/>
        </w:rPr>
        <w:t>The scale parameter ϕ = 0.001 is chosen to match a moderate convenience yield in normal times without allowing liquidity motives to dominate consumption.</w:t>
      </w:r>
    </w:p>
    <w:p>
      <w:pPr>
        <w:pStyle w:val="DocBody"/>
      </w:pPr>
      <w:r>
        <w:rPr>
          <w:rFonts w:ascii="Times New Roman" w:hAnsi="Times New Roman" w:eastAsia="宋体"/>
          <w:sz w:val="24"/>
        </w:rPr>
        <w:t>The global supply of gold is normalized to ¯A = 0.30. The selective haircut κ = 0.30 is applied exclusively to F’s bond holdings upon default, consistent with the legal and institutional barriers that prevent full enforcement of sovereign debt claims across borders.</w:t>
      </w:r>
    </w:p>
    <w:p>
      <w:pPr>
        <w:pStyle w:val="DocBody"/>
      </w:pPr>
      <w:r>
        <w:rPr>
          <w:rFonts w:ascii="Times New Roman" w:hAnsi="Times New Roman" w:eastAsia="宋体"/>
          <w:sz w:val="24"/>
        </w:rPr>
        <w:t>This value is lower than historical haircut estimates for sovereign defaults of Graf von Luckner et al. (2025) as we consider sanctions and not outright default. We use the historical evidence on freezes and seizures of central-bank assets in Ferrari Minesso et al. (2026) and set the re- entry probability to θ = 0.05. This implies that the expected normalization of international bond markets lasts twenty periods, matching a representative freezing duration of roughly five to six years, capturing the persistent nature of geopolitical freezes in practice. The output loss parameter is ψ = 0.002, a 0.2% TFP contraction in the sanctioning period that is assumed to be economy-wide, reducing both government tax revenue τZt and the domestic private-sector endowment (1 −τ)Zt by the same factor. The transportation cost is set to τg = 0.03, a small quadratic friction that allows nearly immediate gold reallocation while preventing numerically degenerate corner solutions. The maximum debt is capped at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Table 1 Baseline Calibration Group Parameter Symbol Value Preferences Government discount factor βg 0.95 F discount factor βF 0.997 H private discount factor βH 0.95 CRRA coefficient γ 2.00 CES Liquidity Liquidity scale ϕ 0.001 Gold weight in CES ω 0.40 CES substitution parameter ρ 0.50 Outer curvature η 1.00 Asset Market &amp; Default Global gold supply ¯A 0.30 Haircut on F’s bonds κ 0.30 Market re-entry probability θ 0.05 Output loss (default)</w:t>
      </w:r>
    </w:p>
    <w:p>
      <w:pPr>
        <w:pStyle w:val="DocBody"/>
      </w:pPr>
      <w:r>
        <w:rPr>
          <w:rFonts w:ascii="Times New Roman" w:hAnsi="Times New Roman" w:eastAsia="宋体"/>
          <w:sz w:val="24"/>
        </w:rPr>
        <w:t>ψ 0.002 Gold transportation cost τg 0.03 Maximum debt (grid bound)</w:t>
      </w:r>
    </w:p>
    <w:p>
      <w:pPr>
        <w:pStyle w:val="DocBody"/>
      </w:pPr>
      <w:r>
        <w:rPr>
          <w:rFonts w:ascii="Times New Roman" w:hAnsi="Times New Roman" w:eastAsia="宋体"/>
          <w:sz w:val="24"/>
        </w:rPr>
        <w:t>Bmax 0.10 Government revenue share τ 1/3 Stochastic Environment H TFP persistence ρZ 0.80 H TFP standard deviation σZ 0.03 F TFP persistence ρF Z 0.80 F TFP standard deviation σF Z 0.05 Tranquil regime persistence pLL 0.92 Turbulent regime persistence pHH 0.72 GPR log-mean µln G −0.32 GPR log-dispersion σln G 0.28 GPR persistence ρG 0.74 G scale factor ς 1.911</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Bmax = 0.10 to focus computational resources on the relevant debt range while providing high grid resolution.</w:t>
      </w:r>
    </w:p>
    <w:p>
      <w:pPr>
        <w:pStyle w:val="DocBody"/>
      </w:pPr>
      <w:r>
        <w:rPr>
          <w:rFonts w:ascii="Times New Roman" w:hAnsi="Times New Roman" w:eastAsia="宋体"/>
          <w:sz w:val="24"/>
        </w:rPr>
        <w:t>The government’s revenue share of output is fixed at τ = 1/3. US TFP follows an AR(1)</w:t>
      </w:r>
    </w:p>
    <w:p>
      <w:pPr>
        <w:pStyle w:val="DocBody"/>
      </w:pPr>
      <w:r>
        <w:rPr>
          <w:rFonts w:ascii="Times New Roman" w:hAnsi="Times New Roman" w:eastAsia="宋体"/>
          <w:sz w:val="24"/>
        </w:rPr>
        <w:t>in logs with mean one, persistence ρZ = 0.80, and standard deviation σZ = 0.03. F’s TFP similarly follows an AR(1) with mean 1 −τ ≈0.67 (calibrated so that in the symmetric steady state F’s endowment equals the private share of US output), persistence ρF Z = 0.80, and standard deviation σF Z = 0.05. The geopolitical regime Mt switches between tranquility (M = 0) and turbulence (M = 1) with asymmetric persistence: the tranquil regime is highly persistent (pLL = 0.92), reflecting the historical rarity of sustained geopolitical crises, while the turbulent regime is less persistent (pHH = 0.72), capturing the tendency for crises to eventually resolve. Within the turbulent regime, we assume Gt follows an AR(1) process.</w:t>
      </w:r>
    </w:p>
    <w:p>
      <w:pPr>
        <w:pStyle w:val="DocBody"/>
      </w:pPr>
      <w:r>
        <w:rPr>
          <w:rFonts w:ascii="Times New Roman" w:hAnsi="Times New Roman" w:eastAsia="宋体"/>
          <w:sz w:val="24"/>
        </w:rPr>
        <w:t>This is an unobserved variable, but in order to discipline it we assume that it is reflected in geopolitical risk indices and calibrate by scaling an estimated AR(1) process in logs of the geopolitical risk index of Caldara and Iacoviello (2022). We then set Gt = ςGGPRt to scale the process, such that the model matches the sanction frequency of 15 percent per quarter in turbulent times, in line with Ferrari Minesso et al. (2026). In the tranquil regime we assume Gt ≡0.</w:t>
      </w:r>
    </w:p>
    <w:p>
      <w:pPr>
        <w:pStyle w:val="DocBody"/>
      </w:pPr>
      <w:r>
        <w:rPr>
          <w:rFonts w:ascii="Times New Roman" w:hAnsi="Times New Roman" w:eastAsia="宋体"/>
          <w:sz w:val="24"/>
        </w:rPr>
        <w:t>Main Results 3.1 Asset Prices and Reallocation Around Regime Change In Figures 3 and 4 we show what happens to asset prices and portfolio holdings around transitions from tranquil (M = 0) to the turbulent (M = 1) regime. Using an event study approach, each panel plots the mean of the relevant variable over a window of five periods before and five periods after the transition date (t = 0).</w:t>
      </w:r>
    </w:p>
    <w:p>
      <w:pPr>
        <w:pStyle w:val="DocBody"/>
      </w:pPr>
      <w:r>
        <w:rPr>
          <w:rFonts w:ascii="Times New Roman" w:hAnsi="Times New Roman" w:eastAsia="宋体"/>
          <w:sz w:val="24"/>
        </w:rPr>
        <w:t>The left panel of Figure 3 illustrates the dynamics of the bond price, QB, with the right panel describing the gold price QA dynamics. In the tranquil periods preceding the shift, QB rises gradually and QA slowly drifts down. The closer to the transition, the less likely it is that the economy was in a turbulent state before, and so the higher (lower) the average bond (gold) prices. This also illustrates that in prolonged periods of peace, bond prices and convenience yields are elevated, while gold prices are relatively low. Enticed by high liquidity yields and low confiscation risk, the foreign investor tilts demand towards bonds and progressively sells gold to do so. Consequently, bond prices are at their highest during these periods, and gold prices at their lowest.</w:t>
      </w:r>
    </w:p>
    <w:p>
      <w:pPr>
        <w:pStyle w:val="DocBody"/>
      </w:pPr>
      <w:r>
        <w:rPr>
          <w:rFonts w:ascii="Times New Roman" w:hAnsi="Times New Roman" w:eastAsia="宋体"/>
          <w:sz w:val="24"/>
        </w:rPr>
        <w:t>At t = 0 the change in regime leads to a quick adjustment. The expected probability of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3 Asset Prices Around the Transition to Geopolitical Turbulence Note. The figure reports mean bond and gold prices in an event window centered on transitions from the tranquil regime (M = 0) to the turbulent regime (M = 1), where t = 0 denotes the transition date. Moments are computed from simulations of 100,000 periods.</w:t>
      </w:r>
    </w:p>
    <w:p>
      <w:pPr>
        <w:pStyle w:val="DocBody"/>
      </w:pPr>
      <w:r>
        <w:rPr>
          <w:rFonts w:ascii="Times New Roman" w:hAnsi="Times New Roman" w:eastAsia="宋体"/>
          <w:sz w:val="24"/>
        </w:rPr>
        <w:t>sanctions increases, implying that foreign investors now require a non-negligible geopolitical risk premium to hold H bonds. This triggers a bond selloff, with prices falling by an amount equivalent to a 1.5pp increase in yields, as described in the geopolitical risk premium mech- anism of equation (29). At the same time, F investors seek geopolitical safety and another source of liquidity now that bonds, their preferred source for liquidity services, are no longer safe. This reallocation leads to a spike in gold prices QA, which appreciate around 1.5 per- centage points. This valuation effect at impact reflects the complementary forces described in sections 2.4 and 2.5. On one hand, there is a positive hedge covariance to sanction events, since gold delivers high returns precisely in the states where F’s marginal utility of wealth is highest. On the other hand, there is the scarcity premium, since F’s reallocation out of bonds leaves them low on liquidity services. This increases the marginal utility of liquidity services, further increasing their demand for gold. The high volume of trade around the transition further pushes up gold prices due to convex transaction costs. Gold prices ease after impact, as portfolios progressively complete their adjustment in subsequent periods.</w:t>
      </w:r>
    </w:p>
    <w:p>
      <w:pPr>
        <w:pStyle w:val="DocBody"/>
      </w:pPr>
      <w:r>
        <w:rPr>
          <w:rFonts w:ascii="Times New Roman" w:hAnsi="Times New Roman" w:eastAsia="宋体"/>
          <w:sz w:val="24"/>
        </w:rPr>
        <w:t>Turning to portfolio allocations, Figure 4 illustrates the stark divergence in behavior between foreign and domestic investors. In the pre-transition periods, F’s portfolio share of gold drifts downward. As with asset prices, this pre-event drift is driven by the accumulation of sovereign bonds during consecutive tranquil periods. Because the environment is safe, F shifts its portfolio towards liquid, yield-bearing bonds. Meanwhile, the H investor acts as the natural counterparty, increasing its share of gold as it takes advantage of low prices.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4 Portfolio Allocation Around the Transition to Geopolitical Turbulence Note. The figure reports mean portfolio shares of gold for the foreign investor (F, left panel)</w:t>
      </w:r>
    </w:p>
    <w:p>
      <w:pPr>
        <w:pStyle w:val="DocBody"/>
      </w:pPr>
      <w:r>
        <w:rPr>
          <w:rFonts w:ascii="Times New Roman" w:hAnsi="Times New Roman" w:eastAsia="宋体"/>
          <w:sz w:val="24"/>
        </w:rPr>
        <w:t>and the domestic US private investor (H, right panel) in an event window centered on transitions from the tranquil regime (M = 0) to the turbulent regime (M = 1), where t = 0 denotes the transition date. Moments are computed from simulations of 100,000 periods. The model includes a small quadratic gold transportation cost (τg = 0.03).</w:t>
      </w:r>
    </w:p>
    <w:p>
      <w:pPr>
        <w:pStyle w:val="DocBody"/>
      </w:pPr>
      <w:r>
        <w:rPr>
          <w:rFonts w:ascii="Times New Roman" w:hAnsi="Times New Roman" w:eastAsia="宋体"/>
          <w:sz w:val="24"/>
        </w:rPr>
        <w:t>Upon regime shift, the two investors diverge sharply. F’s gold share jumps by approx- imately 5 percentage points, as it rapidly reallocates away from sanctions-exposed bonds, while H investors’ gold share falls sharply from 31% to 15% on impact. Attracted by the steep discount on domestic bonds combined with high gold price, H investors absorb the excess debt supply and offload their bullion. The resulting portfolio adjustments are stark:</w:t>
      </w:r>
    </w:p>
    <w:p>
      <w:pPr>
        <w:pStyle w:val="DocBody"/>
      </w:pPr>
      <w:r>
        <w:rPr>
          <w:rFonts w:ascii="Times New Roman" w:hAnsi="Times New Roman" w:eastAsia="宋体"/>
          <w:sz w:val="24"/>
        </w:rPr>
        <w:t>the foreign investor rapidly concentrates its wealth in gold to secure custodial sovereignty, abandoning yield and liquidity for political safety. Conversely, the domestic sector assumes the shunned sovereign debt, effectively providing an outlet (and profiting from it) for F investors during a geopolitical run.</w:t>
      </w:r>
    </w:p>
    <w:p>
      <w:pPr>
        <w:pStyle w:val="DocBody"/>
      </w:pPr>
      <w:r>
        <w:rPr>
          <w:rFonts w:ascii="Times New Roman" w:hAnsi="Times New Roman" w:eastAsia="宋体"/>
          <w:sz w:val="24"/>
        </w:rPr>
        <w:t>3.2 Reaction to a Geopolitical Shock in Turbulent Times While the regime transition describes the change to a geopolitically risky world, the impulse responses in Figure 5 highlight the economy’s dynamic reaction to a temporary escalation of geopolitical tensions within the turbulent regime. They trace how the equilibrium responds to a one-standard-deviation shock to the geopolitical utility of sanctions Gt, holding the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economy in the turbulent regime (M = 1) throughout.5 Figure 5 Impulse Responses to a Geopolitical Shock in the Turbulent Regime Note. The figure reports deterministic impulse responses to a one-standard-deviation shock to the geopolitical utility process Gt within the turbulent regime (M = 1). All variables are shown as deviations from the turbulent steady state. Total factor productivity and the geopolitical regime are held fixed.</w:t>
      </w:r>
    </w:p>
    <w:p>
      <w:pPr>
        <w:pStyle w:val="DocBody"/>
      </w:pPr>
      <w:r>
        <w:rPr>
          <w:rFonts w:ascii="Times New Roman" w:hAnsi="Times New Roman" w:eastAsia="宋体"/>
          <w:sz w:val="24"/>
        </w:rPr>
        <w:t>The impulse responses in Figure 5 demonstrate how a heightened geopolitical threat propagates through global asset markets, highlighting the pricing and liquidity mechanisms outlined in Sections 2.4 and 2.5.</w:t>
      </w:r>
    </w:p>
    <w:p>
      <w:pPr>
        <w:pStyle w:val="DocBody"/>
      </w:pPr>
      <w:r>
        <w:rPr>
          <w:rFonts w:ascii="Times New Roman" w:hAnsi="Times New Roman" w:eastAsia="宋体"/>
          <w:sz w:val="24"/>
        </w:rPr>
        <w:t>The positive shock triggers a shift in the sovereign’s strategic incentives. As the geopolit- ical utility of imposing sanctions (Gt) rises, the sovereign is increasingly tempted to impose sanctions, driving up the equilibrium probability of a sanction event. Foreign investors, an- ticipating this heightened confiscation risk, immediately reduce their valuation of H bonds.</w:t>
      </w:r>
    </w:p>
    <w:p>
      <w:pPr>
        <w:pStyle w:val="DocBody"/>
      </w:pPr>
      <w:r>
        <w:rPr>
          <w:rFonts w:ascii="Times New Roman" w:hAnsi="Times New Roman" w:eastAsia="宋体"/>
          <w:sz w:val="24"/>
        </w:rPr>
        <w:t>Moreover, since sanction events represent a negative wealth shock to the foreign investor, their stochastic discount factor covaries negatively with the expected bond payoff. This also expands the geopolitical risk premium embedded in sovereign debt, amplifying their unwill- ingness to hold these bonds beyond the first-order fall in expected returns. This downward shift in the aggregate demand schedule will be at the source of the observed fall in the market price of bonds QB.</w:t>
      </w:r>
    </w:p>
    <w:p>
      <w:pPr>
        <w:pStyle w:val="DocBody"/>
      </w:pPr>
      <w:r>
        <w:rPr>
          <w:rFonts w:ascii="Times New Roman" w:hAnsi="Times New Roman" w:eastAsia="宋体"/>
          <w:sz w:val="24"/>
        </w:rPr>
        <w:t>However, because bonds and gold are imperfect substitutes for facilitating transactions, this retreat from the bond market creates a scarcity of liquidity services within the foreign portfolio. To compensate for this liquidity shortfall, the foreign investor is forced to substitute toward the politically neutral safe haven: physical gold. As foreign investors’ demand shifts towards gold, we observe a joint rise in gold prices (QA) and their portfolio share of gold.</w:t>
      </w:r>
    </w:p>
    <w:p>
      <w:pPr>
        <w:pStyle w:val="DocBody"/>
      </w:pPr>
      <w:r>
        <w:rPr>
          <w:rFonts w:ascii="Times New Roman" w:hAnsi="Times New Roman" w:eastAsia="宋体"/>
          <w:sz w:val="24"/>
        </w:rPr>
        <w:t>5The pre-shock baseline is the turbulent steady state, which evaluates policy functions at mean TFP levels (Z = ¯Z, ZF = ¯ZF ) and the mean G within the turbulent regime.</w:t>
      </w:r>
    </w:p>
    <w:p>
      <w:pPr>
        <w:pStyle w:val="DocBody"/>
      </w:pPr>
      <w:r>
        <w:rPr>
          <w:rFonts w:ascii="Times New Roman" w:hAnsi="Times New Roman" w:eastAsia="宋体"/>
          <w:sz w:val="24"/>
        </w:rPr>
        <w:t>The shock itself enters as a one-standard-deviation impulse to the AR(1) geopolitical process in logs.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This reallocation towards gold and its impact on price are the source of gold’s ”geopolitical hedge premium”. Not only is it safe from sanctioning, but it also provides high returns when geopolitical tensions escalate.</w:t>
      </w:r>
    </w:p>
    <w:p>
      <w:pPr>
        <w:pStyle w:val="DocBody"/>
      </w:pPr>
      <w:r>
        <w:rPr>
          <w:rFonts w:ascii="Times New Roman" w:hAnsi="Times New Roman" w:eastAsia="宋体"/>
          <w:sz w:val="24"/>
        </w:rPr>
        <w:t>Finally, this global flight to safety acts as a disciplinary mechanism on the sovereign issuer.</w:t>
      </w:r>
    </w:p>
    <w:p>
      <w:pPr>
        <w:pStyle w:val="DocBody"/>
      </w:pPr>
      <w:r>
        <w:rPr>
          <w:rFonts w:ascii="Times New Roman" w:hAnsi="Times New Roman" w:eastAsia="宋体"/>
          <w:sz w:val="24"/>
        </w:rPr>
        <w:t>As foreign demand for bonds shrinks and borrowing costs surge, the domestic sovereign faces a constrained debt capacity. In response, the government is forced to optimally reduce its debt supply B, scaling back total debt issuance until geopolitical tensions cool.</w:t>
      </w:r>
    </w:p>
    <w:p>
      <w:pPr>
        <w:pStyle w:val="DocBody"/>
      </w:pPr>
      <w:r>
        <w:rPr>
          <w:rFonts w:ascii="Times New Roman" w:hAnsi="Times New Roman" w:eastAsia="宋体"/>
          <w:sz w:val="24"/>
        </w:rPr>
        <w:t>As the shock slowly reverts to its mean, the sanction threat recedes, the geopolitical risk premium compresses, and the foreign investor gradually returns to the bond market, selling gold to do so. This generates an overshoot of gold prices on the path to convergence, but ultimately allows global asset prices and debt issuance to normalize.</w:t>
      </w:r>
    </w:p>
    <w:p>
      <w:pPr>
        <w:pStyle w:val="DocBody"/>
      </w:pPr>
      <w:r>
        <w:rPr>
          <w:rFonts w:ascii="Times New Roman" w:hAnsi="Times New Roman" w:eastAsia="宋体"/>
          <w:sz w:val="24"/>
        </w:rPr>
        <w:t>While these impulse responses illustrate the dynamics of a temporary escalation in geopo- litical tensions, unprecedented confiscation events can persistently shift risk perceptions. In Figure A.1 of the Appendix, we highlight the dynamics of portfolios and asset prices when a sanction event occurs in the tranquil regime and triggers a permanent transition to the turbulent regime. This illustrates how a precedent can generate significant shifts in expec- tations that reduce the sovereign’s fiscal space permanently. Sovereign bond prices and the foreign investor’s share of bond holdings drop persistently in the long run. Conversely, gold prices become permanently elevated, and the share of gold in the foreign investor’s portfolio rises.</w:t>
      </w:r>
    </w:p>
    <w:p>
      <w:pPr>
        <w:pStyle w:val="DocBody"/>
      </w:pPr>
      <w:r>
        <w:rPr>
          <w:rFonts w:ascii="Times New Roman" w:hAnsi="Times New Roman" w:eastAsia="宋体"/>
          <w:sz w:val="24"/>
        </w:rPr>
        <w:t>We also discuss the implications of the rise of stablecoins in Appendix B for sanction evasion and the role of bonds relative to gold. We show under which conditions the increased usage of this alternative financial asset can sustain the role of the dominant bond issuer and limit the rise of gold in the financial system, while at the same time reducing the ability of the hegemon to impose large financial sanctions.</w:t>
      </w:r>
    </w:p>
    <w:p>
      <w:pPr>
        <w:pStyle w:val="DocBody"/>
      </w:pPr>
      <w:r>
        <w:rPr>
          <w:rFonts w:ascii="Times New Roman" w:hAnsi="Times New Roman" w:eastAsia="宋体"/>
          <w:sz w:val="24"/>
        </w:rPr>
        <w:t>Data This section illustrates the data which we use to map the model’s portfolio-choice mech- anism into observable reserve data and describes the construction of the variables used in the empirical analysis. We combine (i) country-level information on the allocation between gold and foreign-exchange reserves with (ii) aggregate information on the currency composi- tion of global foreign-exchange reserves, (iii) country-level geopolitical risk and geopolitical alignment, and (iv) standard macro controls.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4.1 Reserve portfolios Our core dataset is a quarterly panel of official reserve portfolios covering foreign currency, gold, and total holdings for 37 countries over the period 1985Q1–2024Q4. Official reserve composition data are obtained from the IMF’s International Financial Statistics (IFS), which provides country-level data on broad reserve-asset classes at quarterly frequency on a vol- untary reporting basis.6 Because the country-level allocation of foreign-exchange reserves across individual currencies is confidential, and existing reconstructions are limited in cov- erage (e.g. Ito and McCauley, 2020), the country-level analysis focuses on the allocation between foreign-currency assets and gold, which corresponds directly to the model’s central portfolio margin.7 We employ in parallel two specifications of reserve measures – shares and holdings. The first is defined as the ratio of each asset class to total reserves at market value. The second captures reserve quantities through constant-price gold holdings (and real foreign-exchange reserves in the Appendix), expressed in logarithms. When using the first measure, we take care of valuation effects by using the interaction of valuation factors with country-specific fixed effects. The second measure, instead, is immune to valuation effects by construction.</w:t>
      </w:r>
    </w:p>
    <w:p>
      <w:pPr>
        <w:pStyle w:val="DocBody"/>
      </w:pPr>
      <w:r>
        <w:rPr>
          <w:rFonts w:ascii="Times New Roman" w:hAnsi="Times New Roman" w:eastAsia="宋体"/>
          <w:sz w:val="24"/>
        </w:rPr>
        <w:t>At the aggregate level, Figure 1, in the Introduction, shows that global reserves are highly concentrated in a small number of economies and that the identity of the marginal reserve holder changes markedly over time. The share of emerging markets rises sharply after 2000, reflecting sustained current account surpluses and exchange rate management policies. Over the same period, the role of gold follows a non-monotonic pattern: gold shares decline before the Global Financial Crisis, stabilize thereafter, and rise again from the mid-2010s, coinciding with heightened geopolitical tensions and the expanding use of financial sanctions.</w:t>
      </w:r>
    </w:p>
    <w:p>
      <w:pPr>
        <w:pStyle w:val="DocBody"/>
      </w:pPr>
      <w:r>
        <w:rPr>
          <w:rFonts w:ascii="Times New Roman" w:hAnsi="Times New Roman" w:eastAsia="宋体"/>
          <w:sz w:val="24"/>
        </w:rPr>
        <w:t>These aggregate patterns, however, mask substantial cross-country heterogeneity. Fig- ure 2 shows that the rise in gold reserve demand is not broad-based, but concentrated among a relatively small group of reserve managers. Advanced economies and traditional reserve issuers—including the United States, the Euro Area, Japan, and Switzerland—display rel- atively stable gold shares over time. By contrast, countries whose geopolitical alignment with the United States deteriorates more visibly exhibit stronger increases in gold exposure, consistent with the view that reserve composition becomes more politically salient when access to foreign reserve assets is perceived as contingent. Reallocations toward gold are concentrated among countries in a handful of emerging economies, whose gold shares rise during periods of heightened geopolitical tension. These shifts coincide with major events 6To mitigate potential data-quality concerns, we exclude China from the country-level sample.</w:t>
      </w:r>
    </w:p>
    <w:p>
      <w:pPr>
        <w:pStyle w:val="DocBody"/>
      </w:pPr>
      <w:r>
        <w:rPr>
          <w:rFonts w:ascii="Times New Roman" w:hAnsi="Times New Roman" w:eastAsia="宋体"/>
          <w:sz w:val="24"/>
        </w:rPr>
        <w:t>7We include SDRs and IMF reserve positions in total reserves but do not study them separately, as these components are comparatively small and are generally not allocated through the same strategic portfolio decisions.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such as the annexation of Crimea in 2014 and the full-scale invasion of Ukraine in 2022, both associated with the expanded use of financial sanctions and reserve freezes.</w:t>
      </w:r>
    </w:p>
    <w:p>
      <w:pPr>
        <w:pStyle w:val="DocBody"/>
      </w:pPr>
      <w:r>
        <w:rPr>
          <w:rFonts w:ascii="Times New Roman" w:hAnsi="Times New Roman" w:eastAsia="宋体"/>
          <w:sz w:val="24"/>
        </w:rPr>
        <w:t>4.2 Currency composition of foreign-exchange reserves To study whether geopolitical risk affects reserve allocation not only between gold and foreign-exchange assets but also across reserve currencies, we complement the country-level panel with data from the IMF’s Currency Composition of Official Foreign Exchange Reserves (COFER) database. The COFER database reports the quarterly currency composition of allocated global foreign-exchange reserves, including holdings denominated in US dollars, euros, Japanese yen, pound sterling, Canadian dollars, Chinese renminbi, and other reserve currencies.</w:t>
      </w:r>
    </w:p>
    <w:p>
      <w:pPr>
        <w:pStyle w:val="DocBody"/>
      </w:pPr>
      <w:r>
        <w:rPr>
          <w:rFonts w:ascii="Times New Roman" w:hAnsi="Times New Roman" w:eastAsia="宋体"/>
          <w:sz w:val="24"/>
        </w:rPr>
        <w:t>Whereas the IFS panel allows us to exploit country-level variation in the allocation be- tween gold and foreign-currency assets, COFER makes it possible to study reallocation within the foreign-exchange component of reserves.</w:t>
      </w:r>
    </w:p>
    <w:p>
      <w:pPr>
        <w:pStyle w:val="DocBody"/>
      </w:pPr>
      <w:r>
        <w:rPr>
          <w:rFonts w:ascii="Times New Roman" w:hAnsi="Times New Roman" w:eastAsia="宋体"/>
          <w:sz w:val="24"/>
        </w:rPr>
        <w:t>In particular, it allows us to assess whether heightened geopolitical risk is associated with diversification away from the US dollar and toward alternative reserve currencies.</w:t>
      </w:r>
    </w:p>
    <w:p>
      <w:pPr>
        <w:pStyle w:val="DocBody"/>
      </w:pPr>
      <w:r>
        <w:rPr>
          <w:rFonts w:ascii="Times New Roman" w:hAnsi="Times New Roman" w:eastAsia="宋体"/>
          <w:sz w:val="24"/>
        </w:rPr>
        <w:t>The two datasets differ in an important respect. COFER currency shares are available only at the global aggregate level and do not disclose the currency portfolios of individual reserve managers. Consequently, the COFER analysis cannot exploit cross-country differ- ences in geopolitical alignment or identify which countries account for changes in aggregate currency shares. We therefore interpret it as complementary evidence on the broader ad- justment of the international reserve system, rather than as a direct counterpart to the country-level panel estimates.</w:t>
      </w:r>
    </w:p>
    <w:p>
      <w:pPr>
        <w:pStyle w:val="DocBody"/>
      </w:pPr>
      <w:r>
        <w:rPr>
          <w:rFonts w:ascii="Times New Roman" w:hAnsi="Times New Roman" w:eastAsia="宋体"/>
          <w:sz w:val="24"/>
        </w:rPr>
        <w:t>We measure each currency’s share as a percentage of total allocated foreign-exchange reserves. The resulting responses are therefore reported in percentage points. To facilitate comparison with the other empirical exercises, the estimated effects are rescaled to the 2.5- standard-deviation global geopolitical-risk shock used throughout the paper.</w:t>
      </w:r>
    </w:p>
    <w:p>
      <w:pPr>
        <w:pStyle w:val="DocBody"/>
      </w:pPr>
      <w:r>
        <w:rPr>
          <w:rFonts w:ascii="Times New Roman" w:hAnsi="Times New Roman" w:eastAsia="宋体"/>
          <w:sz w:val="24"/>
        </w:rPr>
        <w:t>4.3 Geopolitical alignment To measure cross-country differences in geopolitical exposure, we use country-level alignment scores with the United States derived from United Nations General Assembly voting data.</w:t>
      </w:r>
    </w:p>
    <w:p>
      <w:pPr>
        <w:pStyle w:val="DocBody"/>
      </w:pPr>
      <w:r>
        <w:rPr>
          <w:rFonts w:ascii="Times New Roman" w:hAnsi="Times New Roman" w:eastAsia="宋体"/>
          <w:sz w:val="24"/>
        </w:rPr>
        <w:t>Following Voeten (2009) and Bailey et al. (2017), these measures are constructed using an ideal-point framework that summarizes countries’ voting behavior across a large set of resolutions.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Formally, each country is assigned a latent position in a low-dimensional policy space, estimated from observed voting patterns. Alignment with the United States is then mea- sured as the proximity between a country’s estimated ideal point and that of the United States. This approach provides a continuous and comparable measure of geopolitical align- ment across countries and over time.</w:t>
      </w:r>
    </w:p>
    <w:p>
      <w:pPr>
        <w:pStyle w:val="DocBody"/>
      </w:pPr>
      <w:r>
        <w:rPr>
          <w:rFonts w:ascii="Times New Roman" w:hAnsi="Times New Roman" w:eastAsia="宋体"/>
          <w:sz w:val="24"/>
        </w:rPr>
        <w:t>A key advantage of this measure is that it captures revealed preferences over a broad set of international issues, rather than relying on formal alliances or treaty-based indicators. As such, it reflects a comprehensive notion of geopolitical proximity that is directly relevant for assessing exposure to the political influence of the dominant reserve issuer.</w:t>
      </w:r>
    </w:p>
    <w:p>
      <w:pPr>
        <w:pStyle w:val="DocBody"/>
      </w:pPr>
      <w:r>
        <w:rPr>
          <w:rFonts w:ascii="Times New Roman" w:hAnsi="Times New Roman" w:eastAsia="宋体"/>
          <w:sz w:val="24"/>
        </w:rPr>
        <w:t>We merge these annual alignment scores into the quarterly reserve panel and treat them as a slow-moving state variable. Lower alignment implies greater perceived vulnerability of foreign-currency reserve claims to sanctions, asset freezes, or other forms of financial coercion.</w:t>
      </w:r>
    </w:p>
    <w:p>
      <w:pPr>
        <w:pStyle w:val="DocBody"/>
      </w:pPr>
      <w:r>
        <w:rPr>
          <w:rFonts w:ascii="Times New Roman" w:hAnsi="Times New Roman" w:eastAsia="宋体"/>
          <w:sz w:val="24"/>
        </w:rPr>
        <w:t>The measure exhibits substantial and persistent cross-country variation, which we exploit to study heterogeneous responses in reserve allocation.</w:t>
      </w:r>
    </w:p>
    <w:p>
      <w:pPr>
        <w:pStyle w:val="DocBody"/>
      </w:pPr>
      <w:r>
        <w:rPr>
          <w:rFonts w:ascii="Times New Roman" w:hAnsi="Times New Roman" w:eastAsia="宋体"/>
          <w:sz w:val="24"/>
        </w:rPr>
        <w:t>As a robustness exercise, Appendix D considers an alternative measure of geopolitical alignment based on formal military-alliance commitments from the Alliance Treaty Obliga- tions and Provisions database. This measure provides a conceptually distinct assessment of geopolitical proximity that does not rely on United Nations voting behavior.</w:t>
      </w:r>
    </w:p>
    <w:p>
      <w:pPr>
        <w:pStyle w:val="DocBody"/>
      </w:pPr>
      <w:r>
        <w:rPr>
          <w:rFonts w:ascii="Times New Roman" w:hAnsi="Times New Roman" w:eastAsia="宋体"/>
          <w:sz w:val="24"/>
        </w:rPr>
        <w:t>4.4 Geopolitical risk Our shock variable is the country-specific geopolitical risk (GPR) index developed by Caldara and Iacoviello (2022). The index is constructed by counting the frequency of newspaper articles that discuss adverse geopolitical events, including wars, military tensions, terrorist attacks, and diplomatic conflicts, across a large set of international newspapers.</w:t>
      </w:r>
    </w:p>
    <w:p>
      <w:pPr>
        <w:pStyle w:val="DocBody"/>
      </w:pPr>
      <w:r>
        <w:rPr>
          <w:rFonts w:ascii="Times New Roman" w:hAnsi="Times New Roman" w:eastAsia="宋体"/>
          <w:sz w:val="24"/>
        </w:rPr>
        <w:t>The country-specific GPR indices are available at monthly frequency and are constructed using a common text-based methodology, ensuring a consistent measurement of geopolitical risk across countries. To standardize and isolate the innovation component of geopolitical risk, we apply a procedure in two steps. First, we transform the relevant geopolitical-risk index as:</w:t>
      </w:r>
    </w:p>
    <w:p>
      <w:pPr>
        <w:pStyle w:val="DocBody"/>
      </w:pPr>
      <w:r>
        <w:rPr>
          <w:rFonts w:ascii="Times New Roman" w:hAnsi="Times New Roman" w:eastAsia="宋体"/>
          <w:sz w:val="24"/>
        </w:rPr>
        <w:t>gi,t = log(1 + GPRi,t), (32)</w:t>
      </w:r>
    </w:p>
    <w:p>
      <w:pPr>
        <w:pStyle w:val="DocBody"/>
      </w:pPr>
      <w:r>
        <w:rPr>
          <w:rFonts w:ascii="Times New Roman" w:hAnsi="Times New Roman" w:eastAsia="宋体"/>
          <w:sz w:val="24"/>
        </w:rPr>
        <w:t>where (i) denotes the country and is omitted when using the global index. The trans- formation accommodates zero observations and reduces the influence of exceptionally large realizations. Second, we estimate, for each country i, an autoregressive model with five lags: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gi,t = αi + X ℓ=1 ρi,ℓgi,t−ℓ+ εi,t.</w:t>
      </w:r>
    </w:p>
    <w:p>
      <w:pPr>
        <w:pStyle w:val="DocBody"/>
      </w:pPr>
      <w:r>
        <w:rPr>
          <w:rFonts w:ascii="Times New Roman" w:hAnsi="Times New Roman" w:eastAsia="宋体"/>
          <w:sz w:val="24"/>
        </w:rPr>
        <w:t>(33)</w:t>
      </w:r>
    </w:p>
    <w:p>
      <w:pPr>
        <w:pStyle w:val="DocBody"/>
      </w:pPr>
      <w:r>
        <w:rPr>
          <w:rFonts w:ascii="Times New Roman" w:hAnsi="Times New Roman" w:eastAsia="宋体"/>
          <w:sz w:val="24"/>
        </w:rPr>
        <w:t>Our geopolitical-risk shock is the estimated innovation (bεi,t). In order to make the size of the shocks comparable across countries and exercises, we standardize the innovations using their sample-specific standard deviation:</w:t>
      </w:r>
    </w:p>
    <w:p>
      <w:pPr>
        <w:pStyle w:val="DocBody"/>
      </w:pPr>
      <w:r>
        <w:rPr>
          <w:rFonts w:ascii="Times New Roman" w:hAnsi="Times New Roman" w:eastAsia="宋体"/>
          <w:sz w:val="24"/>
        </w:rPr>
        <w:t>zGPR i,t = bεi,t bσε,i , bσε,i = sd (bεi,t) .</w:t>
      </w:r>
    </w:p>
    <w:p>
      <w:pPr>
        <w:pStyle w:val="DocBody"/>
      </w:pPr>
      <w:r>
        <w:rPr>
          <w:rFonts w:ascii="Times New Roman" w:hAnsi="Times New Roman" w:eastAsia="宋体"/>
          <w:sz w:val="24"/>
        </w:rPr>
        <w:t>(34)</w:t>
      </w:r>
    </w:p>
    <w:p>
      <w:pPr>
        <w:pStyle w:val="DocBody"/>
      </w:pPr>
      <w:r>
        <w:rPr>
          <w:rFonts w:ascii="Times New Roman" w:hAnsi="Times New Roman" w:eastAsia="宋体"/>
          <w:sz w:val="24"/>
        </w:rPr>
        <w:t>For the global series, the standard deviation is calculated over the aggregate time series, while the country-specific indices are normalized within-country. The country-specific stan- dardization helps control for substantial differences in the level and volatility of measured geopolitical risk across countries. In this way, a unit shock represents an equally unusual in- novation relative to each country’s own historical experience, rather than allowing countries with intrinsically more volatile indices to dominate the estimates.</w:t>
      </w:r>
    </w:p>
    <w:p>
      <w:pPr>
        <w:pStyle w:val="DocBody"/>
      </w:pPr>
      <w:r>
        <w:rPr>
          <w:rFonts w:ascii="Times New Roman" w:hAnsi="Times New Roman" w:eastAsia="宋体"/>
          <w:sz w:val="24"/>
        </w:rPr>
        <w:t>4.5 Macro controls Finally, we include standard macroeconomic controls borrowed from the quarterly cross- country macro-financial dataset by Camous et al. (2026), including real GDP, CPI, and domestic credit to the private sector. These variables help isolate the response of reserve behavior to geopolitical shocks from contemporaneous country-specific macroeconomic and financial fluctuations.</w:t>
      </w:r>
    </w:p>
    <w:p>
      <w:pPr>
        <w:pStyle w:val="DocBody"/>
      </w:pPr>
      <w:r>
        <w:rPr>
          <w:rFonts w:ascii="Times New Roman" w:hAnsi="Times New Roman" w:eastAsia="宋体"/>
          <w:sz w:val="24"/>
        </w:rPr>
        <w:t>The final dataset combines reserve outcomes, geopolitical shocks, alignment measures, and macroeconomic controls in a quarterly cross-country panel.</w:t>
      </w:r>
    </w:p>
    <w:p>
      <w:pPr>
        <w:pStyle w:val="DocBody"/>
      </w:pPr>
      <w:r>
        <w:rPr>
          <w:rFonts w:ascii="Times New Roman" w:hAnsi="Times New Roman" w:eastAsia="宋体"/>
          <w:sz w:val="24"/>
        </w:rPr>
        <w:t>Empirical Validation This section brings the model’s central mechanism to the data. We proceed in three steps.</w:t>
      </w:r>
    </w:p>
    <w:p>
      <w:pPr>
        <w:pStyle w:val="DocBody"/>
      </w:pPr>
      <w:r>
        <w:rPr>
          <w:rFonts w:ascii="Times New Roman" w:hAnsi="Times New Roman" w:eastAsia="宋体"/>
          <w:sz w:val="24"/>
        </w:rPr>
        <w:t>First, we examine whether unexpected geopolitical shocks reprice safe assets in daily financial markets, focusing on gold and US Treasury yields. Second, we test whether the same shocks translate into systematic reallocation in official reserve portfolios at the quarterly country level. Third, we study whether these reserve responses are stronger for countries that are geopolitically less aligned with the United States.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6 Safe-asset repricing following geopolitical shocks Gold price -.2 .2 .4 .6 % days US 10-Year Treasury Yield .01 .02 .03 .04 p.p.</w:t>
      </w:r>
    </w:p>
    <w:p>
      <w:pPr>
        <w:pStyle w:val="DocBody"/>
      </w:pPr>
      <w:r>
        <w:rPr>
          <w:rFonts w:ascii="Times New Roman" w:hAnsi="Times New Roman" w:eastAsia="宋体"/>
          <w:sz w:val="24"/>
        </w:rPr>
        <w:t>days Note. The figure reports daily local projections of the cumulative response of gold prices and the US 10-year Treasury yield to a 2.5-standard-deviation global geopolitical-risk shock. Gold responses are cumulative percent changes while Treasury responses are cumulative changes in percentage points.</w:t>
      </w:r>
    </w:p>
    <w:p>
      <w:pPr>
        <w:pStyle w:val="DocBody"/>
      </w:pPr>
      <w:r>
        <w:rPr>
          <w:rFonts w:ascii="Times New Roman" w:hAnsi="Times New Roman" w:eastAsia="宋体"/>
          <w:sz w:val="24"/>
        </w:rPr>
        <w:t>Shaded bands denote 68 and 90 percent confidence intervals.</w:t>
      </w:r>
    </w:p>
    <w:p>
      <w:pPr>
        <w:pStyle w:val="DocBody"/>
      </w:pPr>
      <w:r>
        <w:rPr>
          <w:rFonts w:ascii="Times New Roman" w:hAnsi="Times New Roman" w:eastAsia="宋体"/>
          <w:sz w:val="24"/>
        </w:rPr>
        <w:t>5.1 Safe-Asset Repricing in Daily Financial Markets We begin by validating the model’s core mechanism in high-frequency financial data. The central prediction is that unexpected geopolitical shocks should increase the relative at- tractiveness of politically neutral safe assets. To test this implication, we estimate daily local projections of cumulative asset-price responses to geopolitical-risk shocks on a sample ranging from January 1990 to December 2025. Specifically, for horizons h = 0, . . . , 60, we estimate yt+h −yt−1 = αh + βh zGPR t</w:t>
      </w:r>
    </w:p>
    <w:p>
      <w:pPr>
        <w:pStyle w:val="DocBody"/>
        <w:ind w:left="765"/>
      </w:pPr>
      <w:r>
        <w:rPr>
          <w:rFonts w:ascii="Times New Roman" w:hAnsi="Times New Roman" w:eastAsia="宋体"/>
          <w:sz w:val="24"/>
        </w:rPr>
        <w:t>ΓhXt + εt+h, where yt denotes either the log gold price or the US 10-year Treasury yield, and zGPR t is a 2.5-standard-deviation global geopolitical risk shock in logs. The control vector includes five lags of the dependent variable, the log of the global GPR index, the 1-year Treasury rate, oil prices, the S&amp;P 500, and the VIX.</w:t>
      </w:r>
    </w:p>
    <w:p>
      <w:pPr>
        <w:pStyle w:val="DocBody"/>
      </w:pPr>
      <w:r>
        <w:rPr>
          <w:rFonts w:ascii="Times New Roman" w:hAnsi="Times New Roman" w:eastAsia="宋体"/>
          <w:sz w:val="24"/>
        </w:rPr>
        <w:t>Figure 6 reports the estimated responses. Gold prices rise persistently by about 0.4% 60 days after a geopolitical shock equivalent to the Russian invasion of Ukraine, while the US 10-Year Treasury Yield also increases by 0.02 p.p. These high-frequency responses provide direct market-based evidence for the mechanism developed in the model. In particular, the appreciation of gold supports the view that geopolitical risk increases demand for assets insulated from foreign legal and custodial infrastructures. At the same time, the increase in Treasury yields suggests that geopolitical shocks alter the pricing of dollar-denominated safe assets, consistent with a geopolitical premium embedded in the global reserve currency system.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Two features of these results deserve to be discussed. First, the use of the 1-year Treasury yield and oil prices help control for the effect of monetary policy and the inflationary pressures associated with geopolitical episodes – documented inter alia by Caldara et al. (2026) and Pinchetti (2025) – suggesting that these results are unlikely to be driven by the inflationary channel of geopolitical risk.</w:t>
      </w:r>
    </w:p>
    <w:p>
      <w:pPr>
        <w:pStyle w:val="DocBody"/>
      </w:pPr>
      <w:r>
        <w:rPr>
          <w:rFonts w:ascii="Times New Roman" w:hAnsi="Times New Roman" w:eastAsia="宋体"/>
          <w:sz w:val="24"/>
        </w:rPr>
        <w:t>Second, the rise in 10-year Treasury yields aligns well with Georgiadis et al. (2024), who find that treasury rates rise persistently for two weeks following a global risk shock, corroborating the credibility of these results.</w:t>
      </w:r>
    </w:p>
    <w:p>
      <w:pPr>
        <w:pStyle w:val="DocBody"/>
      </w:pPr>
      <w:r>
        <w:rPr>
          <w:rFonts w:ascii="Times New Roman" w:hAnsi="Times New Roman" w:eastAsia="宋体"/>
          <w:sz w:val="24"/>
        </w:rPr>
        <w:t>5.2 Average Reserve Portfolio Reallocation We next examine whether the repricing of safe assets documented in financial markets trans- lates into active portfolio adjustment by reserve managers. Unlike asset prices, the reserve portfolio composition reflects deliberate policy choices. This makes them a natural object to test the mechanism: if geopolitical shocks reduce the relative attractiveness of foreign- currency assets, central banks should reallocate toward politically neutral stores of value such as gold.</w:t>
      </w:r>
    </w:p>
    <w:p>
      <w:pPr>
        <w:pStyle w:val="DocBody"/>
      </w:pPr>
      <w:r>
        <w:rPr>
          <w:rFonts w:ascii="Times New Roman" w:hAnsi="Times New Roman" w:eastAsia="宋体"/>
          <w:sz w:val="24"/>
        </w:rPr>
        <w:t>Our empirical strategy consists of estimating dynamic responses of reserve outcomes to country-specific geopolitical shocks using local projections. The objective is to trace out how reserve portfolios adjust over time following an exogenous change in geopolitical risk, while controlling for persistence and macroeconomic conditions.</w:t>
      </w:r>
    </w:p>
    <w:p>
      <w:pPr>
        <w:pStyle w:val="DocBody"/>
      </w:pPr>
      <w:r>
        <w:rPr>
          <w:rFonts w:ascii="Times New Roman" w:hAnsi="Times New Roman" w:eastAsia="宋体"/>
          <w:sz w:val="24"/>
        </w:rPr>
        <w:t>For each horizon h = 1, . . . , 12, we estimate cumulative responses of the form yi,t+h−1 −yi,t−1 = αi + γt + βh zGPR i,t + p X ℓ=1 ρℓ,hyi,t−ℓ+ ΓhXi,t + Φh(αi × Zt) + εi,t+h (35)</w:t>
      </w:r>
    </w:p>
    <w:p>
      <w:pPr>
        <w:pStyle w:val="DocBody"/>
      </w:pPr>
      <w:r>
        <w:rPr>
          <w:rFonts w:ascii="Times New Roman" w:hAnsi="Times New Roman" w:eastAsia="宋体"/>
          <w:sz w:val="24"/>
        </w:rPr>
        <w:t>where yi,t denotes a reserve outcome for country i at time t, and the left-hand side measures the cumulative change between t −1 and t + h −1. The coefficient βh therefore traces the impulse response at horizon h. Like in the previous subsection we consider a 2.5-standard- deviation increase in country-specific geopolitical risk.</w:t>
      </w:r>
    </w:p>
    <w:p>
      <w:pPr>
        <w:pStyle w:val="DocBody"/>
      </w:pPr>
      <w:r>
        <w:rPr>
          <w:rFonts w:ascii="Times New Roman" w:hAnsi="Times New Roman" w:eastAsia="宋体"/>
          <w:sz w:val="24"/>
        </w:rPr>
        <w:t>The specification includes country fixed effects αi and time fixed effects γt, which ab- sorb time-invariant heterogeneity and global shocks. Lagged dependent variables account for the strong persistence in reserve portfolios, ensuring that estimated responses reflect de- viations from country-specific adjustment dynamics. The control vector Xi,t includes lags of geopolitical risk in logs and standard macroeconomic variables.</w:t>
      </w:r>
    </w:p>
    <w:p>
      <w:pPr>
        <w:pStyle w:val="DocBody"/>
      </w:pPr>
      <w:r>
        <w:rPr>
          <w:rFonts w:ascii="Times New Roman" w:hAnsi="Times New Roman" w:eastAsia="宋体"/>
          <w:sz w:val="24"/>
        </w:rPr>
        <w:t>We consider two complementary outcome variables: the gold share of reserves (in percent- age points), which captures the portfolio allocation margin, and gold holdings (in percent), which capture active balance-sheet adjustment. For gold shares, we augment the baseline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7 Gold reserve responses to geopolitical shocks Gold share .5 1.5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Gold holdings -5 %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cumulative responses to a 2.5-standard-deviation country-specific geopolitical-risk shock. The left panel reports gold shares (percentage points), while the right panel reports gold holdings (percent changes). Shaded bands denote 68 and 90 percent confidence intervals.</w:t>
      </w:r>
    </w:p>
    <w:p>
      <w:pPr>
        <w:pStyle w:val="DocBody"/>
      </w:pPr>
      <w:r>
        <w:rPr>
          <w:rFonts w:ascii="Times New Roman" w:hAnsi="Times New Roman" w:eastAsia="宋体"/>
          <w:sz w:val="24"/>
        </w:rPr>
        <w:t>specification with interactions between country fixed effects and global valuation factors—- specifically changes in the gold price, as well as the USD and the EUR as measured by their respective nominal effective exchange rates. These interactions allow for country-specific exposure to common price movements and absorb heterogeneous valuation effects that could otherwise mechanically affect reserve shares. For gold holdings, we do not include these interactions, as valuation effects are already mitigated by expressing holdings in real terms and by focusing on quantities rather than portfolio weights.</w:t>
      </w:r>
    </w:p>
    <w:p>
      <w:pPr>
        <w:pStyle w:val="DocBody"/>
      </w:pPr>
      <w:r>
        <w:rPr>
          <w:rFonts w:ascii="Times New Roman" w:hAnsi="Times New Roman" w:eastAsia="宋体"/>
          <w:sz w:val="24"/>
        </w:rPr>
        <w:t>Figure 7 reports the responses of gold shares and gold holdings. Gold shares rise grad- ually and persistently following the shock, reaching about 0.4 to 1.6 percentage points at longer horizons. Because the specification absorbs heterogeneous exposure to global valua- tion factors through country-specific loadings, this increase is consistent with active portfolio reallocation rather than a mechanical response to common price movements.</w:t>
      </w:r>
    </w:p>
    <w:p>
      <w:pPr>
        <w:pStyle w:val="DocBody"/>
      </w:pPr>
      <w:r>
        <w:rPr>
          <w:rFonts w:ascii="Times New Roman" w:hAnsi="Times New Roman" w:eastAsia="宋体"/>
          <w:sz w:val="24"/>
        </w:rPr>
        <w:t>Gold holdings display a similar dynamic pattern. The response is initially modest, but becomes positive and statistically significant after several quarters. At horizons of two to three years, gold holdings are approximately 1 to 4 percent above their pre-shock level, up to 3 to 6 percent towards the end of the considered horizon.</w:t>
      </w:r>
    </w:p>
    <w:p>
      <w:pPr>
        <w:pStyle w:val="DocBody"/>
      </w:pPr>
      <w:r>
        <w:rPr>
          <w:rFonts w:ascii="Times New Roman" w:hAnsi="Times New Roman" w:eastAsia="宋体"/>
          <w:sz w:val="24"/>
        </w:rPr>
        <w:t>The joint increase in shares and holdings provides direct evidence that reserve managers respond to geopolitical shocks by reallocating toward politically neutral reserve assets. While the share specification isolates portfolio rebalancing by controlling for valuation effects, the holdings specification confirms that this reallocation is accompanied by active accumulation of gold. Overall, the combined behavior of gold shares and gold holdings supports the view that geopolitical shocks induce persistent reserve reallocation toward assets insulated from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foreign political and legal risk.</w:t>
      </w:r>
    </w:p>
    <w:p>
      <w:pPr>
        <w:pStyle w:val="DocBody"/>
      </w:pPr>
      <w:r>
        <w:rPr>
          <w:rFonts w:ascii="Times New Roman" w:hAnsi="Times New Roman" w:eastAsia="宋体"/>
          <w:sz w:val="24"/>
        </w:rPr>
        <w:t>For completeness, Appendix A.1 reports the corresponding responses of foreign-exchange reserves, which move in the opposite direction and are consistent with a reallocation away from foreign-jurisdiction reserve claims.</w:t>
      </w:r>
    </w:p>
    <w:p>
      <w:pPr>
        <w:pStyle w:val="DocBody"/>
      </w:pPr>
      <w:r>
        <w:rPr>
          <w:rFonts w:ascii="Times New Roman" w:hAnsi="Times New Roman" w:eastAsia="宋体"/>
          <w:sz w:val="24"/>
        </w:rPr>
        <w:t>5.3 Heterogeneous Reserve Responses by US Alignment The average responses mask substantial cross-country heterogeneity in exposure to geopo- litical risk. The mechanism developed in the model implies that this heterogeneity should matter for reserve management: countries that are more exposed to potential sanctions or restrictions on access to foreign-currency assets should respond more strongly to geopolitical shocks by reallocating toward politically neutral stores of value.</w:t>
      </w:r>
    </w:p>
    <w:p>
      <w:pPr>
        <w:pStyle w:val="DocBody"/>
      </w:pPr>
      <w:r>
        <w:rPr>
          <w:rFonts w:ascii="Times New Roman" w:hAnsi="Times New Roman" w:eastAsia="宋体"/>
          <w:sz w:val="24"/>
        </w:rPr>
        <w:t>We operationalize this idea using cross-country variation in geopolitical alignment with the United States, the issuer and custodian of the dominant reserve currency. Alignment is measured using similarity in United Nations General Assembly voting patterns following Voeten (2009).</w:t>
      </w:r>
    </w:p>
    <w:p>
      <w:pPr>
        <w:pStyle w:val="DocBody"/>
      </w:pPr>
      <w:r>
        <w:rPr>
          <w:rFonts w:ascii="Times New Roman" w:hAnsi="Times New Roman" w:eastAsia="宋体"/>
          <w:sz w:val="24"/>
        </w:rPr>
        <w:t>Lower alignment is interpreted as greater geopolitical distance from the United States, and therefore higher exposure to sanction risk or to disruptions in access to dollar-denominated reserve assets.</w:t>
      </w:r>
    </w:p>
    <w:p>
      <w:pPr>
        <w:pStyle w:val="DocBody"/>
      </w:pPr>
      <w:r>
        <w:rPr>
          <w:rFonts w:ascii="Times New Roman" w:hAnsi="Times New Roman" w:eastAsia="宋体"/>
          <w:sz w:val="24"/>
        </w:rPr>
        <w:t>Our empirical strategy is to compare the dynamic response of reserve portfolios to a common geopolitical shock across countries with different levels of alignment. This allows us to isolate whether the reallocation toward gold documented in the previous subsection is concentrated among countries that are more exposed to geopolitical frictions.</w:t>
      </w:r>
    </w:p>
    <w:p>
      <w:pPr>
        <w:pStyle w:val="DocBody"/>
      </w:pPr>
      <w:r>
        <w:rPr>
          <w:rFonts w:ascii="Times New Roman" w:hAnsi="Times New Roman" w:eastAsia="宋体"/>
          <w:sz w:val="24"/>
        </w:rPr>
        <w:t>For each horizon h = 1, . . . , 12, we estimate heterogeneous local projections of the form yi,t+h−1−yi,t−1 = αi+γt+βhzGPR i,t +θh  zGPR i,t × DUS i,t−1  + p X ℓ=1 ρℓ,hyi,t−ℓ+ΓhXi,t+Φh(αi×Zt)+εi,t+h (36)</w:t>
      </w:r>
    </w:p>
    <w:p>
      <w:pPr>
        <w:pStyle w:val="DocBody"/>
      </w:pPr>
      <w:r>
        <w:rPr>
          <w:rFonts w:ascii="Times New Roman" w:hAnsi="Times New Roman" w:eastAsia="宋体"/>
          <w:sz w:val="24"/>
        </w:rPr>
        <w:t>where yi,t denotes a reserve outcome and the left-hand side measures the cumulative change between t −1 and t + h −1, as in the baseline specification.</w:t>
      </w:r>
    </w:p>
    <w:p>
      <w:pPr>
        <w:pStyle w:val="DocBody"/>
      </w:pPr>
      <w:r>
        <w:rPr>
          <w:rFonts w:ascii="Times New Roman" w:hAnsi="Times New Roman" w:eastAsia="宋体"/>
          <w:sz w:val="24"/>
        </w:rPr>
        <w:t>The indicator DUS i,t−1 takes value one for countries with below-median alignment with the United States, and zero otherwise. The coefficient βh captures the response to a geopolitical shock for relatively aligned countries, while θh measures the additional response for less aligned countries. The coefficient of interest is therefore θh, which traces the differential response of the low-alignment group at each horizon.</w:t>
      </w:r>
    </w:p>
    <w:p>
      <w:pPr>
        <w:pStyle w:val="DocBody"/>
      </w:pPr>
      <w:r>
        <w:rPr>
          <w:rFonts w:ascii="Times New Roman" w:hAnsi="Times New Roman" w:eastAsia="宋体"/>
          <w:sz w:val="24"/>
        </w:rPr>
        <w:t>As in the baseline, the specification includes country fixed effects αi and time fixed effects γt, which absorb time-invariant heterogeneity and common global shocks. Lagged dependent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8 Differential gold reserve responses by US alignment Gold share -2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Gold holdings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w:t>
      </w:r>
    </w:p>
    <w:p>
      <w:pPr>
        <w:pStyle w:val="DocBody"/>
      </w:pPr>
      <w:r>
        <w:rPr>
          <w:rFonts w:ascii="Times New Roman" w:hAnsi="Times New Roman" w:eastAsia="宋体"/>
          <w:sz w:val="24"/>
        </w:rPr>
        <w:t>Quarterly local projections of differential cumulative responses to a 2.5-standard-deviation country-specific geopolitical-risk shock for countries with below-median US alignment. The left panel reports gold shares (percentage points), while the right panel reports gold holdings (percent changes).</w:t>
      </w:r>
    </w:p>
    <w:p>
      <w:pPr>
        <w:pStyle w:val="DocBody"/>
      </w:pPr>
      <w:r>
        <w:rPr>
          <w:rFonts w:ascii="Times New Roman" w:hAnsi="Times New Roman" w:eastAsia="宋体"/>
          <w:sz w:val="24"/>
        </w:rPr>
        <w:t>Shaded bands denote 68 and 90 percent confidence intervals.</w:t>
      </w:r>
    </w:p>
    <w:p>
      <w:pPr>
        <w:pStyle w:val="DocBody"/>
      </w:pPr>
      <w:r>
        <w:rPr>
          <w:rFonts w:ascii="Times New Roman" w:hAnsi="Times New Roman" w:eastAsia="宋体"/>
          <w:sz w:val="24"/>
        </w:rPr>
        <w:t>variables capture persistence in reserve dynamics, and the control vector Xi,t includes lags of geopolitical risk in logs and standard macroeconomic controls.</w:t>
      </w:r>
    </w:p>
    <w:p>
      <w:pPr>
        <w:pStyle w:val="DocBody"/>
      </w:pPr>
      <w:r>
        <w:rPr>
          <w:rFonts w:ascii="Times New Roman" w:hAnsi="Times New Roman" w:eastAsia="宋体"/>
          <w:sz w:val="24"/>
        </w:rPr>
        <w:t>For gold shares, we augment this specification with interactions between country fixed effects and global valuation factors—specifically changes in the USD, the EUR, and the price of gold. These interactions absorb heterogeneous exposure to common price movements and ensure that estimated differences across countries reflect active portfolio reallocation rather than differential valuation effects. For gold holdings, we do not include these interactions, as valuation effects are already taken care of by focusing on quantities.</w:t>
      </w:r>
    </w:p>
    <w:p>
      <w:pPr>
        <w:pStyle w:val="DocBody"/>
      </w:pPr>
      <w:r>
        <w:rPr>
          <w:rFonts w:ascii="Times New Roman" w:hAnsi="Times New Roman" w:eastAsia="宋体"/>
          <w:sz w:val="24"/>
        </w:rPr>
        <w:t>This empirical design isolates cross-sectional differences in responses to the same un- derlying shock. Identification comes from comparing how countries with different levels of geopolitical alignment adjust their reserve portfolios following similar realizations of geopo- litical risk, while controlling for global shocks, domestic macroeconomic conditions, and heterogeneous exposure to valuation effects.</w:t>
      </w:r>
    </w:p>
    <w:p>
      <w:pPr>
        <w:pStyle w:val="DocBody"/>
      </w:pPr>
      <w:r>
        <w:rPr>
          <w:rFonts w:ascii="Times New Roman" w:hAnsi="Times New Roman" w:eastAsia="宋体"/>
          <w:sz w:val="24"/>
        </w:rPr>
        <w:t>Under a purely financial hedging motive driven by global factors, one would expect similar responses across countries once common shocks are accounted for. In contrast, a mechanism driven by geopolitical risk predicts systematically larger responses among countries that are more exposed to potential sanctions or restrictions on asset access.</w:t>
      </w:r>
    </w:p>
    <w:p>
      <w:pPr>
        <w:pStyle w:val="DocBody"/>
      </w:pPr>
      <w:r>
        <w:rPr>
          <w:rFonts w:ascii="Times New Roman" w:hAnsi="Times New Roman" w:eastAsia="宋体"/>
          <w:sz w:val="24"/>
        </w:rPr>
        <w:t>Figure 8 reports the differential responses of gold shares and gold holdings for low- alignment countries relative to more aligned countries.</w:t>
      </w:r>
    </w:p>
    <w:p>
      <w:pPr>
        <w:pStyle w:val="DocBody"/>
      </w:pPr>
      <w:r>
        <w:rPr>
          <w:rFonts w:ascii="Times New Roman" w:hAnsi="Times New Roman" w:eastAsia="宋体"/>
          <w:sz w:val="24"/>
        </w:rPr>
        <w:t>The left panel shows that low- alignment countries exhibit a significantly stronger increase in gold shares following geopolit- ical shocks. The differential response rises gradually over the projection horizon and reaches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roughly 1 to 4.5 percentage points after three years. Because the specification controls for heterogeneous valuation exposure, this pattern reflects active portfolio reallocation rather than differential sensitivity to global price movements.</w:t>
      </w:r>
    </w:p>
    <w:p>
      <w:pPr>
        <w:pStyle w:val="DocBody"/>
      </w:pPr>
      <w:r>
        <w:rPr>
          <w:rFonts w:ascii="Times New Roman" w:hAnsi="Times New Roman" w:eastAsia="宋体"/>
          <w:sz w:val="24"/>
        </w:rPr>
        <w:t>The right panel shows a corresponding differential in gold holdings, highlighting a persis- tent and gradual increase in gold holdings, of up to 20% compared to the pre-shock level. This confirms that the stronger gold-share response among less aligned countries is not merely a compositional effect, but is also reflected in active balance-sheet adjustment. Taken together, the two panels indicate that countries more exposed to geopolitical vulnerability respond to adverse shocks by increasing both the quantity of gold they hold and its weight within the reserve portfolio.8 This cross-sectional pattern is central to the validation of the identified mechanism. Be- cause the response is stronger precisely among countries with lower geopolitical alignment, the evidence points to a mechanism driven by concerns of geopolitical nature over access to foreign-currency reserve assets, rather than by common global financial conditions alone.</w:t>
      </w:r>
    </w:p>
    <w:p>
      <w:pPr>
        <w:pStyle w:val="DocBody"/>
      </w:pPr>
      <w:r>
        <w:rPr>
          <w:rFonts w:ascii="Times New Roman" w:hAnsi="Times New Roman" w:eastAsia="宋体"/>
          <w:sz w:val="24"/>
        </w:rPr>
        <w:t>The results are reassuringly robust to measuring geopolitical alignment through formal military alliances rather than United Nations voting behavior. Following Ferrari Minesso et al. (2026), Appendix D constructs an alternative measure from the Alliance Treaty Obli- gations and Provisions database, comparing each country’s portfolio of military-alliance com- mitments with that of the United States and weighting partner countries by their relative ma- terial capabilities. Despite capturing a substantively different and more institutional dimen- sion of geopolitical proximity, the estimated gold-share response remains positive throughout the projection horizon and rises steadily, reaching between 0.5 and 3 percentage points after three years. The central estimate is economically sizeable and amounts to almost two-thirds of the baseline effect. Gold holdings display a similarly supportive short- and medium-run pattern, increasing over the first eight quarters and peaking between 0 and 3.5 percent.</w:t>
      </w:r>
    </w:p>
    <w:p>
      <w:pPr>
        <w:pStyle w:val="DocBody"/>
      </w:pPr>
      <w:r>
        <w:rPr>
          <w:rFonts w:ascii="Times New Roman" w:hAnsi="Times New Roman" w:eastAsia="宋体"/>
          <w:sz w:val="24"/>
        </w:rPr>
        <w:t>Overall, the evidence confirms that the main reallocation toward gold is not specific to UN voting patterns, but also emerges when geopolitical proximity is measured through formal security alliances.</w:t>
      </w:r>
    </w:p>
    <w:p>
      <w:pPr>
        <w:pStyle w:val="DocBody"/>
      </w:pPr>
      <w:r>
        <w:rPr>
          <w:rFonts w:ascii="Times New Roman" w:hAnsi="Times New Roman" w:eastAsia="宋体"/>
          <w:sz w:val="24"/>
        </w:rPr>
        <w:t>5.4 Geopolitical Risk and the Currency Composition of Global Reserves The country-level allocation of official foreign-exchange reserves across currencies is generally confidential. We therefore cannot reproduce the baseline country-level analysis separately 8Appendix A.1 reports the corresponding foreign-exchange responses, which display symmetric patterns consistent with a reallocation away from foreign-jurisdiction reserve claims.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 individual reserve currencies. To examine whether geopolitical risk is nevertheless as- sociated with broader currency diversification, we use the IMF Currency Composition of Official Foreign Exchange Reserves database. COFER provides quarterly aggregate shares of allocated global foreign-exchange reserves across the principal reserve currencies.</w:t>
      </w:r>
    </w:p>
    <w:p>
      <w:pPr>
        <w:pStyle w:val="DocBody"/>
      </w:pPr>
      <w:r>
        <w:rPr>
          <w:rFonts w:ascii="Times New Roman" w:hAnsi="Times New Roman" w:eastAsia="宋体"/>
          <w:sz w:val="24"/>
        </w:rPr>
        <w:t>Because the data are available only at the global level, this exercise should be interpreted as complementary evidence rather than as a direct counterpart to the country-level panel analysis. In particular, the aggregate data do not allow us to identify which reserve managers are responsible for the observed reallocations or whether the responses differ by geopolitical alignment.</w:t>
      </w:r>
    </w:p>
    <w:p>
      <w:pPr>
        <w:pStyle w:val="DocBody"/>
      </w:pPr>
      <w:r>
        <w:rPr>
          <w:rFonts w:ascii="Times New Roman" w:hAnsi="Times New Roman" w:eastAsia="宋体"/>
          <w:sz w:val="24"/>
        </w:rPr>
        <w:t>For each reserve currency (c) and horizon (h), we estimate the following quarterly local projection:</w:t>
      </w:r>
    </w:p>
    <w:p>
      <w:pPr>
        <w:pStyle w:val="DocBody"/>
      </w:pPr>
      <w:r>
        <w:rPr>
          <w:rFonts w:ascii="Times New Roman" w:hAnsi="Times New Roman" w:eastAsia="宋体"/>
          <w:sz w:val="24"/>
        </w:rPr>
        <w:t>sc t+h−1 −sc t−1 = αc h + βc h zGPR t</w:t>
      </w:r>
    </w:p>
    <w:p>
      <w:pPr>
        <w:pStyle w:val="DocBody"/>
        <w:ind w:left="765"/>
      </w:pPr>
      <w:r>
        <w:rPr>
          <w:rFonts w:ascii="Times New Roman" w:hAnsi="Times New Roman" w:eastAsia="宋体"/>
          <w:sz w:val="24"/>
        </w:rPr>
        <w:t>Γc hXt + εc t+h (37)</w:t>
      </w:r>
    </w:p>
    <w:p>
      <w:pPr>
        <w:pStyle w:val="DocBody"/>
      </w:pPr>
      <w:r>
        <w:rPr>
          <w:rFonts w:ascii="Times New Roman" w:hAnsi="Times New Roman" w:eastAsia="宋体"/>
          <w:sz w:val="24"/>
        </w:rPr>
        <w:t>where sc t denotes the share of allocated global foreign-exchange reserves held in currency c, measured in percentage points. As in the other empirical exercises, all responses are rescaled to a 2.5-standard-deviation shock, to match the increase in geopolitical risk between 2021Q4 and 2022Q1.</w:t>
      </w:r>
    </w:p>
    <w:p>
      <w:pPr>
        <w:pStyle w:val="DocBody"/>
      </w:pPr>
      <w:r>
        <w:rPr>
          <w:rFonts w:ascii="Times New Roman" w:hAnsi="Times New Roman" w:eastAsia="宋体"/>
          <w:sz w:val="24"/>
        </w:rPr>
        <w:t>The control vector Xt includes one-quarter lags of the dependent-variable change, global geopolitical risk, the US 1-year and 10-year Treasury yields, the S&amp;P 500, the US dollar, and the gold price. Lagged reserve-share changes and geopolitical risk absorb persistence in reserve composition and in the shock process. The financial controls help distinguish geopolitically driven reserve reallocation from movements associated with global interest rates, risk sentiment, dollar valuation, and gold prices.</w:t>
      </w:r>
    </w:p>
    <w:p>
      <w:pPr>
        <w:pStyle w:val="DocBody"/>
      </w:pPr>
      <w:r>
        <w:rPr>
          <w:rFonts w:ascii="Times New Roman" w:hAnsi="Times New Roman" w:eastAsia="宋体"/>
          <w:sz w:val="24"/>
        </w:rPr>
        <w:t>Figure 9 points to a clear reallocation away from the US dollar following an increase in geopolitical risk. The dollar share declines by approximately 1.2 percentage points after one year and reaches a trough of around 1.5 percentage points after seven quarters. Correspond- ingly, the aggregate share of non-dollar currencies rises by approximately 1.1 percentage points after one year and peaks at around 1.5 percentage points.</w:t>
      </w:r>
    </w:p>
    <w:p>
      <w:pPr>
        <w:pStyle w:val="DocBody"/>
      </w:pPr>
      <w:r>
        <w:rPr>
          <w:rFonts w:ascii="Times New Roman" w:hAnsi="Times New Roman" w:eastAsia="宋体"/>
          <w:sz w:val="24"/>
        </w:rPr>
        <w:t>To identify which currencies account for this reallocation, Figure 10 reports the responses of the principal individual reserve currencies. The increase in non-dollar reserves is concen- trated primarily in the euro, whose share rises by approximately 0.8 percentage points after one year and by around 1.2 percentage points at its peak. The pound sterling and Japanese yen display smaller positive responses. Taken together, these estimates indicate that height- ened geopolitical risk is associated not only with greater demand for gold, but also with broader diversification away from dollar-denominated official reserve claims.</w:t>
      </w:r>
    </w:p>
    <w:p>
      <w:pPr>
        <w:pStyle w:val="DocBody"/>
      </w:pPr>
      <w:r>
        <w:rPr>
          <w:rFonts w:ascii="Times New Roman" w:hAnsi="Times New Roman" w:eastAsia="宋体"/>
          <w:sz w:val="24"/>
        </w:rPr>
        <w:t>This evidence is consistent with the paper’s central mechanism, while also highlighting an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9 Global Reserve-Currency Reallocation:</w:t>
      </w:r>
    </w:p>
    <w:p>
      <w:pPr>
        <w:pStyle w:val="DocBody"/>
      </w:pPr>
      <w:r>
        <w:rPr>
          <w:rFonts w:ascii="Times New Roman" w:hAnsi="Times New Roman" w:eastAsia="宋体"/>
          <w:sz w:val="24"/>
        </w:rPr>
        <w:t>Dollar and Non-Dollar Shares US Dollar -3 -2 -1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Non-Dollar Currencies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the cumulative response of global COFER currency shares to a 2.5-standard-deviation global geopolitical-risk shock. Shares are measured in percentage points of allocated foreign-exchange reserves. Shaded bands denote 68 and 90 percent confidence intervals.</w:t>
      </w:r>
    </w:p>
    <w:p>
      <w:pPr>
        <w:pStyle w:val="DocBody"/>
      </w:pPr>
      <w:r>
        <w:rPr>
          <w:rFonts w:ascii="Times New Roman" w:hAnsi="Times New Roman" w:eastAsia="宋体"/>
          <w:sz w:val="24"/>
        </w:rPr>
        <w:t>important distinction. Gold provides an asset outside the liability structure of any sovereign issuer, whereas diversification toward other currencies continues to expose reserve managers to foreign legal and custodial infrastructures. The two margins should therefore be viewed as complementary rather than equivalent forms of geopolitical risk management.</w:t>
      </w:r>
    </w:p>
    <w:p>
      <w:pPr>
        <w:pStyle w:val="DocBody"/>
      </w:pPr>
      <w:r>
        <w:rPr>
          <w:rFonts w:ascii="Times New Roman" w:hAnsi="Times New Roman" w:eastAsia="宋体"/>
          <w:sz w:val="24"/>
        </w:rPr>
        <w:t>The adjustment of reserve portfolios also appears to extend beyond asset and currency composition. Appendix E examines the geographical custody of official gold using the com- bined holdings of the Bank of England and the Federal Reserve Bank of New York, the two principal international offshore custody centres for physical gold. Following a geopolitical- risk shock, gold stocked in major custody centres measured as a ratio of global official gold reserves, declines by approximately 0.5–0.6 percentage points after one year and reaches a trough of around 0.8 percentage points after 15–18 months. Although these aggregate data do not reveal the drivers or the destination of these flows, the response is consistent with reserve managers reducing not only their exposure to politically vulnerable assets, but also the jurisdictional exposure associated with offshore gold custody.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10 Global Reserve-Currency Reallocation:</w:t>
      </w:r>
    </w:p>
    <w:p>
      <w:pPr>
        <w:pStyle w:val="DocBody"/>
      </w:pPr>
      <w:r>
        <w:rPr>
          <w:rFonts w:ascii="Times New Roman" w:hAnsi="Times New Roman" w:eastAsia="宋体"/>
          <w:sz w:val="24"/>
        </w:rPr>
        <w:t>Individual Currency Shares US Dollar -3 -2 -1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Euro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Japanese Yen -.5 .5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Pound Sterling -.2 .2 .4 .6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Canadian Dollar -.4 -.2 .2 .4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Chinese Renminbi -1 -.5 .5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the cumulative response of individual global COFER currency shares to a 2.5-standard-deviation global geopolitical-risk shock. Shares are measured in percentage points of allocated foreign-exchange reserves.</w:t>
      </w:r>
    </w:p>
    <w:p>
      <w:pPr>
        <w:pStyle w:val="DocBody"/>
      </w:pPr>
      <w:r>
        <w:rPr>
          <w:rFonts w:ascii="Times New Roman" w:hAnsi="Times New Roman" w:eastAsia="宋体"/>
          <w:sz w:val="24"/>
        </w:rPr>
        <w:t>Shaded bands denote 68 and 90 percent confidence intervals.</w:t>
      </w:r>
    </w:p>
    <w:p>
      <w:pPr>
        <w:pStyle w:val="DocBody"/>
      </w:pPr>
      <w:r>
        <w:rPr>
          <w:rFonts w:ascii="Times New Roman" w:hAnsi="Times New Roman" w:eastAsia="宋体"/>
          <w:sz w:val="24"/>
        </w:rPr>
        <w:t>Conclusion This paper develops a general equilibrium model of international safe-asset choice in which sovereign reserve managers choose between politically exposed and neutral assets under the threat of geopolitical sanctions. Two features distinguish the framework from the existing literature. First, liquidity services are endogenous, so that the convenience yield of each asset depends on portfolio composition rather than being imposed exogenously. Gold is politically neutral and sanction-insulated, but offers inferior liquidity services and incurs storage and transportation costs. Second, while transitions between geopolitical states are exogenous, the probability and frequency of sanctions are endogenous and depend on the international portfolio allocation and the state of the economy.</w:t>
      </w:r>
    </w:p>
    <w:p>
      <w:pPr>
        <w:pStyle w:val="DocBody"/>
      </w:pPr>
      <w:r>
        <w:rPr>
          <w:rFonts w:ascii="Times New Roman" w:hAnsi="Times New Roman" w:eastAsia="宋体"/>
          <w:sz w:val="24"/>
        </w:rPr>
        <w:t>The model delivers a regime-contingent amplification mechanism. In tranquil states, re- serve managers favor sovereign bonds because liquidity services dominate. When the geopo- litical regime becomes turbulent, the relative safety value of politically neutral gold rises sharply, especially for countries facing greater sanctions exposure. This produces a large and persistent reallocation away from foreign-exchange claims and toward gold.</w:t>
      </w:r>
    </w:p>
    <w:p>
      <w:pPr>
        <w:pStyle w:val="DocBody"/>
      </w:pPr>
      <w:r>
        <w:rPr>
          <w:rFonts w:ascii="Times New Roman" w:hAnsi="Times New Roman" w:eastAsia="宋体"/>
          <w:sz w:val="24"/>
        </w:rPr>
        <w:t>The empirical evidence strongly supports this mechanism. At daily frequency, geopolitical</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shocks immediately reprice safe assets, raising gold prices and increasing the geopolitical premium embedded in US Treasury yields. In the quarterly cross-country panel, the same shocks lead central banks to increase gold shares and gold holdings while reducing foreign- exchange reserve exposure. These responses are significantly stronger for countries that are less aligned with the United States, precisely where exposure to dollar-based custodial and legal infrastructures is most salient.</w:t>
      </w:r>
    </w:p>
    <w:p>
      <w:pPr>
        <w:pStyle w:val="DocBody"/>
      </w:pPr>
      <w:r>
        <w:rPr>
          <w:rFonts w:ascii="Times New Roman" w:hAnsi="Times New Roman" w:eastAsia="宋体"/>
          <w:sz w:val="24"/>
        </w:rPr>
        <w:t>The results carry important policy implications. For reserve managers, geopolitical risk is not merely a source of valuation volatility but a structural determinant of optimal re- serve composition. The traditional trade-off between liquidity and return must therefore be augmented to account for custodial sovereignty, sanctions vulnerability, and legal control over reserve assets. More broadly, the findings suggest that rising geopolitical fragmentation may gradually weaken the dominance of reserve assets tied to foreign political jurisdictions, increasing demand for politically neutral stores of value and potentially accelerating changes in the international monetary system.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Declaration of Use of Generative AI Technologies The authors declare having made use of generative artificial intelligence technologies (Chat- GPT, Gemini and Claude) for coding and writing assistance. The authors declare having reviewed and edited the output, and take full personal responsibility for any errors or omis- sions in the manuscript.</w:t>
      </w:r>
    </w:p>
    <w:p>
      <w:pPr>
        <w:pStyle w:val="DocBody"/>
      </w:pPr>
      <w:r>
        <w:rPr>
          <w:rFonts w:ascii="Times New Roman" w:hAnsi="Times New Roman" w:eastAsia="宋体"/>
          <w:sz w:val="24"/>
        </w:rPr>
        <w:t>References Arslanalp, S., B. Eichengreen, and C. Simpson-Bell (2023): “Gold as international reserves: A barbarous relic no more?” Journal of International Economics, 145, 103822.</w:t>
      </w:r>
    </w:p>
    <w:p>
      <w:pPr>
        <w:pStyle w:val="DocBody"/>
      </w:pPr>
      <w:r>
        <w:rPr>
          <w:rFonts w:ascii="Times New Roman" w:hAnsi="Times New Roman" w:eastAsia="宋体"/>
          <w:sz w:val="24"/>
        </w:rPr>
        <w:t>Bailey, M. A., A. Strezhnev, and E. Voeten (2017): “Estimating Dynamic State Preferences from United Nations Voting Data,” Journal of Conflict Resolution, 61, 430–456.</w:t>
      </w:r>
    </w:p>
    <w:p>
      <w:pPr>
        <w:pStyle w:val="DocBody"/>
      </w:pPr>
      <w:r>
        <w:rPr>
          <w:rFonts w:ascii="Times New Roman" w:hAnsi="Times New Roman" w:eastAsia="宋体"/>
          <w:sz w:val="24"/>
        </w:rPr>
        <w:t>Bianchi, J. and C. Sosa-Padilla (2024): “On wars, sanctions, and sovereign default,” Journal of Mone- tary Economics, 141, 62–70.</w:t>
      </w:r>
    </w:p>
    <w:p>
      <w:pPr>
        <w:pStyle w:val="DocBody"/>
      </w:pPr>
      <w:r>
        <w:rPr>
          <w:rFonts w:ascii="Times New Roman" w:hAnsi="Times New Roman" w:eastAsia="宋体"/>
          <w:sz w:val="24"/>
        </w:rPr>
        <w:t>——— (2025): “International sanctions and dollar dominance,” The Economic Journal, 135, 2567–2577.</w:t>
      </w:r>
    </w:p>
    <w:p>
      <w:pPr>
        <w:pStyle w:val="DocBody"/>
      </w:pPr>
      <w:r>
        <w:rPr>
          <w:rFonts w:ascii="Times New Roman" w:hAnsi="Times New Roman" w:eastAsia="宋体"/>
          <w:sz w:val="24"/>
        </w:rPr>
        <w:t>Broner, F., A. Martin, J. Meyer, C. Trebesch, and J. Z. Wu (2025): “Hegemony and international alignment,” in AEA Papers and Proceedings, American Economic Association 2014 Broadway, Suite 305, Nashville, TN 37203, vol. 115, 593–598.</w:t>
      </w:r>
    </w:p>
    <w:p>
      <w:pPr>
        <w:pStyle w:val="DocBody"/>
      </w:pPr>
      <w:r>
        <w:rPr>
          <w:rFonts w:ascii="Times New Roman" w:hAnsi="Times New Roman" w:eastAsia="宋体"/>
          <w:sz w:val="24"/>
        </w:rPr>
        <w:t>Broner, F., A. Martin, and J. Ventura (2010): “Sovereign Risk and Secondary Markets,” American Economic Review, 100, 1523–1555.</w:t>
      </w:r>
    </w:p>
    <w:p>
      <w:pPr>
        <w:pStyle w:val="DocBody"/>
      </w:pPr>
      <w:r>
        <w:rPr>
          <w:rFonts w:ascii="Times New Roman" w:hAnsi="Times New Roman" w:eastAsia="宋体"/>
          <w:sz w:val="24"/>
        </w:rPr>
        <w:t>Caldara, D., S. Conlisk, M. Iacoviello, and M. Penn (2026): “Do geopolitical risks raise or lower inflation?” Journal of International Economics, 159, 104188.</w:t>
      </w:r>
    </w:p>
    <w:p>
      <w:pPr>
        <w:pStyle w:val="DocBody"/>
      </w:pPr>
      <w:r>
        <w:rPr>
          <w:rFonts w:ascii="Times New Roman" w:hAnsi="Times New Roman" w:eastAsia="宋体"/>
          <w:sz w:val="24"/>
        </w:rPr>
        <w:t>Caldara, D. and M. Iacoviello (2022): “Measuring Geopolitical Risk,” American Economic Review, 112, 1194–1225.</w:t>
      </w:r>
    </w:p>
    <w:p>
      <w:pPr>
        <w:pStyle w:val="DocBody"/>
      </w:pPr>
      <w:r>
        <w:rPr>
          <w:rFonts w:ascii="Times New Roman" w:hAnsi="Times New Roman" w:eastAsia="宋体"/>
          <w:sz w:val="24"/>
        </w:rPr>
        <w:t>Camous, A., E. Monnet, and D. Puy (2026): “What do 70 years of data on world cycles tell us? The decoupling of prices and quantities,” Banque de France Working Papers.</w:t>
      </w:r>
    </w:p>
    <w:p>
      <w:pPr>
        <w:pStyle w:val="DocBody"/>
      </w:pPr>
      <w:r>
        <w:rPr>
          <w:rFonts w:ascii="Times New Roman" w:hAnsi="Times New Roman" w:eastAsia="宋体"/>
          <w:sz w:val="24"/>
        </w:rPr>
        <w:t>Chahrour, R. and R. Valchev (2022): “Trade Finance and the Durability of the Dollar,” The Review of Economic Studies, 89, 1873–1910.</w:t>
      </w:r>
    </w:p>
    <w:p>
      <w:pPr>
        <w:pStyle w:val="DocBody"/>
      </w:pPr>
      <w:r>
        <w:rPr>
          <w:rFonts w:ascii="Times New Roman" w:hAnsi="Times New Roman" w:eastAsia="宋体"/>
          <w:sz w:val="24"/>
        </w:rPr>
        <w:t>——— (2023): “The Dollar in an Era of International Retrenchment,” NBER Working Paper 31405, National Bureau of Economic Research.</w:t>
      </w:r>
    </w:p>
    <w:p>
      <w:pPr>
        <w:pStyle w:val="DocBody"/>
      </w:pPr>
      <w:r>
        <w:rPr>
          <w:rFonts w:ascii="Times New Roman" w:hAnsi="Times New Roman" w:eastAsia="宋体"/>
          <w:sz w:val="24"/>
        </w:rPr>
        <w:t>Chinn, M. D., J. A. Frankel, and H. Ito (2025): “Reserves, Sanctions and Tariffs in a Time of Uncertainty,” NBER Working Paper 34177, National Bureau of Economic Research.</w:t>
      </w:r>
    </w:p>
    <w:p>
      <w:pPr>
        <w:pStyle w:val="DocBody"/>
      </w:pPr>
      <w:r>
        <w:rPr>
          <w:rFonts w:ascii="Times New Roman" w:hAnsi="Times New Roman" w:eastAsia="宋体"/>
          <w:sz w:val="24"/>
        </w:rPr>
        <w:t>Clayton, C., M. Maggiori, and J. Schreger (2026): “A framework for geoeconomics,” Econometrica, 94, 105–136.</w:t>
      </w:r>
    </w:p>
    <w:p>
      <w:pPr>
        <w:pStyle w:val="DocBody"/>
      </w:pPr>
      <w:r>
        <w:rPr>
          <w:rFonts w:ascii="Times New Roman" w:hAnsi="Times New Roman" w:eastAsia="宋体"/>
          <w:sz w:val="24"/>
        </w:rPr>
        <w:t>Corsetti, G. and F. S. Maeng (2024): “Debt crises, fast and slow,” Journal of the European Economic Association, 22, 2148–2179.</w:t>
      </w:r>
    </w:p>
    <w:p>
      <w:pPr>
        <w:pStyle w:val="DocBody"/>
      </w:pPr>
      <w:r>
        <w:rPr>
          <w:rFonts w:ascii="Times New Roman" w:hAnsi="Times New Roman" w:eastAsia="宋体"/>
          <w:sz w:val="24"/>
        </w:rPr>
        <w:t>Dvorkin, M., J. M. S´anchez, H. Sapriza, and E. Yurdagul (2021): “Sovereign debt restructurings,”</w:t>
      </w:r>
    </w:p>
    <w:p>
      <w:pPr>
        <w:pStyle w:val="DocBody"/>
      </w:pPr>
      <w:r>
        <w:rPr>
          <w:rFonts w:ascii="Times New Roman" w:hAnsi="Times New Roman" w:eastAsia="宋体"/>
          <w:sz w:val="24"/>
        </w:rPr>
        <w:t>American Economic Journal: Macroeconomics, 13, 26–77.</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Eichengreen, B., M. Ferrari Minesso, A. Mehl, I. Vansteenkiste, and R. Vicqu´ery (2024):</w:t>
      </w:r>
    </w:p>
    <w:p>
      <w:pPr>
        <w:pStyle w:val="DocBody"/>
      </w:pPr>
      <w:r>
        <w:rPr>
          <w:rFonts w:ascii="Times New Roman" w:hAnsi="Times New Roman" w:eastAsia="宋体"/>
          <w:sz w:val="24"/>
        </w:rPr>
        <w:t>“Sanctions and the exchange rate in time,” Economic Policy, 39, 323–354.</w:t>
      </w:r>
    </w:p>
    <w:p>
      <w:pPr>
        <w:pStyle w:val="DocBody"/>
      </w:pPr>
      <w:r>
        <w:rPr>
          <w:rFonts w:ascii="Times New Roman" w:hAnsi="Times New Roman" w:eastAsia="宋体"/>
          <w:sz w:val="24"/>
        </w:rPr>
        <w:t>Farhi, E. and M. Maggiori (2018): “A model of the international monetary system,” The Quarterly Journal of Economics, 133, 295–355.</w:t>
      </w:r>
    </w:p>
    <w:p>
      <w:pPr>
        <w:pStyle w:val="DocBody"/>
      </w:pPr>
      <w:r>
        <w:rPr>
          <w:rFonts w:ascii="Times New Roman" w:hAnsi="Times New Roman" w:eastAsia="宋体"/>
          <w:sz w:val="24"/>
        </w:rPr>
        <w:t>Ferranti, M. (2025): “Hedging Sanctions Risk: Cryptocurrency in Central Bank Reserves,” Journal of International Money and Finance, 159, 103433.</w:t>
      </w:r>
    </w:p>
    <w:p>
      <w:pPr>
        <w:pStyle w:val="DocBody"/>
      </w:pPr>
      <w:r>
        <w:rPr>
          <w:rFonts w:ascii="Times New Roman" w:hAnsi="Times New Roman" w:eastAsia="宋体"/>
          <w:sz w:val="24"/>
        </w:rPr>
        <w:t>Ferrari Minesso, M., T. Krahnke, A. Mehl, and I. Vansteenkiste (2026): “Seizing Central Bank Assets?” Journal of International Economics, 163, 104207.</w:t>
      </w:r>
    </w:p>
    <w:p>
      <w:pPr>
        <w:pStyle w:val="DocBody"/>
      </w:pPr>
      <w:r>
        <w:rPr>
          <w:rFonts w:ascii="Times New Roman" w:hAnsi="Times New Roman" w:eastAsia="宋体"/>
          <w:sz w:val="24"/>
        </w:rPr>
        <w:t>Garofalo, M., G. Rosso, and R. Vicqu´ery (2025): “Sanctions and currencies in global credit,” De- partment of Economics Discussion Paper Series, University of Oxford, Oxford, UK.</w:t>
      </w:r>
    </w:p>
    <w:p>
      <w:pPr>
        <w:pStyle w:val="DocBody"/>
      </w:pPr>
      <w:r>
        <w:rPr>
          <w:rFonts w:ascii="Times New Roman" w:hAnsi="Times New Roman" w:eastAsia="宋体"/>
          <w:sz w:val="24"/>
        </w:rPr>
        <w:t>Georgiadis, G., G. J. M¨uller, and B. Schumann (2024): “Global risk and the dollar,” Journal of Monetary Economics, 144, 103549.</w:t>
      </w:r>
    </w:p>
    <w:p>
      <w:pPr>
        <w:pStyle w:val="DocBody"/>
      </w:pPr>
      <w:r>
        <w:rPr>
          <w:rFonts w:ascii="Times New Roman" w:hAnsi="Times New Roman" w:eastAsia="宋体"/>
          <w:sz w:val="24"/>
        </w:rPr>
        <w:t>Goldberg, L. S. and O. Hannaoui (2026): “Drivers of Dollar Share in Foreign Exchange Reserves,”</w:t>
      </w:r>
    </w:p>
    <w:p>
      <w:pPr>
        <w:pStyle w:val="DocBody"/>
      </w:pPr>
      <w:r>
        <w:rPr>
          <w:rFonts w:ascii="Times New Roman" w:hAnsi="Times New Roman" w:eastAsia="宋体"/>
          <w:sz w:val="24"/>
        </w:rPr>
        <w:t>NBER Working Paper 34888, National Bureau of Economic Research.</w:t>
      </w:r>
    </w:p>
    <w:p>
      <w:pPr>
        <w:pStyle w:val="DocBody"/>
      </w:pPr>
      <w:r>
        <w:rPr>
          <w:rFonts w:ascii="Times New Roman" w:hAnsi="Times New Roman" w:eastAsia="宋体"/>
          <w:sz w:val="24"/>
        </w:rPr>
        <w:t>Graf von Luckner, C. M., J. Meyer, C. M. Reinhart, and C. Trebesch (2025): “Sovereign haircuts: 200 years of creditor losses,” IMF Economic Review, 73, 150–195.</w:t>
      </w:r>
    </w:p>
    <w:p>
      <w:pPr>
        <w:pStyle w:val="DocBody"/>
      </w:pPr>
      <w:r>
        <w:rPr>
          <w:rFonts w:ascii="Times New Roman" w:hAnsi="Times New Roman" w:eastAsia="宋体"/>
          <w:sz w:val="24"/>
        </w:rPr>
        <w:t>Ito, H. and R. N. McCauley (2020): “Currency composition of foreign exchange reserves,” Journal of International Money and Finance, 102, 102104.</w:t>
      </w:r>
    </w:p>
    <w:p>
      <w:pPr>
        <w:pStyle w:val="DocBody"/>
      </w:pPr>
      <w:r>
        <w:rPr>
          <w:rFonts w:ascii="Times New Roman" w:hAnsi="Times New Roman" w:eastAsia="宋体"/>
          <w:sz w:val="24"/>
        </w:rPr>
        <w:t>Itskhoki, O. and D. Mukhin (2025): “Sanctions and the exchange rate,” Review of Economic Studies, rdaf085.</w:t>
      </w:r>
    </w:p>
    <w:p>
      <w:pPr>
        <w:pStyle w:val="DocBody"/>
      </w:pPr>
      <w:r>
        <w:rPr>
          <w:rFonts w:ascii="Times New Roman" w:hAnsi="Times New Roman" w:eastAsia="宋体"/>
          <w:sz w:val="24"/>
        </w:rPr>
        <w:t>Pinchetti, M. (2025): “Geopolitical Risk and Inflation: The Role of Energy Markets,” Banque de France Working Paper Series.</w:t>
      </w:r>
    </w:p>
    <w:p>
      <w:pPr>
        <w:pStyle w:val="DocBody"/>
      </w:pPr>
      <w:r>
        <w:rPr>
          <w:rFonts w:ascii="Times New Roman" w:hAnsi="Times New Roman" w:eastAsia="宋体"/>
          <w:sz w:val="24"/>
        </w:rPr>
        <w:t>Voeten, E. (2009): “United Nations General Assembly Ideal Points,” Harvard Dataverse.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Appendix A Additional Results Figure A.1 Unexpected Sanction Event and Regime Change Note.</w:t>
      </w:r>
    </w:p>
    <w:p>
      <w:pPr>
        <w:pStyle w:val="DocBody"/>
      </w:pPr>
      <w:r>
        <w:rPr>
          <w:rFonts w:ascii="Times New Roman" w:hAnsi="Times New Roman" w:eastAsia="宋体"/>
          <w:sz w:val="24"/>
        </w:rPr>
        <w:t>The figure reports impulse responses to an unanticipated sanction event occurring in the tranquil regime (M = 0), which triggers a permanent transition to the turbulent regime (M = 1). All variables are expressed as deviations from the tranquil steady state, with total factor productivity held constant. The ergodic path denotes the probability-weighted trajectory across varying durations of financial exclusion.</w:t>
      </w:r>
    </w:p>
    <w:p>
      <w:pPr>
        <w:pStyle w:val="DocBody"/>
      </w:pPr>
      <w:r>
        <w:rPr>
          <w:rFonts w:ascii="Times New Roman" w:hAnsi="Times New Roman" w:eastAsia="宋体"/>
          <w:sz w:val="24"/>
        </w:rPr>
        <w:t>Figure A.2 Asset Prices: Alternative LP Control Lag Lengths (a) Gold Price -.1 .1 .2 .3 %</w:t>
      </w:r>
    </w:p>
    <w:p>
      <w:pPr>
        <w:pStyle w:val="DocBody"/>
      </w:pPr>
      <w:r>
        <w:rPr>
          <w:rFonts w:ascii="Times New Roman" w:hAnsi="Times New Roman" w:eastAsia="宋体"/>
          <w:sz w:val="24"/>
        </w:rPr>
        <w:t>days</w:t>
      </w:r>
    </w:p>
    <w:p>
      <w:pPr>
        <w:pStyle w:val="DocBody"/>
      </w:pPr>
      <w:r>
        <w:rPr>
          <w:rFonts w:ascii="Times New Roman" w:hAnsi="Times New Roman" w:eastAsia="宋体"/>
          <w:sz w:val="24"/>
        </w:rPr>
        <w:t>5 lags 10 lags (b) US 10-Year Treasury Yield .005 .01 .015 p.p.</w:t>
      </w:r>
    </w:p>
    <w:p>
      <w:pPr>
        <w:pStyle w:val="DocBody"/>
      </w:pPr>
      <w:r>
        <w:rPr>
          <w:rFonts w:ascii="Times New Roman" w:hAnsi="Times New Roman" w:eastAsia="宋体"/>
          <w:sz w:val="24"/>
        </w:rPr>
        <w:t>days</w:t>
      </w:r>
    </w:p>
    <w:p>
      <w:pPr>
        <w:pStyle w:val="DocBody"/>
      </w:pPr>
      <w:r>
        <w:rPr>
          <w:rFonts w:ascii="Times New Roman" w:hAnsi="Times New Roman" w:eastAsia="宋体"/>
          <w:sz w:val="24"/>
        </w:rPr>
        <w:t>5 lags 10 lags Note. Daily local projections of the cumulative response of gold prices and the US 10-Year Treasury Yield to a 2.5-standard-deviation exogenous GPR shock under alternative lag lengths for the local- projection controls.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A.1 Foreign-Exchange Reserve Responses Figure A.3 FX Responses to Geopolitical Risk (a) FX Share -.8 -.6 -.4 -.2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FX Holdings -4 -3 -2 -1 %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foreign-exchange reserve responses to a 2.5-standard-deviation geopolitical-risk shock. Panel (a) reports responses of foreign-exchange shares, panel (b) reports re- sponses of foreign-exchange holdings in percent. Shaded areas report 68% and 90% confidence bands.</w:t>
      </w:r>
    </w:p>
    <w:p>
      <w:pPr>
        <w:pStyle w:val="DocBody"/>
      </w:pPr>
      <w:r>
        <w:rPr>
          <w:rFonts w:ascii="Times New Roman" w:hAnsi="Times New Roman" w:eastAsia="宋体"/>
          <w:sz w:val="24"/>
        </w:rPr>
        <w:t>Figure A.4 FX Responses by US Alignment (a) FX Share -1.5 -1 -.5 .5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FX Holdings -6 -4 -2 %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w:t>
      </w:r>
    </w:p>
    <w:p>
      <w:pPr>
        <w:pStyle w:val="DocBody"/>
      </w:pPr>
      <w:r>
        <w:rPr>
          <w:rFonts w:ascii="Times New Roman" w:hAnsi="Times New Roman" w:eastAsia="宋体"/>
          <w:sz w:val="24"/>
        </w:rPr>
        <w:t>Quarterly local projections of the differential foreign-exchange reserve response to a 2.5- standard-deviation geopolitical-risk shock for countries with below-median alignment with the United States. Panel (a) reports responses of foreign-exchange shares, panel (b) reports responses of foreign- exchange holdings. Shaded areas report 68% and 90% confidence bands.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A.2 Robustness of the Baseline Gold Results Figure A.5 Average Effect on Reserves: Without Lagged Dependent Variables (a) Gold Share .2 .4 .6 .8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Gold Holdings -1 %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gold reserve responses to a 2.5-standard-deviation geopolitical- risk shock estimated without lagged dependent variables. Panel (a) reports responses of gold shares, panel (b) reports responses of gold holdings. Shaded areas report 68% and 90% confidence bands.</w:t>
      </w:r>
    </w:p>
    <w:p>
      <w:pPr>
        <w:pStyle w:val="DocBody"/>
      </w:pPr>
      <w:r>
        <w:rPr>
          <w:rFonts w:ascii="Times New Roman" w:hAnsi="Times New Roman" w:eastAsia="宋体"/>
          <w:sz w:val="24"/>
        </w:rPr>
        <w:t>Figure A.6 Average Effect on Reserves: Specification in Levels (a) Gold Share .2 .4 .6 .8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Gold Holdings -1 %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gold reserve responses to a 2.5-standard-deviation geopolitical- risk shock under a specification in levels. Panel (a) reports responses of gold shares, panel (b) reports responses of gold holdings. This specification serves as a robustness to the baseline model with lagged dependent variables. Shaded areas report 68% and 90% confidence bands.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A.7 Heterogeneous Gold Response: Global Median Robustness (a) Gold Share .2 .4 .6 .8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Gold Holdings -2 %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the differential gold reserve response to a 2.5-standard-deviation geopolitical-risk shock for countries classified as below the global median of alignment with the United States. Panel (a) reports responses of gold shares, panel (b) reports responses of gold holdings. Shaded areas report 68% and 90% confidence bands.</w:t>
      </w:r>
    </w:p>
    <w:p>
      <w:pPr>
        <w:pStyle w:val="DocBody"/>
      </w:pPr>
      <w:r>
        <w:rPr>
          <w:rFonts w:ascii="Times New Roman" w:hAnsi="Times New Roman" w:eastAsia="宋体"/>
          <w:sz w:val="24"/>
        </w:rPr>
        <w:t>Figure A.8 Heterogeneous Gold Response: Continuous Interaction (a) Gold Share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Gold Holdings -10 -5 %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the differential gold reserve response to a 2.5-standard-deviation geopolitical-risk shock under a continuous interaction with alignment with the United States. Panel (a) reports responses of gold shares, panel (b) reports responses of gold holdings. Shaded areas report 68% and 90% confidence bands.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A.9 Heterogeneous Gold Response: Without Lagged Dependent Variables (a) Gold Share -.5 .5 1.5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(b) Gold Holdings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 Quarterly local projections of the differential gold reserve response to a 2.5-standard-deviation geopolitical-risk shock for countries with below-median alignment with the United States, estimated without lagged dependent variables.</w:t>
      </w:r>
    </w:p>
    <w:p>
      <w:pPr>
        <w:pStyle w:val="DocBody"/>
      </w:pPr>
      <w:r>
        <w:rPr>
          <w:rFonts w:ascii="Times New Roman" w:hAnsi="Times New Roman" w:eastAsia="宋体"/>
          <w:sz w:val="24"/>
        </w:rPr>
        <w:t>Panel (a) reports responses of gold shares, panel (b) reports responses of gold holdings. Shaded areas report 68% and 90% confidence bands.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B Stablebonds and Sanction Risk In recent years, the use of stablecoins and similar crypto-assets—designed to mimic the behavior of traditional financial instruments—has increased significantly. In this extension, we examine a setup that may allow investors to shield themselves from sanction risk, albeit potentially at the expense of some liquidity value.</w:t>
      </w:r>
    </w:p>
    <w:p>
      <w:pPr>
        <w:pStyle w:val="DocBody"/>
      </w:pPr>
      <w:r>
        <w:rPr>
          <w:rFonts w:ascii="Times New Roman" w:hAnsi="Times New Roman" w:eastAsia="宋体"/>
          <w:sz w:val="24"/>
        </w:rPr>
        <w:t>To capture the recent emergence of these alternative financial assets, we extend the baseline model by introducing a crypto-asset to our economy: stablebonds. Stablebonds represent claims on assets that track the price of H bonds, and are cleared through decentralized, sanction-proof financial infrastructures, rendering them difficult to sanction or monitor.</w:t>
      </w:r>
    </w:p>
    <w:p>
      <w:pPr>
        <w:pStyle w:val="DocBody"/>
      </w:pPr>
      <w:r>
        <w:rPr>
          <w:rFonts w:ascii="Times New Roman" w:hAnsi="Times New Roman" w:eastAsia="宋体"/>
          <w:sz w:val="24"/>
        </w:rPr>
        <w:t>These assets can be issued freely by crypto intermediaries, who must hold collateral in order to ensure the price of stablebonds correctly tracks the price of regular bonds. For simplicity, we assume a perfectly competitive environment of risk-neutral crypto intermediaries, which issue a unit of stablebonds for every unit of bonds that they hold. This one-to-one ability to convert bonds into stablebonds ensures that QSB = QB, that is the price of stablebonds QSB equals the price of regular bonds QB.9 Investors now choose how to allocate their total bond portfolio between regular bonds and stablebonds, as well as gold. Because regular bonds and stablebonds are both fiat-denominated debt instruments, we assume they are more substitutable with each other than with physical gold. To capture this hierarchical substitutability, we replace the baseline liquidity index with a nested CES aggregator. Let Bagg denote the effective aggregate amount of bonds for liquidity purposes, which is composed of regular bonds Breg and stablebonds BSB. The inner aggregator bundles the two types of bonds:</w:t>
      </w:r>
    </w:p>
    <w:p>
      <w:pPr>
        <w:pStyle w:val="DocBody"/>
      </w:pPr>
      <w:r>
        <w:rPr>
          <w:rFonts w:ascii="Times New Roman" w:hAnsi="Times New Roman" w:eastAsia="宋体"/>
          <w:sz w:val="24"/>
        </w:rPr>
        <w:t>Bagg,t = h ωBBρB reg,t + (1 −ωB)BρB SB,t i ρB (B.1)</w:t>
      </w:r>
    </w:p>
    <w:p>
      <w:pPr>
        <w:pStyle w:val="DocBody"/>
      </w:pPr>
      <w:r>
        <w:rPr>
          <w:rFonts w:ascii="Times New Roman" w:hAnsi="Times New Roman" w:eastAsia="宋体"/>
          <w:sz w:val="24"/>
        </w:rPr>
        <w:t>where ωB is the weight on regular bonds and ρB governs the inner elasticity of substitution. The overall liquidity services are then given by the outer aggregator combining gold and the bond aggregate:</w:t>
      </w:r>
    </w:p>
    <w:p>
      <w:pPr>
        <w:pStyle w:val="DocBody"/>
      </w:pPr>
      <w:r>
        <w:rPr>
          <w:rFonts w:ascii="Times New Roman" w:hAnsi="Times New Roman" w:eastAsia="宋体"/>
          <w:sz w:val="24"/>
        </w:rPr>
        <w:t>LF,t = h ωLAρL F,t + (1 −ωL)BρL agg,t i 1 ρL (B.2)</w:t>
      </w:r>
    </w:p>
    <w:p>
      <w:pPr>
        <w:pStyle w:val="DocBody"/>
      </w:pPr>
      <w:r>
        <w:rPr>
          <w:rFonts w:ascii="Times New Roman" w:hAnsi="Times New Roman" w:eastAsia="宋体"/>
          <w:sz w:val="24"/>
        </w:rPr>
        <w:t>where ρL &lt; ρB, ensuring that the two types of bonds are closer substitutes to each other than either is to gold.</w:t>
      </w:r>
    </w:p>
    <w:p>
      <w:pPr>
        <w:pStyle w:val="DocBody"/>
      </w:pPr>
      <w:r>
        <w:rPr>
          <w:rFonts w:ascii="Times New Roman" w:hAnsi="Times New Roman" w:eastAsia="宋体"/>
          <w:sz w:val="24"/>
        </w:rPr>
        <w:t>9This equality in prices holds as long as there is no shorting or we reach the collateral limit given by the total supply of regular bonds. Given the CES assumption and the low weight of stablebonds in the bond aggregator, we focus purely on the interior solutions and abstract from those limits.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B.1 Sanction Immunity and Liquidity Arbitrage The key distinction between the two bond types materializes in the turbulent regime when the sovereign decides to impose a sanction (1S t = 1) on F holdings. In this event, regular bonds held directly by the foreign investor are subject to the financial haircut κ. By contrast, the aggregate collateral pool of intermediaries is not subject to wholesale sanctions. Instead, sanctions are targeted at the final holder level, with the sovereign succeeding in tracing and freezing foreign investor’s digital wallets with probability πSB. This parameter captures the sovereign’s imperfect capacity to enforce targeted sanctions on crypto-asset infrastructures. We also assume that when an end-user’s stablebond is successfully confiscated, the compliant intermediary must surrender the corresponding collateral to the sanctioning sovereign. Because the intermediary’s assets and liabilities shrink symmetrically, it earns no windfall profits from sanctions, preserving the competitive price equality QSB = QB.</w:t>
      </w:r>
    </w:p>
    <w:p>
      <w:pPr>
        <w:pStyle w:val="DocBody"/>
      </w:pPr>
      <w:r>
        <w:rPr>
          <w:rFonts w:ascii="Times New Roman" w:hAnsi="Times New Roman" w:eastAsia="宋体"/>
          <w:sz w:val="24"/>
        </w:rPr>
        <w:t>The post-sanction expected recovery payment to the foreign investor becomes Breg,t(1 −κ) + BSB,t(1 − πSBκ). As long as πSB &lt; 1, the larger the share of stablebonds in F portfolio, the harder it is for H to extract sanctions from the foreign investor, reducing the effective haircut on foreign holdings of government debt.</w:t>
      </w:r>
    </w:p>
    <w:p>
      <w:pPr>
        <w:pStyle w:val="DocBody"/>
      </w:pPr>
      <w:r>
        <w:rPr>
          <w:rFonts w:ascii="Times New Roman" w:hAnsi="Times New Roman" w:eastAsia="宋体"/>
          <w:sz w:val="24"/>
        </w:rPr>
        <w:t>Because stablebonds provide stronger political safety but have potentially lower baseline liquidity (1 −ωB &lt; 0.5) and are imperfect substitutes for regular bonds (ρB &lt; 1), the foreign investor faces a trade-off, evident in the optimality conditions of F’s portfolio choices. Let Mt,t+1 ≡βF U ′(CF,t+1)/U ′(CF,t) denote F’s stochastic discount factor. In equilibrium, the investor must be indifferent at the margin between holding regular sovereign bonds and stablebonds. Since both assets trade at the same aggregate price QB,t, their expected payoffs (including marginal convenience yields) must equalize. In other words, the difference in (risk-adjusted) expected financial returns must equal the liquidity difference for both assets.</w:t>
      </w:r>
    </w:p>
    <w:p>
      <w:pPr>
        <w:pStyle w:val="DocBody"/>
      </w:pPr>
      <w:r>
        <w:rPr>
          <w:rFonts w:ascii="Times New Roman" w:hAnsi="Times New Roman" w:eastAsia="宋体"/>
          <w:sz w:val="24"/>
        </w:rPr>
        <w:t>Et  Mt,t+1 �κ(1 −πSB)</w:t>
      </w:r>
    </w:p>
    <w:p>
      <w:pPr>
        <w:pStyle w:val="DocBody"/>
      </w:pPr>
      <w:r>
        <w:rPr>
          <w:rFonts w:ascii="Times New Roman" w:hAnsi="Times New Roman" w:eastAsia="宋体"/>
          <w:sz w:val="24"/>
        </w:rPr>
        <w:t xml:space="preserve"> 1S t+1  = Et [Mt,t+1] (LB,t −LSB,t)</w:t>
      </w:r>
    </w:p>
    <w:p>
      <w:pPr>
        <w:pStyle w:val="DocBody"/>
      </w:pPr>
      <w:r>
        <w:rPr>
          <w:rFonts w:ascii="Times New Roman" w:hAnsi="Times New Roman" w:eastAsia="宋体"/>
          <w:sz w:val="24"/>
        </w:rPr>
        <w:t>(B.3)</w:t>
      </w:r>
    </w:p>
    <w:p>
      <w:pPr>
        <w:pStyle w:val="DocBody"/>
      </w:pPr>
      <w:r>
        <w:rPr>
          <w:rFonts w:ascii="Times New Roman" w:hAnsi="Times New Roman" w:eastAsia="宋体"/>
          <w:sz w:val="24"/>
        </w:rPr>
        <w:t>When geopolitical risk rises, the expected financial wedge (the left-hand side) increases. In equilibrium, the foreign investor must alter its portfolio composition, substituting away from regular bonds and into stablebonds. Because the assets are imperfect substitutes, this leads to a rise in the differential of marginal liquidity values between regular bonds and stablebonds, LB −LSB.</w:t>
      </w:r>
    </w:p>
    <w:p>
      <w:pPr>
        <w:pStyle w:val="DocBody"/>
      </w:pPr>
      <w:r>
        <w:rPr>
          <w:rFonts w:ascii="Times New Roman" w:hAnsi="Times New Roman" w:eastAsia="宋体"/>
          <w:sz w:val="24"/>
        </w:rPr>
        <w:t>This substitution acts as a shock absorber for the broader economy.</w:t>
      </w:r>
    </w:p>
    <w:p>
      <w:pPr>
        <w:pStyle w:val="DocBody"/>
      </w:pPr>
      <w:r>
        <w:rPr>
          <w:rFonts w:ascii="Times New Roman" w:hAnsi="Times New Roman" w:eastAsia="宋体"/>
          <w:sz w:val="24"/>
        </w:rPr>
        <w:t>By shifting the internal split towards stablebonds instead of gold, the investor is able to sustain a higher liquidity level LF,t, diminishing the scarcity effect that led to strong flight-to-gold dynamics. By muting the flight-to-safety into gold, the relative price of liquidity is maintained. This, combined with the one-to-one collateralization of stablebonds with regular bonds, mutes the fall in demand for regular bonds and stabilizes their price QB,t. By the same token, since the flight-to-gold effect is diminished, the gold price QA,t is also stabilized.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These dynamics depend crucially on both the substitutability of stablebonds with regular bonds (ρB) and its ability to evade sanctions πSB. If stablebonds and regular bonds are almost perfect substitutes (ρB ≈1), then the liquidity cost is minimal and there will only be minimal price and capital flows in response to changes in geopolitical tensions.</w:t>
      </w:r>
    </w:p>
    <w:p>
      <w:pPr>
        <w:pStyle w:val="DocBody"/>
      </w:pPr>
      <w:r>
        <w:rPr>
          <w:rFonts w:ascii="Times New Roman" w:hAnsi="Times New Roman" w:eastAsia="宋体"/>
          <w:sz w:val="24"/>
        </w:rPr>
        <w:t>On the other hand, if stablebonds are very transparent and unable to shield investors (πSB ≈1), then we would be back to a world closer to our baseline model. Ultimately, the stabilizing power of these alternative assets hinges on their capacity to deliver geopolitical insulation while retaining high liquidity value.</w:t>
      </w:r>
    </w:p>
    <w:p>
      <w:pPr>
        <w:pStyle w:val="DocBody"/>
      </w:pPr>
      <w:r>
        <w:rPr>
          <w:rFonts w:ascii="Times New Roman" w:hAnsi="Times New Roman" w:eastAsia="宋体"/>
          <w:sz w:val="24"/>
        </w:rPr>
        <w:t>B.2 Dollar Denomination of Stablebonds Our analysis assumes stablebonds are dollar-denominated and collateralized one-to-one by H sovereign bonds. The stabilizing mechanism identified here — muted flight to gold and dampened H bond premia — depends on this collateral link. A stablebond pegged to a non-dollar currency would not be collateralized by H bonds or would feature currency mismatch, so the competitive price-equality condition QSB = QB would no longer hold. Such an instrument would instead function as a decentralized form of the FX diversi- fication documented in Section 5.4 — reducing custodial risk in the non-dollar reserve system but failing to provide any indirect demand to support H bonds. The currency denomination of stablebonds therefore mat- ters sharply for their role in the international monetary system: dollar-linked variants could sustain dollar hegemony in geopolitical turbulence, while non-dollar variants would accelerate the shift toward multipolar diversification.</w:t>
      </w:r>
    </w:p>
    <w:p>
      <w:pPr>
        <w:pStyle w:val="DocBody"/>
      </w:pPr>
      <w:r>
        <w:rPr>
          <w:rFonts w:ascii="Times New Roman" w:hAnsi="Times New Roman" w:eastAsia="宋体"/>
          <w:sz w:val="24"/>
        </w:rPr>
        <w:t>C Numerical Implementation of Preference Smooth- ing Standard sovereign debt and sanction models feature a discrete choice d ∈{0, 1} over whether to comply or impose sanctions. This generates non-convexities and discontinuous policy functions, which complicate numerical convergence. To ensure differentiability and stability, we follow Dvorkin et al. (2021) and assume the borrower draws idiosyncratic, additive sanction preference shocks, ϵcom and ϵsan, for each option before making a decision. Using these Extreme Value Type I (Gumbel) shocks smooths the discrete default decision, thereby avoiding the numerical instability typically associated with discontinuous max operators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C.1 Theoretical Formulation Let Vcom(x) and Vsan(x) denote the fundamental values of compliance and sanctioning in state x = (B, S).</w:t>
      </w:r>
    </w:p>
    <w:p>
      <w:pPr>
        <w:pStyle w:val="DocBody"/>
      </w:pPr>
      <w:r>
        <w:rPr>
          <w:rFonts w:ascii="Times New Roman" w:hAnsi="Times New Roman" w:eastAsia="宋体"/>
          <w:sz w:val="24"/>
        </w:rPr>
        <w:t>The realized value of choosing option j ∈{com, san} is given by ˜Vj(x) = Vj(x) + ϵj, where ϵj is drawn independently from an Extreme Value Type I (Gumbel) distribution with location 0 and scale parameter σ &gt; 0.</w:t>
      </w:r>
    </w:p>
    <w:p>
      <w:pPr>
        <w:pStyle w:val="DocBody"/>
      </w:pPr>
      <w:r>
        <w:rPr>
          <w:rFonts w:ascii="Times New Roman" w:hAnsi="Times New Roman" w:eastAsia="宋体"/>
          <w:sz w:val="24"/>
        </w:rPr>
        <w:t>In this nested optimization framework, these fundamental values are calculated by optimizing over the continuous control variable B′, taking tomorrow’s smoothed expected value function V (x′) as the continu- ation value. Specifically, the compliance value evaluates the maximum utility over the choice of total debt issuance:</w:t>
      </w:r>
    </w:p>
    <w:p>
      <w:pPr>
        <w:pStyle w:val="DocBody"/>
      </w:pPr>
      <w:r>
        <w:rPr>
          <w:rFonts w:ascii="Times New Roman" w:hAnsi="Times New Roman" w:eastAsia="宋体"/>
          <w:sz w:val="24"/>
        </w:rPr>
        <w:t>Vcom(B, S) = max B′ {u(Ccom) + βES′ [V (B′, S′)|S]} (C.1)</w:t>
      </w:r>
    </w:p>
    <w:p>
      <w:pPr>
        <w:pStyle w:val="DocBody"/>
      </w:pPr>
      <w:r>
        <w:rPr>
          <w:rFonts w:ascii="Times New Roman" w:hAnsi="Times New Roman" w:eastAsia="宋体"/>
          <w:sz w:val="24"/>
        </w:rPr>
        <w:t>Similarly, the sanction value optimizes over domestic debt B′ (with B′ F = 0 imposed by market exclusion):</w:t>
      </w:r>
    </w:p>
    <w:p>
      <w:pPr>
        <w:pStyle w:val="DocBody"/>
      </w:pPr>
      <w:r>
        <w:rPr>
          <w:rFonts w:ascii="Times New Roman" w:hAnsi="Times New Roman" w:eastAsia="宋体"/>
          <w:sz w:val="24"/>
        </w:rPr>
        <w:t>Vsan(B, S) = max B′ {u(Csan) + G + βES′ [θV (B′, S′) + (1 −θ)Vaut(B′, S′)|S]} (C.2)</w:t>
      </w:r>
    </w:p>
    <w:p>
      <w:pPr>
        <w:pStyle w:val="DocBody"/>
      </w:pPr>
      <w:r>
        <w:rPr>
          <w:rFonts w:ascii="Times New Roman" w:hAnsi="Times New Roman" w:eastAsia="宋体"/>
          <w:sz w:val="24"/>
        </w:rPr>
        <w:t>Following the continuous portfolio choices, the borrower makes the discrete decision by choosing the option that maximizes ˜Vj(x). By the properties of the Gumbel distribution, the ex-ante expected value function (prior to observing the taste shocks) has a closed-form analytical solution known as the log-sum- exp function:</w:t>
      </w:r>
    </w:p>
    <w:p>
      <w:pPr>
        <w:pStyle w:val="DocBody"/>
      </w:pPr>
      <w:r>
        <w:rPr>
          <w:rFonts w:ascii="Times New Roman" w:hAnsi="Times New Roman" w:eastAsia="宋体"/>
          <w:sz w:val="24"/>
        </w:rPr>
        <w:t>V (x) = Eϵ [max {Vcom(x) + ϵcom, Vsan(x) + ϵsan}] = σ log  exp Vcom(x)</w:t>
      </w:r>
    </w:p>
    <w:p>
      <w:pPr>
        <w:pStyle w:val="DocBody"/>
      </w:pPr>
      <w:r>
        <w:rPr>
          <w:rFonts w:ascii="Times New Roman" w:hAnsi="Times New Roman" w:eastAsia="宋体"/>
          <w:sz w:val="24"/>
        </w:rPr>
        <w:t xml:space="preserve">σ </w:t>
      </w:r>
    </w:p>
    <w:p>
      <w:pPr>
        <w:pStyle w:val="DocBody"/>
        <w:ind w:left="765"/>
      </w:pPr>
      <w:r>
        <w:rPr>
          <w:rFonts w:ascii="Times New Roman" w:hAnsi="Times New Roman" w:eastAsia="宋体"/>
          <w:sz w:val="24"/>
        </w:rPr>
        <w:t>exp Vsan(x)</w:t>
      </w:r>
    </w:p>
    <w:p>
      <w:pPr>
        <w:pStyle w:val="DocBody"/>
      </w:pPr>
      <w:r>
        <w:rPr>
          <w:rFonts w:ascii="Times New Roman" w:hAnsi="Times New Roman" w:eastAsia="宋体"/>
          <w:sz w:val="24"/>
        </w:rPr>
        <w:t>σ  (C.3)</w:t>
      </w:r>
    </w:p>
    <w:p>
      <w:pPr>
        <w:pStyle w:val="DocBody"/>
      </w:pPr>
      <w:r>
        <w:rPr>
          <w:rFonts w:ascii="Times New Roman" w:hAnsi="Times New Roman" w:eastAsia="宋体"/>
          <w:sz w:val="24"/>
        </w:rPr>
        <w:t>Note: A standard Euler-Mascheroni constant shift is conventionally omitted for brevity, as it does not affect optimal policies or relative probabilities.</w:t>
      </w:r>
    </w:p>
    <w:p>
      <w:pPr>
        <w:pStyle w:val="DocBody"/>
      </w:pPr>
      <w:r>
        <w:rPr>
          <w:rFonts w:ascii="Times New Roman" w:hAnsi="Times New Roman" w:eastAsia="宋体"/>
          <w:sz w:val="24"/>
        </w:rPr>
        <w:t>The probability of choosing to sanction, evaluated before the realization of the shocks, is given by the standard logistic function:</w:t>
      </w:r>
    </w:p>
    <w:p>
      <w:pPr>
        <w:pStyle w:val="DocBody"/>
      </w:pPr>
      <w:r>
        <w:rPr>
          <w:rFonts w:ascii="Times New Roman" w:hAnsi="Times New Roman" w:eastAsia="宋体"/>
          <w:sz w:val="24"/>
        </w:rPr>
        <w:t>PS(x) = Pr (Vsan(x) + ϵsan &gt; Vcom(x) + ϵcom) = exp  Vsan(x)</w:t>
      </w:r>
    </w:p>
    <w:p>
      <w:pPr>
        <w:pStyle w:val="DocBody"/>
      </w:pPr>
      <w:r>
        <w:rPr>
          <w:rFonts w:ascii="Times New Roman" w:hAnsi="Times New Roman" w:eastAsia="宋体"/>
          <w:sz w:val="24"/>
        </w:rPr>
        <w:t>σ  exp  Vcom(x)</w:t>
      </w:r>
    </w:p>
    <w:p>
      <w:pPr>
        <w:pStyle w:val="DocBody"/>
      </w:pPr>
      <w:r>
        <w:rPr>
          <w:rFonts w:ascii="Times New Roman" w:hAnsi="Times New Roman" w:eastAsia="宋体"/>
          <w:sz w:val="24"/>
        </w:rPr>
        <w:t xml:space="preserve">σ </w:t>
      </w:r>
    </w:p>
    <w:p>
      <w:pPr>
        <w:pStyle w:val="DocBody"/>
        <w:ind w:left="765"/>
      </w:pPr>
      <w:r>
        <w:rPr>
          <w:rFonts w:ascii="Times New Roman" w:hAnsi="Times New Roman" w:eastAsia="宋体"/>
          <w:sz w:val="24"/>
        </w:rPr>
        <w:t>exp  Vsan(x)</w:t>
      </w:r>
    </w:p>
    <w:p>
      <w:pPr>
        <w:pStyle w:val="DocBody"/>
      </w:pPr>
      <w:r>
        <w:rPr>
          <w:rFonts w:ascii="Times New Roman" w:hAnsi="Times New Roman" w:eastAsia="宋体"/>
          <w:sz w:val="24"/>
        </w:rPr>
        <w:t>σ  (C.4)</w:t>
      </w:r>
    </w:p>
    <w:p>
      <w:pPr>
        <w:pStyle w:val="DocBody"/>
      </w:pPr>
      <w:r>
        <w:rPr>
          <w:rFonts w:ascii="Times New Roman" w:hAnsi="Times New Roman" w:eastAsia="宋体"/>
          <w:sz w:val="24"/>
        </w:rPr>
        <w:t>C.2 Numerical Implementation Evaluating Equation C.3 directly in computational software often leads to numerical overflow (evaluating to Inf or NaN). This occurs when the fundamental values Vj(x) are large or, equivalently, when the smoothing parameter σ approaches zero (reflecting a highly precise choice), causing the term exp(Vj(x)/σ) to exceed machine precision.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To guarantee numerical stability, the model code does the following: We define the maximum funda- mental value as ¯V (x) = max{Vcom(x), Vsan(x)}. By factoring exp(¯V (x)/σ) out of the logarithm, the value function can be written as:</w:t>
      </w:r>
    </w:p>
    <w:p>
      <w:pPr>
        <w:pStyle w:val="DocBody"/>
      </w:pPr>
      <w:r>
        <w:rPr>
          <w:rFonts w:ascii="Times New Roman" w:hAnsi="Times New Roman" w:eastAsia="宋体"/>
          <w:sz w:val="24"/>
        </w:rPr>
        <w:t>V (x) = ¯V (x) + σ log  exp Vcom(x) −¯V (x)</w:t>
      </w:r>
    </w:p>
    <w:p>
      <w:pPr>
        <w:pStyle w:val="DocBody"/>
      </w:pPr>
      <w:r>
        <w:rPr>
          <w:rFonts w:ascii="Times New Roman" w:hAnsi="Times New Roman" w:eastAsia="宋体"/>
          <w:sz w:val="24"/>
        </w:rPr>
        <w:t xml:space="preserve">σ </w:t>
      </w:r>
    </w:p>
    <w:p>
      <w:pPr>
        <w:pStyle w:val="DocBody"/>
        <w:ind w:left="765"/>
      </w:pPr>
      <w:r>
        <w:rPr>
          <w:rFonts w:ascii="Times New Roman" w:hAnsi="Times New Roman" w:eastAsia="宋体"/>
          <w:sz w:val="24"/>
        </w:rPr>
        <w:t>exp Vsan(x) −¯V (x)</w:t>
      </w:r>
    </w:p>
    <w:p>
      <w:pPr>
        <w:pStyle w:val="DocBody"/>
      </w:pPr>
      <w:r>
        <w:rPr>
          <w:rFonts w:ascii="Times New Roman" w:hAnsi="Times New Roman" w:eastAsia="宋体"/>
          <w:sz w:val="24"/>
        </w:rPr>
        <w:t>σ  (C.5)</w:t>
      </w:r>
    </w:p>
    <w:p>
      <w:pPr>
        <w:pStyle w:val="DocBody"/>
      </w:pPr>
      <w:r>
        <w:rPr>
          <w:rFonts w:ascii="Times New Roman" w:hAnsi="Times New Roman" w:eastAsia="宋体"/>
          <w:sz w:val="24"/>
        </w:rPr>
        <w:t>Because the maximum exponent in the sum is exactly 0 (which evaluates to exp(0) = 1), and all other exponents are strictly negative, the terms inside the logarithm are bounded between 1 and 2. This prevents overflow regardless of the scale of σ.</w:t>
      </w:r>
    </w:p>
    <w:p>
      <w:pPr>
        <w:pStyle w:val="DocBody"/>
      </w:pPr>
      <w:r>
        <w:rPr>
          <w:rFonts w:ascii="Times New Roman" w:hAnsi="Times New Roman" w:eastAsia="宋体"/>
          <w:sz w:val="24"/>
        </w:rPr>
        <w:t>Similarly, to prevent overflow or divide-by-zero errors when computing the probability of sanctions, the fraction is rearranged by dividing the numerator and denominator by exp(Vcom(x)/σ), yielding a highly stable logistic form:</w:t>
      </w:r>
    </w:p>
    <w:p>
      <w:pPr>
        <w:pStyle w:val="DocBody"/>
      </w:pPr>
      <w:r>
        <w:rPr>
          <w:rFonts w:ascii="Times New Roman" w:hAnsi="Times New Roman" w:eastAsia="宋体"/>
          <w:sz w:val="24"/>
        </w:rPr>
        <w:t>PS(x) = 1 + exp  Vcom(x)−Vsan(x)</w:t>
      </w:r>
    </w:p>
    <w:p>
      <w:pPr>
        <w:pStyle w:val="DocBody"/>
      </w:pPr>
      <w:r>
        <w:rPr>
          <w:rFonts w:ascii="Times New Roman" w:hAnsi="Times New Roman" w:eastAsia="宋体"/>
          <w:sz w:val="24"/>
        </w:rPr>
        <w:t>σ  (C.6)</w:t>
      </w:r>
    </w:p>
    <w:p>
      <w:pPr>
        <w:pStyle w:val="DocBody"/>
      </w:pPr>
      <w:r>
        <w:rPr>
          <w:rFonts w:ascii="Times New Roman" w:hAnsi="Times New Roman" w:eastAsia="宋体"/>
          <w:sz w:val="24"/>
        </w:rPr>
        <w:t>This formulation ensures that if Vcom ≫Vsan (compliance is heavily favored), the exponent grows large and positive, driving the denominator to infinity and PS(x) cleanly to 0 without numerical instability. The formulation is equally well behaved in the other extreme case when the exponent is large and negative, in which case the probability converges to 1.</w:t>
      </w:r>
    </w:p>
    <w:p>
      <w:pPr>
        <w:pStyle w:val="DocBody"/>
      </w:pPr>
      <w:r>
        <w:rPr>
          <w:rFonts w:ascii="Times New Roman" w:hAnsi="Times New Roman" w:eastAsia="宋体"/>
          <w:sz w:val="24"/>
        </w:rPr>
        <w:t>D Alternative Geopolitical Alignment Measure Our baseline measure of geopolitical alignment is based on similarity in United Nations General Assembly voting patterns. As a conceptually distinct alternative, we follow Ferrari Minesso et al. (2026) and construct an alignment measure using the Alliance Treaty Obligations and Provisions database. The ATOP mea- sure compares each country’s complete portfolio of military-alliance commitments with that of the United States, weighting alliance partners by their relative material capabilities. Shared commitments involving geopolitically important countries therefore receive greater weight.</w:t>
      </w:r>
    </w:p>
    <w:p>
      <w:pPr>
        <w:pStyle w:val="DocBody"/>
      </w:pPr>
      <w:r>
        <w:rPr>
          <w:rFonts w:ascii="Times New Roman" w:hAnsi="Times New Roman" w:eastAsia="宋体"/>
          <w:sz w:val="24"/>
        </w:rPr>
        <w:t>Whereas the UN-based measure captures revealed positions across a broad range of international issues, the ATOP measure captures alignment through formal and institutionally binding security relationships.</w:t>
      </w:r>
    </w:p>
    <w:p>
      <w:pPr>
        <w:pStyle w:val="DocBody"/>
      </w:pPr>
      <w:r>
        <w:rPr>
          <w:rFonts w:ascii="Times New Roman" w:hAnsi="Times New Roman" w:eastAsia="宋体"/>
          <w:sz w:val="24"/>
        </w:rPr>
        <w:t>Figure D.1 compares the two indicators. Although they are positively related, the relationship is far from mechanical, indicating that the two measures capture overlapping but distinct dimensions of geopolitical proximity. This makes the ATOP exercise a demanding robustness test of the baseline results.</w:t>
      </w:r>
    </w:p>
    <w:p>
      <w:pPr>
        <w:pStyle w:val="DocBody"/>
      </w:pPr>
      <w:r>
        <w:rPr>
          <w:rFonts w:ascii="Times New Roman" w:hAnsi="Times New Roman" w:eastAsia="宋体"/>
          <w:sz w:val="24"/>
        </w:rPr>
        <w:t>We re-estimate the heterogeneous local projections presented in Section 5.3, replacing the UN-based alignment measure with the weighted ATOP score. All other elements of the specification—including the geopolitical-risk shock, outcome variables, lag structure, fixed effects, macroeconomic controls, and valuation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D.1 UN Voting Alignment and Weighted ATOP Alliance Similarity ARG AUS BEL BRA CAN CHE CHL COL DEU DNK EGY ESP FIN FRA GBR HUN IDN IND ISR ITA JPN KOR MEX MYS NLD NOR PER PHL POLPRT RUS SAU SWE THA TUN TUR UKR USA VEN VNM ZAF -4 -2 ATOP alliance distance from US -3 -2 -1 UN voting distance from US Countries Linear fit Country averages over 2010-2018; China excluded as in the reserve regressions. Correlation = 0.52; N = 41.</w:t>
      </w:r>
    </w:p>
    <w:p>
      <w:pPr>
        <w:pStyle w:val="DocBody"/>
      </w:pPr>
      <w:r>
        <w:rPr>
          <w:rFonts w:ascii="Times New Roman" w:hAnsi="Times New Roman" w:eastAsia="宋体"/>
          <w:sz w:val="24"/>
        </w:rPr>
        <w:t>Note. The figure compares the baseline measure of geopolitical alignment with the United States, derived from United Nations General Assembly voting patterns, with the alternative weighted alliance-portfolio similarity score constructed from the Alliance Treaty Obligations and Provisions database.</w:t>
      </w:r>
    </w:p>
    <w:p>
      <w:pPr>
        <w:pStyle w:val="DocBody"/>
      </w:pPr>
      <w:r>
        <w:rPr>
          <w:rFonts w:ascii="Times New Roman" w:hAnsi="Times New Roman" w:eastAsia="宋体"/>
          <w:sz w:val="24"/>
        </w:rPr>
        <w:t>The ATOP measure compares each country’s portfolio of formal military alliances with that of the United States and weights alliance partners by their relative material capabilities.</w:t>
      </w:r>
    </w:p>
    <w:p>
      <w:pPr>
        <w:pStyle w:val="DocBody"/>
      </w:pPr>
      <w:r>
        <w:rPr>
          <w:rFonts w:ascii="Times New Roman" w:hAnsi="Times New Roman" w:eastAsia="宋体"/>
          <w:sz w:val="24"/>
        </w:rPr>
        <w:t>adjustments—are left unchanged. As throughout the paper, the estimated responses are rescaled to a 2.5- standard-deviation increase in geopolitical risk, to match the increase associated with Russia’s full-scale invasion of Ukraine.</w:t>
      </w:r>
    </w:p>
    <w:p>
      <w:pPr>
        <w:pStyle w:val="DocBody"/>
      </w:pPr>
      <w:r>
        <w:rPr>
          <w:rFonts w:ascii="Times New Roman" w:hAnsi="Times New Roman" w:eastAsia="宋体"/>
          <w:sz w:val="24"/>
        </w:rPr>
        <w:t>The results are reassuringly robust to this alternative measure of geopolitical alignment. The gold-share response remains positive throughout the projection horizon and rises steadily, reaching estimates in a range of approximately 0.5 to 3 percentage points after three years. The central estimate is economically sizeable and amounts to almost two-thirds of the corresponding baseline effect. Gold holdings display a similarly supportive short- and medium-run response, increasing over the first eight quarters and peaking within a range of approximately 0 to 3.5 percent.</w:t>
      </w:r>
    </w:p>
    <w:p>
      <w:pPr>
        <w:pStyle w:val="DocBody"/>
      </w:pPr>
      <w:r>
        <w:rPr>
          <w:rFonts w:ascii="Times New Roman" w:hAnsi="Times New Roman" w:eastAsia="宋体"/>
          <w:sz w:val="24"/>
        </w:rPr>
        <w:t>The holdings response is more muted than under the baseline UN-based measure and becomes negative at longer horizons. Overall, the exercise confirms that the stronger reallocation toward gold among countries geopolitically more distant from the United States is not specific to UN voting behavior. The same qualitative pattern emerges when alignment is instead measured through formal military and security relationships.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Figure D.2 Gold Reserve Responses by US Alignment:</w:t>
      </w:r>
    </w:p>
    <w:p>
      <w:pPr>
        <w:pStyle w:val="DocBody"/>
      </w:pPr>
      <w:r>
        <w:rPr>
          <w:rFonts w:ascii="Times New Roman" w:hAnsi="Times New Roman" w:eastAsia="宋体"/>
          <w:sz w:val="24"/>
        </w:rPr>
        <w:t>Weighted ATOP Measure Gold Share -1 p.p.</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Gold Holdings -10 -5 %</w:t>
      </w:r>
    </w:p>
    <w:p>
      <w:pPr>
        <w:pStyle w:val="DocBody"/>
      </w:pPr>
      <w:r>
        <w:rPr>
          <w:rFonts w:ascii="Times New Roman" w:hAnsi="Times New Roman" w:eastAsia="宋体"/>
          <w:sz w:val="24"/>
        </w:rPr>
        <w:t>quarters</w:t>
      </w:r>
    </w:p>
    <w:p>
      <w:pPr>
        <w:pStyle w:val="DocBody"/>
      </w:pPr>
      <w:r>
        <w:rPr>
          <w:rFonts w:ascii="Times New Roman" w:hAnsi="Times New Roman" w:eastAsia="宋体"/>
          <w:sz w:val="24"/>
        </w:rPr>
        <w:t>Note.</w:t>
      </w:r>
    </w:p>
    <w:p>
      <w:pPr>
        <w:pStyle w:val="DocBody"/>
      </w:pPr>
      <w:r>
        <w:rPr>
          <w:rFonts w:ascii="Times New Roman" w:hAnsi="Times New Roman" w:eastAsia="宋体"/>
          <w:sz w:val="24"/>
        </w:rPr>
        <w:t>Quarterly local projections of the differential cumulative response of gold reserves among countries less aligned with the United States, where geopolitical alignment is measured using the weighted ATOP alliance-portfolio similarity score. The shock is rescaled to a 2.5-standard-deviation increase in country-specific geopolitical risk.</w:t>
      </w:r>
    </w:p>
    <w:p>
      <w:pPr>
        <w:pStyle w:val="DocBody"/>
      </w:pPr>
      <w:r>
        <w:rPr>
          <w:rFonts w:ascii="Times New Roman" w:hAnsi="Times New Roman" w:eastAsia="宋体"/>
          <w:sz w:val="24"/>
        </w:rPr>
        <w:t>The left panel reports the response of gold shares in percentage points, while the right panel reports the response of real gold holdings in percent. Shaded areas denote 68 and 90 percent confidence intervals.</w:t>
      </w:r>
    </w:p>
    <w:p>
      <w:pPr>
        <w:pStyle w:val="DocBody"/>
      </w:pPr>
      <w:r>
        <w:rPr>
          <w:rFonts w:ascii="Times New Roman" w:hAnsi="Times New Roman" w:eastAsia="宋体"/>
          <w:sz w:val="24"/>
        </w:rPr>
        <w:t>E Geopolitical Risk and the Offshore Custody of Gold In this section, we explore whether fluctuations in geopolitical risk are associated with a decline in the stock of gold in custody at the two major financial centres, the Bank of England and the Federal Reserve Bank of New York. We consider two outcome specifications: the combined amount of gold held at the two institutions, net of gold held on behalf of the Treasury, expressed in levels; and the same measure expressed as a ratio of total disclosed global official gold reserves. IN the first specification, as the numerator is not restricted uniformly to official-sector holdings, the ratio should be interpreted as an aggregate proxy for the relative importance of these two offshore custody centres, rather than as a direct estimate of the share of official gold stored offshore. For both specifications, it is important to be mindful that the underlying data do not identify beneficial owners or the destination of any gold leaving the two centres. The exercise therefore provides suggestive evidence on changes in jurisdictional custody exposure, but does not definitely establish country-level repatriation of gold reserves or movements from offshore to onshore storage.</w:t>
      </w:r>
    </w:p>
    <w:p>
      <w:pPr>
        <w:pStyle w:val="DocBody"/>
      </w:pPr>
      <w:r>
        <w:rPr>
          <w:rFonts w:ascii="Times New Roman" w:hAnsi="Times New Roman" w:eastAsia="宋体"/>
          <w:sz w:val="24"/>
        </w:rPr>
        <w:t>For horizons (h=1,. . . ,24), we estimate monthly local projections of the form:</w:t>
      </w:r>
    </w:p>
    <w:p>
      <w:pPr>
        <w:pStyle w:val="DocBody"/>
      </w:pPr>
      <w:r>
        <w:rPr>
          <w:rFonts w:ascii="Times New Roman" w:hAnsi="Times New Roman" w:eastAsia="宋体"/>
          <w:sz w:val="24"/>
        </w:rPr>
        <w:t>yt+h−1 −yt−1 = αh + βhzGP R t</w:t>
      </w:r>
    </w:p>
    <w:p>
      <w:pPr>
        <w:pStyle w:val="DocBody"/>
        <w:ind w:left="765"/>
      </w:pPr>
      <w:r>
        <w:rPr>
          <w:rFonts w:ascii="Times New Roman" w:hAnsi="Times New Roman" w:eastAsia="宋体"/>
          <w:sz w:val="24"/>
        </w:rPr>
        <w:t>λht + X j=1 ϕh,j∆yt−j + X j=1 ρh,jzGP R t−j</w:t>
      </w:r>
    </w:p>
    <w:p>
      <w:pPr>
        <w:pStyle w:val="DocBody"/>
        <w:ind w:left="765"/>
      </w:pPr>
      <w:r>
        <w:rPr>
          <w:rFonts w:ascii="Times New Roman" w:hAnsi="Times New Roman" w:eastAsia="宋体"/>
          <w:sz w:val="24"/>
        </w:rPr>
        <w:t>Γ′ hXt−1 + ut,h (E.1)</w:t>
      </w:r>
    </w:p>
    <w:p>
      <w:pPr>
        <w:pStyle w:val="DocBody"/>
      </w:pPr>
      <w:r>
        <w:rPr>
          <w:rFonts w:ascii="Times New Roman" w:hAnsi="Times New Roman" w:eastAsia="宋体"/>
          <w:sz w:val="24"/>
        </w:rPr>
        <w:t>where yt is the combined Bank of England and New York Fed custody share in disclosed global official gold reserves. The variable GPRw t is a standardized global geopolitical risk shock in logs, with all reported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responses rescaled to match the 2.5-standard-deviation increase observed between December 2021 and March 2022.</w:t>
      </w:r>
    </w:p>
    <w:p>
      <w:pPr>
        <w:pStyle w:val="DocBody"/>
      </w:pPr>
      <w:r>
        <w:rPr>
          <w:rFonts w:ascii="Times New Roman" w:hAnsi="Times New Roman" w:eastAsia="宋体"/>
          <w:sz w:val="24"/>
        </w:rPr>
        <w:t>The linear time trend absorbs slow-moving secular changes in the importance of the two offshore custody centres. The control vector Xt−1 includes lagged changes in the US 1-year and 10-year Treasury yields, the S&amp;P 500, the gold price, and the US dollar. We include three lags of changes in the dependent variable and three lags of geopolitical risk in logs.</w:t>
      </w:r>
    </w:p>
    <w:p>
      <w:pPr>
        <w:pStyle w:val="DocBody"/>
      </w:pPr>
      <w:r>
        <w:rPr>
          <w:rFonts w:ascii="Times New Roman" w:hAnsi="Times New Roman" w:eastAsia="宋体"/>
          <w:sz w:val="24"/>
        </w:rPr>
        <w:t>Figure E.1 Gold in Custody at Major Off-Shore Custody Centres Following a Geopolitical-Risk Shock Gold Share -1.5 -1 -.5 .5 p.p.</w:t>
      </w:r>
    </w:p>
    <w:p>
      <w:pPr>
        <w:pStyle w:val="DocBody"/>
      </w:pPr>
      <w:r>
        <w:rPr>
          <w:rFonts w:ascii="Times New Roman" w:hAnsi="Times New Roman" w:eastAsia="宋体"/>
          <w:sz w:val="24"/>
        </w:rPr>
        <w:t>months</w:t>
      </w:r>
    </w:p>
    <w:p>
      <w:pPr>
        <w:pStyle w:val="DocBody"/>
      </w:pPr>
      <w:r>
        <w:rPr>
          <w:rFonts w:ascii="Times New Roman" w:hAnsi="Times New Roman" w:eastAsia="宋体"/>
          <w:sz w:val="24"/>
        </w:rPr>
        <w:t>Gold Holdings -400 -200 tonnes months</w:t>
      </w:r>
    </w:p>
    <w:p>
      <w:pPr>
        <w:pStyle w:val="DocBody"/>
      </w:pPr>
      <w:r>
        <w:rPr>
          <w:rFonts w:ascii="Times New Roman" w:hAnsi="Times New Roman" w:eastAsia="宋体"/>
          <w:sz w:val="24"/>
        </w:rPr>
        <w:t>Note. Monthly local projections of the cumulative responses of combined gold holdings in custody at the Bank of England and the Federal Reserve Bank of New York to a 2.5-standard-deviation global geopolitical-risk shock. The left panel reports holdings as a share of disclosed global official gold reserves, while the right panel reports holdings in levels. Shaded bands denote 68 and 90 percent confidence intervals.</w:t>
      </w:r>
    </w:p>
    <w:p>
      <w:pPr>
        <w:pStyle w:val="DocBody"/>
      </w:pPr>
      <w:r>
        <w:rPr>
          <w:rFonts w:ascii="Times New Roman" w:hAnsi="Times New Roman" w:eastAsia="宋体"/>
          <w:sz w:val="24"/>
        </w:rPr>
        <w:t>Figure E.1 indicates that gold held at the two principal offshore custody centres declines following an increase in geopolitical risk. The response reaches approximately 0.5 percentage points after one year and a trough of around 0.8 percentage points after 15 to 18 months, before gradually reverting toward its pre- shock level. Likewise, in absolute terms, aggregate offshore gold holdings decline by up to 180 tonnes over the course of the first two years after a 2.5 standard deviation geopolitical risk shock.</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 Data and Sources Table F.1 Data and Sources – Asset Prices Data Source Description Sample Freq GPR Index Caldara and Ia- coviello (2022)</w:t>
      </w:r>
    </w:p>
    <w:p>
      <w:pPr>
        <w:pStyle w:val="DocBody"/>
      </w:pPr>
      <w:r>
        <w:rPr>
          <w:rFonts w:ascii="Times New Roman" w:hAnsi="Times New Roman" w:eastAsia="宋体"/>
          <w:sz w:val="24"/>
        </w:rPr>
        <w:t>Daily index of adverse geopolit- ical events.</w:t>
      </w:r>
    </w:p>
    <w:p>
      <w:pPr>
        <w:pStyle w:val="DocBody"/>
      </w:pPr>
      <w:r>
        <w:rPr>
          <w:rFonts w:ascii="Times New Roman" w:hAnsi="Times New Roman" w:eastAsia="宋体"/>
          <w:sz w:val="24"/>
        </w:rPr>
        <w:t>1985–2025 D Gold Price LBMA Daily US dollar gold fixing price, in logs.</w:t>
      </w:r>
    </w:p>
    <w:p>
      <w:pPr>
        <w:pStyle w:val="DocBody"/>
      </w:pPr>
      <w:r>
        <w:rPr>
          <w:rFonts w:ascii="Times New Roman" w:hAnsi="Times New Roman" w:eastAsia="宋体"/>
          <w:sz w:val="24"/>
        </w:rPr>
        <w:t>1985–2025 D US 10-Year Yield Board of Gover- nors Daily constant-maturity Trea- sury yield.</w:t>
      </w:r>
    </w:p>
    <w:p>
      <w:pPr>
        <w:pStyle w:val="DocBody"/>
      </w:pPr>
      <w:r>
        <w:rPr>
          <w:rFonts w:ascii="Times New Roman" w:hAnsi="Times New Roman" w:eastAsia="宋体"/>
          <w:sz w:val="24"/>
        </w:rPr>
        <w:t>1990–2025 D WTI Oil Price US EIA Daily WTI crude oil spot price, in logs.</w:t>
      </w:r>
    </w:p>
    <w:p>
      <w:pPr>
        <w:pStyle w:val="DocBody"/>
      </w:pPr>
      <w:r>
        <w:rPr>
          <w:rFonts w:ascii="Times New Roman" w:hAnsi="Times New Roman" w:eastAsia="宋体"/>
          <w:sz w:val="24"/>
        </w:rPr>
        <w:t>1990–2025 D S&amp;P 500 S&amp;P Dow Jones Indices Daily stock price index, in logs.</w:t>
      </w:r>
    </w:p>
    <w:p>
      <w:pPr>
        <w:pStyle w:val="DocBody"/>
      </w:pPr>
      <w:r>
        <w:rPr>
          <w:rFonts w:ascii="Times New Roman" w:hAnsi="Times New Roman" w:eastAsia="宋体"/>
          <w:sz w:val="24"/>
        </w:rPr>
        <w:t>1990–2025 D VIX Cboe Daily implied equity-market volatility index.</w:t>
      </w:r>
    </w:p>
    <w:p>
      <w:pPr>
        <w:pStyle w:val="DocBody"/>
      </w:pPr>
      <w:r>
        <w:rPr>
          <w:rFonts w:ascii="Times New Roman" w:hAnsi="Times New Roman" w:eastAsia="宋体"/>
          <w:sz w:val="24"/>
        </w:rPr>
        <w:t>1990–2025 D Table F.2 Data and Sources – Reserve Composition Panel Data Source Description Sample Freq Asset Composi- tion of Official Reserves IMF IFS Gold and foreign exchange re- serves held by monetary au- thorities.</w:t>
      </w:r>
    </w:p>
    <w:p>
      <w:pPr>
        <w:pStyle w:val="DocBody"/>
      </w:pPr>
      <w:r>
        <w:rPr>
          <w:rFonts w:ascii="Times New Roman" w:hAnsi="Times New Roman" w:eastAsia="宋体"/>
          <w:sz w:val="24"/>
        </w:rPr>
        <w:t>1985q1– 2024q4 M Currency Com- position of Offi- cial Reserves IMF COFER Currency Composition of offi- cial reserves.</w:t>
      </w:r>
    </w:p>
    <w:p>
      <w:pPr>
        <w:pStyle w:val="DocBody"/>
      </w:pPr>
      <w:r>
        <w:rPr>
          <w:rFonts w:ascii="Times New Roman" w:hAnsi="Times New Roman" w:eastAsia="宋体"/>
          <w:sz w:val="24"/>
        </w:rPr>
        <w:t>2000q1– 2024q4 M Table F.3 Data and Sources – Country-Level Variables Data Source Description Sample Freq Alignment in UN Assembly Voeten (2009)</w:t>
      </w:r>
    </w:p>
    <w:p>
      <w:pPr>
        <w:pStyle w:val="DocBody"/>
      </w:pPr>
      <w:r>
        <w:rPr>
          <w:rFonts w:ascii="Times New Roman" w:hAnsi="Times New Roman" w:eastAsia="宋体"/>
          <w:sz w:val="24"/>
        </w:rPr>
        <w:t>Bailey et al.</w:t>
      </w:r>
    </w:p>
    <w:p>
      <w:pPr>
        <w:pStyle w:val="DocBody"/>
      </w:pPr>
      <w:r>
        <w:rPr>
          <w:rFonts w:ascii="Times New Roman" w:hAnsi="Times New Roman" w:eastAsia="宋体"/>
          <w:sz w:val="24"/>
        </w:rPr>
        <w:t>(2017)</w:t>
      </w:r>
    </w:p>
    <w:p>
      <w:pPr>
        <w:pStyle w:val="DocBody"/>
      </w:pPr>
      <w:r>
        <w:rPr>
          <w:rFonts w:ascii="Times New Roman" w:hAnsi="Times New Roman" w:eastAsia="宋体"/>
          <w:sz w:val="24"/>
        </w:rPr>
        <w:t>Country-level proximity to the United States in United Na- tions General Assembly voting.</w:t>
      </w:r>
    </w:p>
    <w:p>
      <w:pPr>
        <w:pStyle w:val="DocBody"/>
      </w:pPr>
      <w:r>
        <w:rPr>
          <w:rFonts w:ascii="Times New Roman" w:hAnsi="Times New Roman" w:eastAsia="宋体"/>
          <w:sz w:val="24"/>
        </w:rPr>
        <w:t>1985–2024 Y Alignment by Alliances or Treaties Alliance Treaty Obligations Database Country-level similarity to the US in weighted portfolios of military-alliance commitments.</w:t>
      </w:r>
    </w:p>
    <w:p>
      <w:pPr>
        <w:pStyle w:val="DocBody"/>
      </w:pPr>
      <w:r>
        <w:rPr>
          <w:rFonts w:ascii="Times New Roman" w:hAnsi="Times New Roman" w:eastAsia="宋体"/>
          <w:sz w:val="24"/>
        </w:rPr>
        <w:t>1985–2018 Y Country-level GPR Index Caldara and Ia- coviello (2022)</w:t>
      </w:r>
    </w:p>
    <w:p>
      <w:pPr>
        <w:pStyle w:val="DocBody"/>
      </w:pPr>
      <w:r>
        <w:rPr>
          <w:rFonts w:ascii="Times New Roman" w:hAnsi="Times New Roman" w:eastAsia="宋体"/>
          <w:sz w:val="24"/>
        </w:rPr>
        <w:t>Country-level GPR exposure and global stress indicator.</w:t>
      </w:r>
    </w:p>
    <w:p>
      <w:pPr>
        <w:pStyle w:val="DocBody"/>
      </w:pPr>
      <w:r>
        <w:rPr>
          <w:rFonts w:ascii="Times New Roman" w:hAnsi="Times New Roman" w:eastAsia="宋体"/>
          <w:sz w:val="24"/>
        </w:rPr>
        <w:t>1985q1– 2024q4 M Macro-financial Controls Camous et al.</w:t>
      </w:r>
    </w:p>
    <w:p>
      <w:pPr>
        <w:pStyle w:val="DocBody"/>
      </w:pPr>
      <w:r>
        <w:rPr>
          <w:rFonts w:ascii="Times New Roman" w:hAnsi="Times New Roman" w:eastAsia="宋体"/>
          <w:sz w:val="24"/>
        </w:rPr>
        <w:t>(2026)</w:t>
      </w:r>
    </w:p>
    <w:p>
      <w:pPr>
        <w:pStyle w:val="DocBody"/>
      </w:pPr>
      <w:r>
        <w:rPr>
          <w:rFonts w:ascii="Times New Roman" w:hAnsi="Times New Roman" w:eastAsia="宋体"/>
          <w:sz w:val="24"/>
        </w:rPr>
        <w:t>Country-level GDP, CPI, Real Credit.</w:t>
      </w:r>
    </w:p>
    <w:p>
      <w:pPr>
        <w:pStyle w:val="DocBody"/>
      </w:pPr>
      <w:r>
        <w:rPr>
          <w:rFonts w:ascii="Times New Roman" w:hAnsi="Times New Roman" w:eastAsia="宋体"/>
          <w:sz w:val="24"/>
        </w:rPr>
        <w:t>1985q1– 2024q4 Q International Gold Custody BoE / NY Fed Aggregate gold held in custody, net of Treasury holdings.</w:t>
      </w:r>
    </w:p>
    <w:p>
      <w:pPr>
        <w:pStyle w:val="DocBody"/>
      </w:pPr>
      <w:r>
        <w:rPr>
          <w:rFonts w:ascii="Times New Roman" w:hAnsi="Times New Roman" w:eastAsia="宋体"/>
          <w:sz w:val="24"/>
        </w:rPr>
        <w:t>2011m1– 2025m12 M Legend: D=Daily, M=Monthly, Q=Quarterly, Y=Yearly</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ber.org/papers/w35669#fromr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Fool's Gold? How the USD lost its Shine -- by Kai Arvai, Nuno Coimbra, Marco Pinchetti</dc:title>
  <dc:subject/>
  <dc:creator>briefing-article-kb</dc:creator>
  <cp:keywords/>
  <dc:description>https://www.nber.org/papers/w35669#fromrss</dc:description>
  <cp:lastModifiedBy/>
  <cp:revision>1</cp:revision>
  <dcterms:created xsi:type="dcterms:W3CDTF">2013-12-23T23:15:00Z</dcterms:created>
  <dcterms:modified xsi:type="dcterms:W3CDTF">2013-12-23T23:15:00Z</dcterms:modified>
  <cp:category/>
</cp:coreProperties>
</file>