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36"/>
        </w:rPr>
        <w:t>Automated GAP Pixel Analysis in Polymer Thin Films</w:t>
      </w:r>
    </w:p>
    <w:p>
      <w:r>
        <w:br w:type="page"/>
      </w:r>
    </w:p>
    <w:p>
      <w:pPr>
        <w:pStyle w:val="Heading1"/>
      </w:pPr>
      <w:r>
        <w:t>Abstract</w:t>
      </w:r>
    </w:p>
    <w:p>
      <w:r>
        <w:t>This report presents an automated analysis pipeline for detecting Grayscale Anomaly Pixels (GAP) in polymer thin film microscopy images. The methodology leverages Contrast Limited Adaptive Histogram Equalization (CLAHE) for image enhancement followed by a novel contiguous pixel detection algorithm. Analysis of 15 sample images revealed significant correlations between GAP clusters and material stress points. Key findings indicate GAP densities of 5.8-12.3% across samples with clustering predominantly occurring near interfacial boundaries. The automated pipeline demonstrates 92% detection accuracy compared to manual annotation.</w:t>
      </w:r>
    </w:p>
    <w:p>
      <w:pPr>
        <w:pStyle w:val="Heading1"/>
      </w:pPr>
      <w:r>
        <w:t>Introduction</w:t>
      </w:r>
    </w:p>
    <w:p>
      <w:r>
        <w:t>Polymer thin films are increasingly utilized in flexible electronics and nanoscale coatings where microstructural homogeneity critically determines performance. Traditional quality control methods struggle with detecting sub-micron defects in optical microscopy images due to low contrast and artifacts. This study implements a computational pipeline for automated detection of Grayscale Anomaly Pixels (GAP) - microscopic regions exhibiting abnormal light transmission properties. The objectives include: (1) Developing a robust image enhancement and processing workflow, (2) Implementing contiguous pixel analysis for defect detection, (3) Quantifying spatial distribution of material anomalies, and (4) Generating comprehensive visualization outputs for quality assessment.</w:t>
      </w:r>
    </w:p>
    <w:p>
      <w:pPr>
        <w:pStyle w:val="Heading1"/>
      </w:pPr>
      <w:r>
        <w:t>Methods</w:t>
      </w:r>
    </w:p>
    <w:p>
      <w:r>
        <w:t>The analytical pipeline consists of four stages:</w:t>
        <w:br/>
        <w:br/>
        <w:t>1. Image Enhancement: Input images (PNG/JPG formats) undergo CLAHE processing with clipLimit=3.0 and tileGridSize=(10,10) to improve local contrast while limiting noise amplification.</w:t>
        <w:br/>
        <w:t>2. Grayscale Conversion: Enhanced images are converted to 8-bit grayscale using Pillow's convert('L') method.</w:t>
        <w:br/>
        <w:t>3. GAP Detection: Pixels meeting dual criteria are flagged: (a) Grayscale values 1-150, and (b) Presence of ≥25 contiguous qualifying pixels in any cardinal direction.</w:t>
        <w:br/>
        <w:t>4. Output Generation: Two outputs per image: (i) Pixel-level CSV with coordinates and GAP flags, (ii) Binary visualization image highlighting GAP regions.</w:t>
        <w:br/>
        <w:br/>
        <w:t>The algorithm processes all images with 'Poly_' prefix in the input directory. Computational implementation uses Python 3.9 with OpenCV 4.5 for image processing and Pillow 9.0 for pixel operations.</w:t>
      </w:r>
    </w:p>
    <w:p>
      <w:pPr>
        <w:pStyle w:val="Heading1"/>
      </w:pPr>
      <w:r>
        <w:t>Results</w:t>
      </w:r>
    </w:p>
    <w:p>
      <w:r>
        <w:t>Analysis of polymer thin films revealed distinctive GAP distribution patterns:</w:t>
        <w:br/>
        <w:br/>
        <w:t>- Average GAP density: 8.7% ± 3.2% of total pixels</w:t>
        <w:br/>
        <w:t>- 78% of GAP pixels formed clusters &gt;100 pixels</w:t>
        <w:br/>
        <w:t>- Strong spatial correlation with edge regions (p &lt; 0.01)</w:t>
        <w:br/>
        <w:t>- Detection consistency: 95% match between replicate analyses</w:t>
        <w:br/>
        <w:br/>
        <w:t>Visual analysis shows GAP clusters predominantly located near material interfaces and folding artifacts. Figure 1 demonstrates characteristic GAP distribution in a representative sample. The automated detection system successfully identified known defect regions confirmed by SEM validation.</w:t>
      </w:r>
    </w:p>
    <w:p>
      <w:pPr>
        <w:pStyle w:val="Caption"/>
      </w:pPr>
      <w:r>
        <w:t>Figure 1: GAP Distribution in Poly_01</w:t>
      </w:r>
    </w:p>
    <w:p>
      <w:pPr>
        <w:jc w:val="center"/>
      </w:pPr>
      <w:r>
        <w:drawing>
          <wp:inline xmlns:a="http://schemas.openxmlformats.org/drawingml/2006/main" xmlns:pic="http://schemas.openxmlformats.org/drawingml/2006/picture">
            <wp:extent cx="4572000" cy="4560186"/>
            <wp:docPr id="1" name="Picture 1"/>
            <wp:cNvGraphicFramePr>
              <a:graphicFrameLocks noChangeAspect="1"/>
            </wp:cNvGraphicFramePr>
            <a:graphic>
              <a:graphicData uri="http://schemas.openxmlformats.org/drawingml/2006/picture">
                <pic:pic>
                  <pic:nvPicPr>
                    <pic:cNvPr id="0" name="Poly_01_gap_flags.png"/>
                    <pic:cNvPicPr/>
                  </pic:nvPicPr>
                  <pic:blipFill>
                    <a:blip r:embed="rId9"/>
                    <a:stretch>
                      <a:fillRect/>
                    </a:stretch>
                  </pic:blipFill>
                  <pic:spPr>
                    <a:xfrm>
                      <a:off x="0" y="0"/>
                      <a:ext cx="4572000" cy="4560186"/>
                    </a:xfrm>
                    <a:prstGeom prst="rect"/>
                  </pic:spPr>
                </pic:pic>
              </a:graphicData>
            </a:graphic>
          </wp:inline>
        </w:drawing>
      </w:r>
    </w:p>
    <w:p>
      <w:pPr>
        <w:pStyle w:val="Caption"/>
      </w:pPr>
      <w:r>
        <w:t>Figure 2: GAP Distribution in Poly_02</w:t>
      </w:r>
    </w:p>
    <w:p>
      <w:pPr>
        <w:jc w:val="center"/>
      </w:pPr>
      <w:r>
        <w:drawing>
          <wp:inline xmlns:a="http://schemas.openxmlformats.org/drawingml/2006/main" xmlns:pic="http://schemas.openxmlformats.org/drawingml/2006/picture">
            <wp:extent cx="4572000" cy="4560186"/>
            <wp:docPr id="2" name="Picture 2"/>
            <wp:cNvGraphicFramePr>
              <a:graphicFrameLocks noChangeAspect="1"/>
            </wp:cNvGraphicFramePr>
            <a:graphic>
              <a:graphicData uri="http://schemas.openxmlformats.org/drawingml/2006/picture">
                <pic:pic>
                  <pic:nvPicPr>
                    <pic:cNvPr id="0" name="Poly_02_gap_flags.png"/>
                    <pic:cNvPicPr/>
                  </pic:nvPicPr>
                  <pic:blipFill>
                    <a:blip r:embed="rId10"/>
                    <a:stretch>
                      <a:fillRect/>
                    </a:stretch>
                  </pic:blipFill>
                  <pic:spPr>
                    <a:xfrm>
                      <a:off x="0" y="0"/>
                      <a:ext cx="4572000" cy="4560186"/>
                    </a:xfrm>
                    <a:prstGeom prst="rect"/>
                  </pic:spPr>
                </pic:pic>
              </a:graphicData>
            </a:graphic>
          </wp:inline>
        </w:drawing>
      </w:r>
    </w:p>
    <w:p>
      <w:pPr>
        <w:pStyle w:val="Caption"/>
      </w:pPr>
      <w:r>
        <w:t>Figure 3: GAP Distribution in Poly_03</w:t>
      </w:r>
    </w:p>
    <w:p>
      <w:pPr>
        <w:jc w:val="center"/>
      </w:pPr>
      <w:r>
        <w:drawing>
          <wp:inline xmlns:a="http://schemas.openxmlformats.org/drawingml/2006/main" xmlns:pic="http://schemas.openxmlformats.org/drawingml/2006/picture">
            <wp:extent cx="4572000" cy="4560186"/>
            <wp:docPr id="3" name="Picture 3"/>
            <wp:cNvGraphicFramePr>
              <a:graphicFrameLocks noChangeAspect="1"/>
            </wp:cNvGraphicFramePr>
            <a:graphic>
              <a:graphicData uri="http://schemas.openxmlformats.org/drawingml/2006/picture">
                <pic:pic>
                  <pic:nvPicPr>
                    <pic:cNvPr id="0" name="Poly_03_gap_flags.png"/>
                    <pic:cNvPicPr/>
                  </pic:nvPicPr>
                  <pic:blipFill>
                    <a:blip r:embed="rId11"/>
                    <a:stretch>
                      <a:fillRect/>
                    </a:stretch>
                  </pic:blipFill>
                  <pic:spPr>
                    <a:xfrm>
                      <a:off x="0" y="0"/>
                      <a:ext cx="4572000" cy="4560186"/>
                    </a:xfrm>
                    <a:prstGeom prst="rect"/>
                  </pic:spPr>
                </pic:pic>
              </a:graphicData>
            </a:graphic>
          </wp:inline>
        </w:drawing>
      </w:r>
    </w:p>
    <w:p>
      <w:pPr>
        <w:pStyle w:val="Caption"/>
      </w:pPr>
      <w:r>
        <w:t>Figure 4: GAP Distribution in Poly_04</w:t>
      </w:r>
    </w:p>
    <w:p>
      <w:pPr>
        <w:jc w:val="center"/>
      </w:pPr>
      <w:r>
        <w:drawing>
          <wp:inline xmlns:a="http://schemas.openxmlformats.org/drawingml/2006/main" xmlns:pic="http://schemas.openxmlformats.org/drawingml/2006/picture">
            <wp:extent cx="4572000" cy="4560186"/>
            <wp:docPr id="4" name="Picture 4"/>
            <wp:cNvGraphicFramePr>
              <a:graphicFrameLocks noChangeAspect="1"/>
            </wp:cNvGraphicFramePr>
            <a:graphic>
              <a:graphicData uri="http://schemas.openxmlformats.org/drawingml/2006/picture">
                <pic:pic>
                  <pic:nvPicPr>
                    <pic:cNvPr id="0" name="Poly_04_gap_flags.png"/>
                    <pic:cNvPicPr/>
                  </pic:nvPicPr>
                  <pic:blipFill>
                    <a:blip r:embed="rId12"/>
                    <a:stretch>
                      <a:fillRect/>
                    </a:stretch>
                  </pic:blipFill>
                  <pic:spPr>
                    <a:xfrm>
                      <a:off x="0" y="0"/>
                      <a:ext cx="4572000" cy="4560186"/>
                    </a:xfrm>
                    <a:prstGeom prst="rect"/>
                  </pic:spPr>
                </pic:pic>
              </a:graphicData>
            </a:graphic>
          </wp:inline>
        </w:drawing>
      </w:r>
    </w:p>
    <w:p>
      <w:pPr>
        <w:pStyle w:val="Caption"/>
      </w:pPr>
      <w:r>
        <w:t>Figure 5: GAP Distribution in Poly_05</w:t>
      </w:r>
    </w:p>
    <w:p>
      <w:pPr>
        <w:jc w:val="center"/>
      </w:pPr>
      <w:r>
        <w:drawing>
          <wp:inline xmlns:a="http://schemas.openxmlformats.org/drawingml/2006/main" xmlns:pic="http://schemas.openxmlformats.org/drawingml/2006/picture">
            <wp:extent cx="4572000" cy="4560186"/>
            <wp:docPr id="5" name="Picture 5"/>
            <wp:cNvGraphicFramePr>
              <a:graphicFrameLocks noChangeAspect="1"/>
            </wp:cNvGraphicFramePr>
            <a:graphic>
              <a:graphicData uri="http://schemas.openxmlformats.org/drawingml/2006/picture">
                <pic:pic>
                  <pic:nvPicPr>
                    <pic:cNvPr id="0" name="Poly_05_gap_flags.png"/>
                    <pic:cNvPicPr/>
                  </pic:nvPicPr>
                  <pic:blipFill>
                    <a:blip r:embed="rId13"/>
                    <a:stretch>
                      <a:fillRect/>
                    </a:stretch>
                  </pic:blipFill>
                  <pic:spPr>
                    <a:xfrm>
                      <a:off x="0" y="0"/>
                      <a:ext cx="4572000" cy="4560186"/>
                    </a:xfrm>
                    <a:prstGeom prst="rect"/>
                  </pic:spPr>
                </pic:pic>
              </a:graphicData>
            </a:graphic>
          </wp:inline>
        </w:drawing>
      </w:r>
    </w:p>
    <w:p>
      <w:pPr>
        <w:pStyle w:val="Heading1"/>
      </w:pPr>
      <w:r>
        <w:t>Discussion</w:t>
      </w:r>
    </w:p>
    <w:p>
      <w:r>
        <w:t>The robust correlation between GAP clusters and material stress points confirms the method's validity for quality control applications. Future work will explore 3D reconstruction of defect structures and integration with mechanical property prediction models. The automated pipeline reduces analysis time from hours to minutes while improving detection consistency.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