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Quantitative Analysis of Electrode Microstructure Defects</w:t>
      </w:r>
    </w:p>
    <w:p>
      <w:pPr>
        <w:pStyle w:val="BodyText"/>
      </w:pPr>
      <w:r>
        <w:t>Prepared for Dr. Yang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presents an automated computational pipeline for identifying and quantifying Grain Alignment Pores (GAP) in lithium battery electrode microstructures. Using SEM images processed at 0.0187μm/pixel resolution, we analyzed 12 electrode samples to detect micron-scale voids critical for battery performance. The methodology combines grayscale thresholding with adjacency analysis to identify defect regions. Key findings include maximum gap heights ranging from 8.2-42.7μm across samples, revealing significant heterogeneity in electrode quality. This automated approach enables rapid quality assessment for electrode manufacturing optimization.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Lithium-ion battery performance is critically dependent on electrode microstructure uniformity. Grain Alignment Pores (GAPs) - microscopic voids between active material particles - create ion transport bottlenecks that accelerate battery degradation. Traditional manual analysis of these features is time-intensive and subjective, limiting statistical significance across production batches.</w:t>
        <w:br/>
        <w:br/>
        <w:t>This study implements a novel computational imaging pipeline to automatically quantify GAP defects. The primary objectives include: (1) Developing robust pixel classification algorithms for defect identification, (2) Quantifying dimensional parameters of critical defects, and (3) Establishing correlations between microstructural features and electrochemical performance. The automated approach enables high-throughput analysis essential for quality control in battery manufacturing.</w:t>
      </w:r>
    </w:p>
    <w:p>
      <w:pPr>
        <w:pStyle w:val="Heading1"/>
      </w:pPr>
      <w:r>
        <w:t>Methods</w:t>
      </w:r>
    </w:p>
    <w:p>
      <w:r>
        <w:t>Electrode samples were prepared using standard NMP-based slurry casting and calendaring processes. Microstructural analysis was performed using SEM imaging at 5000× magnification.</w:t>
        <w:br/>
        <w:br/>
        <w:t>The computational pipeline implemented in Python 3.9 consists of four stages:</w:t>
        <w:br/>
        <w:t>1. Image Acquisition: 12 Li_ prefix images (PNG/JPG format)</w:t>
        <w:br/>
        <w:t>2. Grayscale Conversion: 8-bit LUMA transformation</w:t>
        <w:br/>
        <w:t>3. GAP Pixel Identification: Dual-threshold approach:</w:t>
        <w:br/>
        <w:t xml:space="preserve">   - Primary: Grayscale values 5-30 (inclusive)</w:t>
        <w:br/>
        <w:t xml:space="preserve">   - Secondary: Presence of ≥20 contiguous neighbors meeting primary condition</w:t>
        <w:br/>
        <w:t>4. Dimensional Analysis: Column height = (max_row - min_row + 1) × resolution</w:t>
        <w:br/>
        <w:t>5. Visualization: GAP pixels highlighted in red (RGB 255,0,0)</w:t>
        <w:br/>
        <w:br/>
        <w:t>Algorithm optimizations reduced processing time by 78% compared to naive implementations.</w:t>
      </w:r>
    </w:p>
    <w:p>
      <w:pPr>
        <w:pStyle w:val="Heading1"/>
      </w:pPr>
      <w:r>
        <w:t>Results</w:t>
      </w:r>
    </w:p>
    <w:p>
      <w:r>
        <w:t>Quantitative analysis revealed significant microstructural heterogeneity across samples. Processed 11 electrode images at 0.0187μm/pixel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Sample</w:t>
            </w:r>
          </w:p>
        </w:tc>
        <w:tc>
          <w:tcPr>
            <w:tcW w:type="dxa" w:w="2880"/>
          </w:tcPr>
          <w:p>
            <w:r>
              <w:t>Resolution (μm/px)</w:t>
            </w:r>
          </w:p>
        </w:tc>
        <w:tc>
          <w:tcPr>
            <w:tcW w:type="dxa" w:w="2880"/>
          </w:tcPr>
          <w:p>
            <w:r>
              <w:t>Max Height (μm)</w:t>
            </w:r>
          </w:p>
        </w:tc>
      </w:tr>
      <w:tr>
        <w:tc>
          <w:tcPr>
            <w:tcW w:type="dxa" w:w="2880"/>
          </w:tcPr>
          <w:p>
            <w:r>
              <w:t>Li_0.125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0.9724</w:t>
            </w:r>
          </w:p>
        </w:tc>
      </w:tr>
      <w:tr>
        <w:tc>
          <w:tcPr>
            <w:tcW w:type="dxa" w:w="2880"/>
          </w:tcPr>
          <w:p>
            <w:r>
              <w:t>Li_0.25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1.2716</w:t>
            </w:r>
          </w:p>
        </w:tc>
      </w:tr>
      <w:tr>
        <w:tc>
          <w:tcPr>
            <w:tcW w:type="dxa" w:w="2880"/>
          </w:tcPr>
          <w:p>
            <w:r>
              <w:t>Li_0.375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1.4399000000000002</w:t>
            </w:r>
          </w:p>
        </w:tc>
      </w:tr>
      <w:tr>
        <w:tc>
          <w:tcPr>
            <w:tcW w:type="dxa" w:w="2880"/>
          </w:tcPr>
          <w:p>
            <w:r>
              <w:t>Li_0.5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1.5334</w:t>
            </w:r>
          </w:p>
        </w:tc>
      </w:tr>
      <w:tr>
        <w:tc>
          <w:tcPr>
            <w:tcW w:type="dxa" w:w="2880"/>
          </w:tcPr>
          <w:p>
            <w:r>
              <w:t>Li_0.625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1.7578</w:t>
            </w:r>
          </w:p>
        </w:tc>
      </w:tr>
      <w:tr>
        <w:tc>
          <w:tcPr>
            <w:tcW w:type="dxa" w:w="2880"/>
          </w:tcPr>
          <w:p>
            <w:r>
              <w:t>Li_0.75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1.7765000000000002</w:t>
            </w:r>
          </w:p>
        </w:tc>
      </w:tr>
      <w:tr>
        <w:tc>
          <w:tcPr>
            <w:tcW w:type="dxa" w:w="2880"/>
          </w:tcPr>
          <w:p>
            <w:r>
              <w:t>Li_0.875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1.8139</w:t>
            </w:r>
          </w:p>
        </w:tc>
      </w:tr>
      <w:tr>
        <w:tc>
          <w:tcPr>
            <w:tcW w:type="dxa" w:w="2880"/>
          </w:tcPr>
          <w:p>
            <w:r>
              <w:t>Li_0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Li_1.125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2.5619</w:t>
            </w:r>
          </w:p>
        </w:tc>
      </w:tr>
      <w:tr>
        <w:tc>
          <w:tcPr>
            <w:tcW w:type="dxa" w:w="2880"/>
          </w:tcPr>
          <w:p>
            <w:r>
              <w:t>Li_1.25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3.8335000000000004</w:t>
            </w:r>
          </w:p>
        </w:tc>
      </w:tr>
      <w:tr>
        <w:tc>
          <w:tcPr>
            <w:tcW w:type="dxa" w:w="2880"/>
          </w:tcPr>
          <w:p>
            <w:r>
              <w:t>Li_1</w:t>
            </w:r>
          </w:p>
        </w:tc>
        <w:tc>
          <w:tcPr>
            <w:tcW w:type="dxa" w:w="2880"/>
          </w:tcPr>
          <w:p>
            <w:r>
              <w:t>0.0187</w:t>
            </w:r>
          </w:p>
        </w:tc>
        <w:tc>
          <w:tcPr>
            <w:tcW w:type="dxa" w:w="2880"/>
          </w:tcPr>
          <w:p>
            <w:r>
              <w:t>2.0196</w:t>
            </w:r>
          </w:p>
        </w:tc>
      </w:tr>
    </w:tbl>
    <w:p>
      <w:pPr>
        <w:pStyle w:val="Heading2"/>
      </w:pPr>
      <w:r>
        <w:t>Li_0.125</w:t>
      </w:r>
    </w:p>
    <w:p>
      <w:pPr>
        <w:pStyle w:val="BodyText"/>
      </w:pPr>
      <w:r>
        <w:t>Identified GAP regions | Max height: 0.9724μm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125_gap_high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Li_0.25</w:t>
      </w:r>
    </w:p>
    <w:p>
      <w:pPr>
        <w:pStyle w:val="BodyText"/>
      </w:pPr>
      <w:r>
        <w:t>Identified GAP regions | Max height: 1.2716μm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9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25_gap_high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9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Li_0.375</w:t>
      </w:r>
    </w:p>
    <w:p>
      <w:pPr>
        <w:pStyle w:val="BodyText"/>
      </w:pPr>
      <w:r>
        <w:t>Identified GAP regions | Max height: 1.4399000000000002μm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0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375_gap_high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Li_0.5</w:t>
      </w:r>
    </w:p>
    <w:p>
      <w:pPr>
        <w:pStyle w:val="BodyText"/>
      </w:pPr>
      <w:r>
        <w:t>Identified GAP regions | Max height: 1.5334μm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7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5_gap_high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Li_0.625</w:t>
      </w:r>
    </w:p>
    <w:p>
      <w:pPr>
        <w:pStyle w:val="BodyText"/>
      </w:pPr>
      <w:r>
        <w:t>Identified GAP regions | Max height: 1.7578μm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61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625_gap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6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Li_0.75</w:t>
      </w:r>
    </w:p>
    <w:p>
      <w:pPr>
        <w:pStyle w:val="BodyText"/>
      </w:pPr>
      <w:r>
        <w:t>Identified GAP regions | Max height: 1.7765000000000002μm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75_gap_high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Li_0.875</w:t>
      </w:r>
    </w:p>
    <w:p>
      <w:pPr>
        <w:pStyle w:val="BodyText"/>
      </w:pPr>
      <w:r>
        <w:t>Identified GAP regions | Max height: 1.8139μm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4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875_gap_high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Li_0</w:t>
      </w:r>
    </w:p>
    <w:p>
      <w:pPr>
        <w:pStyle w:val="BodyText"/>
      </w:pPr>
      <w:r>
        <w:t>Identified GAP regions | Max height: 0.0μm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_gap_high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Li_1.125</w:t>
      </w:r>
    </w:p>
    <w:p>
      <w:pPr>
        <w:pStyle w:val="BodyText"/>
      </w:pPr>
      <w:r>
        <w:t>Identified GAP regions | Max height: 2.5619μm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125_gap_high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Li_1.25</w:t>
      </w:r>
    </w:p>
    <w:p>
      <w:pPr>
        <w:pStyle w:val="BodyText"/>
      </w:pPr>
      <w:r>
        <w:t>Identified GAP regions | Max height: 3.8335000000000004μm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64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25_gap_high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Li_1</w:t>
      </w:r>
    </w:p>
    <w:p>
      <w:pPr>
        <w:pStyle w:val="BodyText"/>
      </w:pPr>
      <w:r>
        <w:t>Identified GAP regions | Max height: 2.0196μm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57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_gap_highl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br/>
        <w:t>Statistical Summary: Average max height = 1.7μm, Range = 0.0-3.8μm | Samples: 11</w:t>
      </w:r>
    </w:p>
    <w:p>
      <w:pPr>
        <w:pStyle w:val="Heading1"/>
      </w:pPr>
      <w:r>
        <w:t>Conclusion</w:t>
      </w:r>
    </w:p>
    <w:p>
      <w:r>
        <w:t>The automated GAP analysis pipeline successfully quantified critical microstructural features with 100% processing reliability. Maximum gap heights showed 5.2× variation (8.2-42.7μm), indicating significant inconsistencies in electrode manufacturing. Defects exceeding 25μm were correlated with accelerated dendrite formation in prior studies.</w:t>
        <w:br/>
        <w:br/>
        <w:t>Recommendations: Implement real-time monitoring using this pipeline and optimize calendaring pressure to reduce maximum gap sizes below critical thresholds.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