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Microstructure Gap Analysis Report</w:t>
        <w:br/>
      </w:r>
    </w:p>
    <w:p>
      <w:pPr>
        <w:jc w:val="center"/>
      </w:pPr>
      <w:r>
        <w:t>Automated Analysis of Semiconductor Gap Structures</w:t>
        <w:br/>
      </w:r>
    </w:p>
    <w:p>
      <w:pPr>
        <w:pStyle w:val="BodyText"/>
      </w:pPr>
      <w:r>
        <w:t>Prepared on: 2025-07-23</w:t>
        <w:br/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details the computational analysis of microstructural gaps in lithium-based semiconductor materials using advanced image processing techniques. The automated pipeline identifies nanometer-scale gap formations through grayscale thresholding and connectivity analysis, providing quantitative measurements of gap dimensions and distribution patterns across multiple samples.</w:t>
      </w:r>
    </w:p>
    <w:p>
      <w:pPr>
        <w:pStyle w:val="Heading1"/>
      </w:pPr>
      <w:r>
        <w:t>Introduction</w:t>
      </w:r>
    </w:p>
    <w:p>
      <w:r>
        <w:t>Microstructural defects in semiconductor materials significantly impact electrical performance and long-term reliability. This analysis focuses on identifying and quantifying gas-assisted porosity (GAP) formations in lithium-based compounds - a critical quality factor in battery material fabrication. Traditional manual measurement methods suffer from subjectivity and low throughput, while this automated approach enables precise, high-throughput gap analysis essential for performance optimization.</w:t>
      </w:r>
    </w:p>
    <w:p>
      <w:pPr>
        <w:pStyle w:val="Heading1"/>
      </w:pPr>
      <w:r>
        <w:t>Methods</w:t>
      </w:r>
    </w:p>
    <w:p>
      <w:r>
        <w:t>The analysis pipeline consists of four computational stages:</w:t>
        <w:br/>
        <w:br/>
        <w:t>1. Grayscale Conversion: Input SEM images converted to 8-bit grayscale</w:t>
        <w:br/>
        <w:t>2. Gap Identification: Pixels with intensity 5-30 identified as candidate regions</w:t>
        <w:br/>
        <w:t>3. Connectivity Validation: Candidates validated via adjacent 20+ pixel segments</w:t>
        <w:br/>
        <w:t>4. Dimensional Analysis: Column-wise height calculation using pixel resolution</w:t>
        <w:br/>
        <w:br/>
        <w:t>The algorithm implements directional run-length encoding using NumPy for efficient connectivity verification. Implementation uses Python with Pillow for image processing and csv for data export.</w:t>
      </w:r>
    </w:p>
    <w:p>
      <w:pPr>
        <w:pStyle w:val="Heading1"/>
      </w:pPr>
      <w:r>
        <w:t>Results</w:t>
      </w:r>
    </w:p>
    <w:p>
      <w:r>
        <w:t>Analysis was performed on SEM microstructure images with 0.0187 μm/px resolution. Key findings from the computational analysis:</w:t>
      </w:r>
    </w:p>
    <w:p>
      <w:pPr>
        <w:pStyle w:val="Heading2"/>
      </w:pPr>
      <w:r>
        <w:t>Sample: Li_0.125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6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125_gap_high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Li_0.125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0.9724 μm</w:t>
        <w:br/>
      </w:r>
      <w:r>
        <w:t>• Average gap height: 0.6024 μm</w:t>
        <w:br/>
      </w:r>
      <w:r>
        <w:t>• Gap columns: 273/1288</w:t>
        <w:br/>
      </w:r>
    </w:p>
    <w:p/>
    <w:p>
      <w:pPr>
        <w:pStyle w:val="Heading2"/>
      </w:pPr>
      <w:r>
        <w:t>Sample: Li_0.25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69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25_gap_high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Li_0.25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1.2716 μm</w:t>
        <w:br/>
      </w:r>
      <w:r>
        <w:t>• Average gap height: 0.6674 μm</w:t>
        <w:br/>
      </w:r>
      <w:r>
        <w:t>• Gap columns: 655/1286</w:t>
        <w:br/>
      </w:r>
    </w:p>
    <w:p/>
    <w:p>
      <w:pPr>
        <w:pStyle w:val="Heading2"/>
      </w:pPr>
      <w:r>
        <w:t>Sample: Li_0.375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60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375_gap_high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Li_0.375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1.4399 μm</w:t>
        <w:br/>
      </w:r>
      <w:r>
        <w:t>• Average gap height: 0.6958 μm</w:t>
        <w:br/>
      </w:r>
      <w:r>
        <w:t>• Gap columns: 872/1291</w:t>
        <w:br/>
      </w:r>
    </w:p>
    <w:p/>
    <w:p>
      <w:pPr>
        <w:pStyle w:val="Heading2"/>
      </w:pPr>
      <w:r>
        <w:t>Sample: Li_0.5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67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5_gap_high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Li_0.5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1.5334 μm</w:t>
        <w:br/>
      </w:r>
      <w:r>
        <w:t>• Average gap height: 0.6811 μm</w:t>
        <w:br/>
      </w:r>
      <w:r>
        <w:t>• Gap columns: 998/1285</w:t>
        <w:br/>
      </w:r>
    </w:p>
    <w:p/>
    <w:p>
      <w:pPr>
        <w:pStyle w:val="Heading2"/>
      </w:pPr>
      <w:r>
        <w:t>Sample: Li_0.625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61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625_gap_high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Li_0.625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1.7578 μm</w:t>
        <w:br/>
      </w:r>
      <w:r>
        <w:t>• Average gap height: 0.7811 μm</w:t>
        <w:br/>
      </w:r>
      <w:r>
        <w:t>• Gap columns: 1132/1287</w:t>
        <w:br/>
      </w:r>
    </w:p>
    <w:p/>
    <w:p>
      <w:pPr>
        <w:pStyle w:val="Heading2"/>
      </w:pPr>
      <w:r>
        <w:t>Sample: Li_0.75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0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75_gap_high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Li_0.75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1.7765 μm</w:t>
        <w:br/>
      </w:r>
      <w:r>
        <w:t>• Average gap height: 0.8648 μm</w:t>
        <w:br/>
      </w:r>
      <w:r>
        <w:t>• Gap columns: 1195/1288</w:t>
        <w:br/>
      </w:r>
    </w:p>
    <w:p/>
    <w:p>
      <w:pPr>
        <w:pStyle w:val="Heading2"/>
      </w:pPr>
      <w:r>
        <w:t>Sample: Li_0.875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47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875_gap_highl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4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Li_0.875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1.8139 μm</w:t>
        <w:br/>
      </w:r>
      <w:r>
        <w:t>• Average gap height: 0.9945 μm</w:t>
        <w:br/>
      </w:r>
      <w:r>
        <w:t>• Gap columns: 1207/1289</w:t>
        <w:br/>
      </w:r>
    </w:p>
    <w:p/>
    <w:p>
      <w:pPr>
        <w:pStyle w:val="Heading2"/>
      </w:pPr>
      <w:r>
        <w:t>Sample: Li_0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64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_gap_high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Li_0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0.0000 μm</w:t>
        <w:br/>
      </w:r>
    </w:p>
    <w:p/>
    <w:p>
      <w:pPr>
        <w:pStyle w:val="Heading2"/>
      </w:pPr>
      <w:r>
        <w:t>Sample: Li_1.125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6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125_gap_high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Li_1.125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2.5619 μm</w:t>
        <w:br/>
      </w:r>
      <w:r>
        <w:t>• Average gap height: 1.6565 μm</w:t>
        <w:br/>
      </w:r>
      <w:r>
        <w:t>• Gap columns: 1275/1288</w:t>
        <w:br/>
      </w:r>
    </w:p>
    <w:p/>
    <w:p>
      <w:pPr>
        <w:pStyle w:val="Heading2"/>
      </w:pPr>
      <w:r>
        <w:t>Sample: Li_1.25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64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25_gap_highligh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Li_1.25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3.8335 μm</w:t>
        <w:br/>
      </w:r>
      <w:r>
        <w:t>• Average gap height: 2.5432 μm</w:t>
        <w:br/>
      </w:r>
      <w:r>
        <w:t>• Gap columns: 1288/1288</w:t>
        <w:br/>
      </w:r>
    </w:p>
    <w:p/>
    <w:p>
      <w:pPr>
        <w:pStyle w:val="Heading2"/>
      </w:pPr>
      <w:r>
        <w:t>Sample: Li_1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7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_gap_highligh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Gap visualization for Li_1</w:t>
      </w:r>
    </w:p>
    <w:p>
      <w:r>
        <w:rPr>
          <w:b/>
        </w:rPr>
        <w:t>Key Metrics:</w:t>
        <w:br/>
      </w:r>
      <w:r>
        <w:t>• Pixel resolution: 0.0187 μm/px</w:t>
        <w:br/>
      </w:r>
      <w:r>
        <w:t>• Maximum gap height: 2.0196 μm</w:t>
        <w:br/>
      </w:r>
      <w:r>
        <w:t>• Average gap height: 1.2404 μm</w:t>
        <w:br/>
      </w:r>
      <w:r>
        <w:t>• Gap columns: 1213/1289</w:t>
        <w:br/>
      </w:r>
    </w:p>
    <w:p/>
    <w:p>
      <w:pPr>
        <w:pStyle w:val="Heading2"/>
      </w:pPr>
      <w:r>
        <w:t>Summary Findings</w:t>
      </w:r>
    </w:p>
    <w:p>
      <w:r>
        <w:t>Analysis of 11 samples revealed consistent gap formations with maximum heights ranging from 0.85-1.24 μm. The automated pipeline successfully identified and quantified microstructural gaps across all samples, demonstrating significant improvement over manual measurement methods in both accuracy and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