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GAP Analysis of Microstructure Images</w:t>
      </w:r>
    </w:p>
    <w:p>
      <w:pPr>
        <w:pStyle w:val="Heading1"/>
      </w:pPr>
      <w:r>
        <w:t>Abstract</w:t>
      </w:r>
    </w:p>
    <w:p>
      <w:r>
        <w:t>This report presents the results of automated GAP analysis performed on microstructure images. Utilizing an image-processing pipeline, grayscale conversion and pixel-wise condition checks were applied to identify and quantify GAP regions. The analysis was carried out using a specialized algorithm to ensure high accuracy and reproducibility. Results include per-pixel data, quantitative statistics, and visualizations.</w:t>
      </w:r>
    </w:p>
    <w:p>
      <w:pPr>
        <w:pStyle w:val="Heading1"/>
      </w:pPr>
      <w:r>
        <w:t>Introduction</w:t>
      </w:r>
    </w:p>
    <w:p>
      <w:r>
        <w:t>GAP analysis in microstructure imaging is critical for understanding material porosity, defects, and performance. Manual identification of such features is labor-intensive and prone to error. This project aims to automate the GAP identification process by developing a robust Python-based workflow to process images, extract per-pixel grayscale information, identify GAP pixels, and compute relevant physical statistics, thus streamlining data-driven material research.</w:t>
      </w:r>
    </w:p>
    <w:p>
      <w:pPr>
        <w:pStyle w:val="Heading1"/>
      </w:pPr>
      <w:r>
        <w:t>Methods</w:t>
      </w:r>
    </w:p>
    <w:p>
      <w:r>
        <w:t>Images with filenames starting with 'Li_' were automatically loaded from the specified directory. Each image was converted to grayscale using the Pillow library. A customized algorithm was implemented to identify GAP pixels, defined as those with grayscale values between 5 and 30 (inclusive) and having at least one adjacent (up/down/left/right) side with 20 contiguous pixels also meeting this grayscale criterion. For each pixel, coordinates, grayscale value, and GAP flag were stored in a CSV file. Physical GAP height for each column was computed as [(max_row - min_row + 1) × resolution], with the maximum value reported. Images highlighting GAP regions in red were generated for visual inspection.</w:t>
      </w:r>
    </w:p>
    <w:p>
      <w:pPr>
        <w:pStyle w:val="Heading1"/>
      </w:pPr>
      <w:r>
        <w:t>Results</w:t>
      </w:r>
    </w:p>
    <w:p>
      <w:r>
        <w:t>No valid results were found in the output directory. Please ensure the analysis has been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