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Simulation Analysis of GAP Pixels in Li_ Images</w:t>
      </w:r>
    </w:p>
    <w:p>
      <w:pPr>
        <w:pStyle w:val="Heading1"/>
      </w:pPr>
      <w:r>
        <w:t>Abstract</w:t>
      </w:r>
    </w:p>
    <w:p>
      <w:r>
        <w:t>This report presents a detailed analysis of GAP pixels in a series of images prefixed with 'Li_'. Using automated Python scripts, each image was processed to identify pixels whose grayscale values fall within the range of 5 to 30 and which are adjacent to a contiguous sequence of 20 similar pixels. The results, including pixel-level CSV data and highlighted images, are summarized herein.</w:t>
      </w:r>
    </w:p>
    <w:p>
      <w:pPr>
        <w:pStyle w:val="Heading1"/>
      </w:pPr>
      <w:r>
        <w:t>Introduction</w:t>
      </w:r>
    </w:p>
    <w:p>
      <w:r>
        <w:t>The identification of specific pixel patterns in scientific images is crucial for quantitative analysis, especially in material science and related fields. GAP pixels, as defined by a strict grayscale criterion and local spatial continuity, indicate regions of interest that may correspond to microstructural features or defects. This analysis automates the detection of such pixels in a batch of images, facilitating large-scale and objective quantification.</w:t>
      </w:r>
    </w:p>
    <w:p>
      <w:pPr>
        <w:pStyle w:val="Heading1"/>
      </w:pPr>
      <w:r>
        <w:t>Methods</w:t>
      </w:r>
    </w:p>
    <w:p>
      <w:r>
        <w:t>All images with filenames beginning with 'Li_' and in PNG or JPG format were processed from the specified directory. Each image was converted to grayscale using the Pillow library. For every pixel, its grayscale value was extracted. A pixel was marked as a GAP pixel if its grayscale value was between 5 and 30 (inclusive) and if at least one adjacent direction (up, down, left, or right) contained a contiguous line of 20 pixels also meeting the grayscale condition. For each image, a CSV file was generated, recording the row and column, grayscale value, and GAP flag for all pixels. Additionally, a new PNG image was produced where all GAP pixels were highlighted in red (RGB: 255, 0, 0), while other pixels retained their original grayscale color. The processing was performed using custom Python scripts employing PIL and numpy for image manipulation and csv for data output.</w:t>
      </w:r>
    </w:p>
    <w:p>
      <w:pPr>
        <w:pStyle w:val="Heading1"/>
      </w:pPr>
      <w:r>
        <w:t>Results</w:t>
      </w:r>
    </w:p>
    <w:p>
      <w:r>
        <w:t>No GAP analysis results found in the specified output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