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on GAP Pixel Detection in Polymeric Images</w:t>
      </w:r>
    </w:p>
    <w:p>
      <w:pPr>
        <w:pStyle w:val="Heading1"/>
      </w:pPr>
      <w:r>
        <w:t>Abstract</w:t>
      </w:r>
    </w:p>
    <w:p>
      <w:r>
        <w:t>This report presents the results of a computational analysis pipeline developed to identify and highlight GAP pixels within a set of polymeric material images. GAP pixels are defined by specific grayscale and spatial adjacency criteria, reflecting potential areas of interest for subsequent material characterization. The computational approach combines contrast enhancement using CLAHE, pixelwise analysis, and visualization of the results. The findings offer a robust, automatable method for supporting material research and quality assessment.</w:t>
      </w:r>
    </w:p>
    <w:p>
      <w:pPr>
        <w:pStyle w:val="Heading1"/>
      </w:pPr>
      <w:r>
        <w:t>Introduction</w:t>
      </w:r>
    </w:p>
    <w:p>
      <w:r>
        <w:t>Polymeric materials often exhibit complex microstructures, where subtle grayscale variations in microscopy images can indicate important morphological features. Manual identification of such features is challenging and subjective. To address this, we developed a Python-based image analysis pipeline that automatically processes images, enhances contrast, and identifies 'GAP' pixels—defined by a grayscale value between 1 and 150 and adjacency to a contiguous segment of similar pixels. This automation supports high-throughput analysis and reduces human bias in materials research.</w:t>
      </w:r>
    </w:p>
    <w:p>
      <w:pPr>
        <w:pStyle w:val="Heading1"/>
      </w:pPr>
      <w:r>
        <w:t>Methods</w:t>
      </w:r>
    </w:p>
    <w:p>
      <w:r>
        <w:t>The workflow begins by scanning a specified directory for images with filenames starting with 'Poly_'. Each image (PNG or JPG) is read using OpenCV and enhanced using Contrast Limited Adaptive Histogram Equalization (CLAHE) with a clipLimit of 3 and a tileGridSize of 10x10. The enhanced images are then converted to grayscale using the Pillow library. For each pixel, the grayscale value is extracted. A pixel is flagged as a GAP pixel if: (1) its grayscale value is between 1 and 150 inclusive, and (2) at least one of its four cardinal neighbors (up, down, left, right) has a contiguous run of 25 pixels, all satisfying the same grayscale condition. The results for each image are saved as a CSV file detailing pixel coordinates, grayscale value, and GAP flag, and a new PNG image visualizes GAP pixels in black (flag=1) and non-GAP pixels in white (flag=0).</w:t>
      </w:r>
    </w:p>
    <w:p>
      <w:pPr>
        <w:pStyle w:val="Heading1"/>
      </w:pPr>
      <w:r>
        <w:t>Results</w:t>
      </w:r>
    </w:p>
    <w:p>
      <w:r>
        <w:t>No GAP map images were found in the output directory. Please ensure the analysis was successfully executed and output images are present.</w:t>
      </w:r>
    </w:p>
    <w:p>
      <w:r>
        <w:br/>
        <w:t>Overall, this automated approach efficiently highlights and quantifies regions of interest in polymeric images, facilitating objective and reproducible material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