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Simulation Report: Automated GAP Pixel Detection in Polymeric Images</w:t>
      </w:r>
    </w:p>
    <w:p>
      <w:pPr>
        <w:pStyle w:val="Heading1"/>
      </w:pPr>
      <w:r>
        <w:t>Abstract</w:t>
      </w:r>
    </w:p>
    <w:p>
      <w:r>
        <w:t>This report presents the results of an automated image analysis workflow for detecting GAP pixels in polymeric material images. The process involves contrast enhancement using CLAHE, grayscale conversion, and pixel-wise GAP detection based on defined criteria. The goal is to provide quantitative and visual analysis of microstructural characteristics present in the sample images.</w:t>
      </w:r>
    </w:p>
    <w:p>
      <w:pPr>
        <w:pStyle w:val="Heading1"/>
      </w:pPr>
      <w:r>
        <w:t>Introduction</w:t>
      </w:r>
    </w:p>
    <w:p>
      <w:r>
        <w:t>Analyzing the microstructure of polymeric images is crucial for understanding material properties and performance. Traditional manual analysis is time-consuming and subject to human error. Thus, an automated pipeline using Python and image processing libraries was developed to enhance image contrast, detect GAP pixels (regions of interest based on intensity and continuity), and generate both statistical and visual outputs for further material assessment.</w:t>
      </w:r>
    </w:p>
    <w:p>
      <w:pPr>
        <w:pStyle w:val="Heading1"/>
      </w:pPr>
      <w:r>
        <w:t>Methods</w:t>
      </w:r>
    </w:p>
    <w:p>
      <w:r>
        <w:t>The workflow begins by reading all images with the prefix 'Poly_' from the specified directory. Each image undergoes CLAHE (Contrast Limited Adaptive Histogram Equalization) enhancement with a clipLimit of 3 and tileGridSize of (10, 10) using OpenCV. The enhanced images are saved for reference. Next, the enhanced images are processed using the Pillow library to convert them to grayscale. For each pixel, its grayscale value is extracted and assessed for the GAP condition: (1) grayscale value between 1 and 150 (inclusive), and (2) at least one direction (up/down/left/right) contains 25 contiguous pixels also satisfying the grayscale range. A per-pixel CSV is generated, storing the coordinates, grayscale value, and GAP flag (0/1). A binary PNG image is also created for each input, marking GAP pixels in black and non-GAP pixels in white.</w:t>
      </w:r>
    </w:p>
    <w:p>
      <w:pPr>
        <w:pStyle w:val="Heading1"/>
      </w:pPr>
      <w:r>
        <w:t>Results</w:t>
      </w:r>
    </w:p>
    <w:p>
      <w:r>
        <w:t>No GAP result images were found in the output directory. Please ensure py1.py has been run successfully and output files exist.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