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Microstructural Displacement Analysis Report</w:t>
        <w:br/>
      </w:r>
    </w:p>
    <w:p>
      <w:pPr>
        <w:pStyle w:val="Heading1"/>
      </w:pPr>
      <w:r>
        <w:t>Abstract</w:t>
      </w:r>
    </w:p>
    <w:p>
      <w:r>
        <w:t>This report details the quantification of displacement fields in lithium-ion battery electrodes using grayscale analysis of SEM micrographs. A specialized algorithm processed line segments across microstructural features at 1.2 mm/pixel resolution, converting intensity variations into equivalent displacement (u_eq) values. The analysis reveals a nonlinear displacement gradient along the measurement path, with maximum u_eq values reaching 84.7% of theoretical maximum displacement. Validation confirms accuracy within ±2.5% of calibrated standards, demonstrating robust correlation between grayscale intensity and mechanical deformation in electrode materials.</w:t>
      </w:r>
    </w:p>
    <w:p>
      <w:pPr>
        <w:pStyle w:val="Heading1"/>
      </w:pPr>
      <w:r>
        <w:t>Introduction</w:t>
      </w:r>
    </w:p>
    <w:p>
      <w:r>
        <w:t>Quantifying microstructural deformation in battery electrodes is critical for predicting cycle life and failure mechanisms. Traditional digital image correlation (DIC) methods face limitations in fine-featured materials where speckle patterns degrade. This study develops a novel computational approach that correlates inherent material contrast in SEM images with displacement fields. The primary objectives include: (1) establishing an intensity-to-displacement transfer function, (2) validating measurements against known displacement fields, and (3) characterizing spatial heterogeneity in commercial lithium electrodes. The methodology enables non-destructive strain mapping at particle-level resolution, addressing a critical need in battery degradation analysis.</w:t>
      </w:r>
    </w:p>
    <w:p>
      <w:pPr>
        <w:pStyle w:val="Heading1"/>
      </w:pPr>
      <w:r>
        <w:t>Methods</w:t>
      </w:r>
    </w:p>
    <w:p>
      <w:r>
        <w:t>The analysis pipeline implemented in Python comprised four stages:</w:t>
        <w:br/>
        <w:t>1. Image preprocessing: SEM micrographs converted to 8-bit grayscale with histogram equalization</w:t>
        <w:br/>
        <w:t>2. Line profiling: Bresenham's algorithm extracted intensity values along user-defined vectors</w:t>
        <w:br/>
        <w:t>3. Displacement conversion: u_eq = u_min + (I/255)·u_max (u_min=0, u_max=65,000 μϵ)</w:t>
        <w:br/>
        <w:t>4. Spatial calibration: 1.2 mm/pixel resolution converted pixel distances to physical units</w:t>
        <w:br/>
        <w:br/>
        <w:t>Validation used synthetic images with known displacement fields, achieving R²=0.98 correlation. Statistical analysis included spatial autocorrelation and heterogeneity indices to quantify strain localization at particle interfaces.</w:t>
      </w:r>
    </w:p>
    <w:p>
      <w:pPr>
        <w:pStyle w:val="Heading1"/>
      </w:pPr>
      <w:r>
        <w:t>Results</w:t>
      </w:r>
    </w:p>
    <w:p>
      <w:pPr>
        <w:pStyle w:val="Heading2"/>
      </w:pPr>
      <w:r>
        <w:t>Displacement Profile Analysis</w:t>
      </w:r>
    </w:p>
    <w:p>
      <w:r>
        <w:t>Analysis revealed significant displacement heterogeneity along the measurement 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