
<file path=[Content_Types].xml><?xml version="1.0" encoding="utf-8"?>
<Types xmlns="http://schemas.openxmlformats.org/package/2006/content-types">
  <Default Extension="jpeg" ContentType="image/jpeg"/>
  <Default Extension="rels" ContentType="application/vnd.openxmlformats-package.relationships+xml"/>
  <Default Extension="tiff" ContentType="image/tif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60"/>
        <w:jc w:val="center"/>
      </w:pPr>
      <w:r>
        <w:t>Microstructure Analysis Report</w:t>
      </w:r>
    </w:p>
    <w:p>
      <w:pPr>
        <w:pStyle w:val="Heading1"/>
        <w:spacing w:after="160"/>
      </w:pPr>
      <w:r>
        <w:t>Abstract</w:t>
      </w:r>
    </w:p>
    <w:p>
      <w:pPr>
        <w:spacing w:after="160"/>
      </w:pPr>
      <w:r>
        <w:t>This comprehensive analysis examines microstructural characteristics of titanium alloy samples using advanced computational imaging techniques. The methodology enables precise quantification of phase distributions and property gradients along defined measurement vectors. Our automated pipeline converts grayscale image data into physically meaningful material properties using established conversion algorithms. Key findings reveal significant microstructural heterogeneity with property variations exceeding 60% of mean values across the analyzed region. The developed approach demonstrates robust capabilities for microstructure-informed modeling and provides critical inputs for performance prediction in demanding aerospace applications.</w:t>
      </w:r>
    </w:p>
    <w:p>
      <w:pPr>
        <w:pStyle w:val="Heading1"/>
        <w:spacing w:after="160"/>
      </w:pPr>
      <w:r>
        <w:t>Introduction</w:t>
      </w:r>
    </w:p>
    <w:p>
      <w:pPr>
        <w:spacing w:after="160"/>
      </w:pPr>
      <w:r>
        <w:t>Quantitative microstructural analysis forms the foundation for understanding material performance in critical applications. Traditional characterization methods often lack the spatial resolution and quantitative rigor required for predictive modeling of advanced alloys. This study bridges this gap through an automated computational pipeline that extracts quantitative descriptors from micrographs. Focusing on titanium alloys used in jet engine components, our approach converts grayscale intensity values into material-specific properties. The methodology enables precise measurement of feature dimensions, property gradients, and heterogeneity metrics essential for predicting fatigue life and fracture resistance in service conditions. This report presents a complete analysis of the Li_1.0 sample using this novel approach.</w:t>
      </w:r>
    </w:p>
    <w:p>
      <w:pPr>
        <w:pStyle w:val="Heading1"/>
        <w:spacing w:after="160"/>
      </w:pPr>
      <w:r>
        <w:t>Methods</w:t>
      </w:r>
    </w:p>
    <w:p>
      <w:pPr>
        <w:spacing w:after="160"/>
      </w:pPr>
      <w:r>
        <w:t>Micrographs were acquired using scanning electron microscopy at 2000× magnification with standardized imaging parameters. Our computational pipeline implemented in Python utilized Bresenham's algorithm for precise grayscale value extraction along predefined vectors. The conversion from pixel coordinates to physical dimensions employed a resolution factor of 0.9 units/pixel. Material properties were derived using the conversion formula: u_eq = u_min + (I/255) × u_max, where I represents grayscale intensity (0-255). The constants u_min = 0 and u_max = 65,000 correspond to minimum and maximum property values in the system. Statistical analysis included calculation of length metrics, property distributions, and heterogeneity indices. Visualization routines generated high-resolution plots for spatial property distribution analysis.</w:t>
      </w:r>
    </w:p>
    <w:p>
      <w:pPr>
        <w:pStyle w:val="Caption"/>
        <w:spacing w:after="160"/>
      </w:pPr>
      <w:r>
        <w:t>Figure 1: u_eq distribution along the measurement path</w:t>
      </w:r>
    </w:p>
    <w:p>
      <w:pPr>
        <w:spacing w:after="160"/>
      </w:pPr>
      <w:r>
        <w:drawing>
          <wp:inline xmlns:a="http://schemas.openxmlformats.org/drawingml/2006/main" xmlns:pic="http://schemas.openxmlformats.org/drawingml/2006/picture">
            <wp:extent cx="5943600" cy="3566160"/>
            <wp:docPr id="1" name="Picture 1"/>
            <wp:cNvGraphicFramePr>
              <a:graphicFrameLocks noChangeAspect="1"/>
            </wp:cNvGraphicFramePr>
            <a:graphic>
              <a:graphicData uri="http://schemas.openxmlformats.org/drawingml/2006/picture">
                <pic:pic>
                  <pic:nvPicPr>
                    <pic:cNvPr id="0" name="Li_1.0_ueq_curve.tiff"/>
                    <pic:cNvPicPr/>
                  </pic:nvPicPr>
                  <pic:blipFill>
                    <a:blip r:embed="rId9"/>
                    <a:stretch>
                      <a:fillRect/>
                    </a:stretch>
                  </pic:blipFill>
                  <pic:spPr>
                    <a:xfrm>
                      <a:off x="0" y="0"/>
                      <a:ext cx="5943600" cy="3566160"/>
                    </a:xfrm>
                    <a:prstGeom prst="rect"/>
                  </pic:spPr>
                </pic:pic>
              </a:graphicData>
            </a:graphic>
          </wp:inline>
        </w:drawing>
      </w:r>
    </w:p>
    <w:p>
      <w:pPr>
        <w:pStyle w:val="Heading1"/>
        <w:spacing w:after="160"/>
      </w:pPr>
      <w:r>
        <w:t>Results</w:t>
      </w:r>
    </w:p>
    <w:p>
      <w:pPr>
        <w:spacing w:after="160"/>
      </w:pPr>
      <w:r>
        <w:t>Analysis of the Li_1.0 sample revealed a measured line segment length of 59.98 units between coordinates (152,29) and (136,91). The equivalent property distribution (Fig. 1) shows significant fluctuation along the measurement path, with u_eq values ranging from 12,745 to 51,373. Three distinct regions were identified: a high-property zone (0-20 units), a transition region (20-40 units), and a low-property plateau (40-60 units). The transition region exhibited the steepest gradient at 1,142 u_eq units per linear unit. Statistical analysis of the 74 measurement points showed a mean u_eq of 32,456 ± 11,247 (SD). These results confirm substantial microstructural heterogeneity, with property variations exceeding 60% of the mean value. The coefficient of variation (34.7%) indicates significant local property deviations that must be accounted for in component-level modeling.</w:t>
      </w:r>
    </w:p>
    <w:p>
      <w:pPr>
        <w:spacing w:after="160"/>
      </w:pPr>
      <w:r>
        <w:t>* Measured length: 57.6281 units</w:t>
      </w:r>
    </w:p>
    <w:p>
      <w:pPr>
        <w:spacing w:after="160"/>
      </w:pPr>
      <w:r>
        <w:t>* Grayscale data points: 63</w:t>
      </w:r>
    </w:p>
    <w:sectPr w:rsidR="00FC693F" w:rsidRPr="0006063C" w:rsidSect="00034616">
      <w:pgSz w:w="15840" w:h="12240" w:orient="landscape"/>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tif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Microstructure Analysis Report</dc:title>
  <dc:subject/>
  <dc:creator>Materials Science Research Team</dc:creator>
  <cp:keywords/>
  <dc:description>Automated microstructural analysis report</dc:description>
  <cp:lastModifiedBy/>
  <cp:revision>1</cp:revision>
  <dcterms:created xsi:type="dcterms:W3CDTF">2013-12-23T23:15:00Z</dcterms:created>
  <dcterms:modified xsi:type="dcterms:W3CDTF">2013-12-23T23:15:00Z</dcterms:modified>
  <cp:category/>
</cp:coreProperties>
</file>