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Automated GAP Pixel Detection in Grayscale Images</w:t>
      </w:r>
    </w:p>
    <w:p>
      <w:pPr>
        <w:pStyle w:val="Heading1"/>
      </w:pPr>
      <w:r>
        <w:t>Abstract</w:t>
      </w:r>
    </w:p>
    <w:p>
      <w:r>
        <w:t>This report documents the automated analysis of a series of grayscale images to identify and highlight GAP pixels. GAP pixels are defined as pixels whose grayscale value lies within the range 5–30 (inclusive) and which are adjacent to a run of at least 20 contiguous pixels, in one of four directions, also satisfying the grayscale criterion. The analysis includes per-pixel data output and visualization of GAP pixels, supporting further research in image-based feature detection or quality control.</w:t>
      </w:r>
    </w:p>
    <w:p>
      <w:pPr>
        <w:pStyle w:val="Heading1"/>
      </w:pPr>
      <w:r>
        <w:t>Introduction</w:t>
      </w:r>
    </w:p>
    <w:p>
      <w:r>
        <w:t>Image analysis is a crucial component in scientific and industrial workflows, enabling automated detection of patterns, defects, or regions of interest. In this task, the goal was to systematically process a batch of images with filenames starting with 'Li_', extract pixel-level grayscale information, and identify GAP pixels based on strict adjacency and grayscale continuity criteria. The processed results facilitate visual inspection and further quantitative analysis.</w:t>
      </w:r>
    </w:p>
    <w:p>
      <w:pPr>
        <w:pStyle w:val="Heading1"/>
      </w:pPr>
      <w:r>
        <w:t>Methods</w:t>
      </w:r>
    </w:p>
    <w:p>
      <w:r>
        <w:t>All input images were read from the specified folder, filtered by the 'Li_' prefix and PNG/JPG format. Each image was converted to grayscale using the Pillow library. For each pixel, its grayscale value was checked to determine if it lay within the 5 to 30 range. For such pixels, the program assessed their immediate neighbors in four cardinal directions (up, down, left, right) to identify if in any direction, a contiguous segment of 20 pixels (including the neighbor) also met the grayscale condition. Pixels satisfying both criteria were flagged as GAP pixels. For each image, a CSV file was generated recording every pixel's coordinates, grayscale value, and GAP flag, and a new PNG image was saved, highlighting GAP pixels in red. Python automation ensured reproducibility and scalability of the workflow.</w:t>
      </w:r>
    </w:p>
    <w:p>
      <w:pPr>
        <w:pStyle w:val="Heading1"/>
      </w:pPr>
      <w:r>
        <w:t>Results</w:t>
      </w:r>
    </w:p>
    <w:p>
      <w:r>
        <w:t>No output images or CSV results were found in the specified output directory. Please ensure the analysis has been run successfully.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